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35C82B">
      <w:pPr>
        <w:ind w:firstLine="0" w:firstLineChars="0"/>
        <w:rPr>
          <w:rFonts w:eastAsia="仿宋_GB2312"/>
          <w:sz w:val="36"/>
          <w:szCs w:val="36"/>
        </w:rPr>
      </w:pPr>
      <w:bookmarkStart w:id="0" w:name="_Hlk57883707"/>
      <w:bookmarkStart w:id="1" w:name="_Hlk150268827"/>
    </w:p>
    <w:p w14:paraId="494CEDC4">
      <w:pPr>
        <w:ind w:firstLine="0" w:firstLineChars="0"/>
        <w:rPr>
          <w:rFonts w:eastAsia="仿宋_GB2312"/>
          <w:sz w:val="36"/>
          <w:szCs w:val="36"/>
        </w:rPr>
      </w:pPr>
    </w:p>
    <w:bookmarkEnd w:id="0"/>
    <w:p w14:paraId="274A515F">
      <w:pPr>
        <w:adjustRightInd w:val="0"/>
        <w:snapToGrid w:val="0"/>
        <w:spacing w:line="240" w:lineRule="auto"/>
        <w:ind w:firstLine="0" w:firstLineChars="0"/>
        <w:jc w:val="center"/>
        <w:outlineLvl w:val="0"/>
        <w:rPr>
          <w:rFonts w:cs="Times New Roman"/>
          <w:b/>
          <w:sz w:val="56"/>
          <w:szCs w:val="72"/>
        </w:rPr>
      </w:pPr>
      <w:bookmarkStart w:id="2" w:name="_Toc136794162"/>
      <w:bookmarkStart w:id="3" w:name="_Toc160473766"/>
      <w:bookmarkStart w:id="4" w:name="_Toc112173891"/>
      <w:bookmarkStart w:id="5" w:name="_Toc136794287"/>
      <w:bookmarkStart w:id="6" w:name="_Toc24973"/>
      <w:bookmarkStart w:id="7" w:name="_Toc15748"/>
      <w:bookmarkStart w:id="8" w:name="_Toc156144114"/>
      <w:bookmarkStart w:id="9" w:name="_Toc160730842"/>
      <w:bookmarkStart w:id="10" w:name="_Toc159348993"/>
      <w:bookmarkStart w:id="11" w:name="_Toc161415520"/>
      <w:bookmarkStart w:id="12" w:name="_Toc218597745"/>
      <w:bookmarkStart w:id="13" w:name="_Toc112165596"/>
      <w:bookmarkStart w:id="14" w:name="_Toc218698782"/>
      <w:bookmarkStart w:id="15" w:name="_Toc156137800"/>
      <w:bookmarkStart w:id="16" w:name="_Toc158491225"/>
      <w:bookmarkStart w:id="17" w:name="_Toc112424231"/>
      <w:bookmarkStart w:id="18" w:name="_Hlk155863846"/>
      <w:r>
        <w:rPr>
          <w:rFonts w:cs="Times New Roman"/>
          <w:b/>
          <w:sz w:val="56"/>
          <w:szCs w:val="72"/>
        </w:rPr>
        <w:t>建设项目环境影响报告表</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bookmarkEnd w:id="18"/>
    <w:p w14:paraId="692062D4">
      <w:pPr>
        <w:adjustRightInd w:val="0"/>
        <w:snapToGrid w:val="0"/>
        <w:spacing w:before="192" w:beforeLines="80" w:line="240" w:lineRule="auto"/>
        <w:ind w:firstLine="0" w:firstLineChars="0"/>
        <w:jc w:val="center"/>
        <w:rPr>
          <w:rFonts w:cs="Times New Roman"/>
          <w:b/>
          <w:sz w:val="48"/>
          <w:szCs w:val="48"/>
        </w:rPr>
      </w:pPr>
      <w:r>
        <w:rPr>
          <w:rFonts w:cs="Times New Roman"/>
          <w:b/>
          <w:sz w:val="48"/>
          <w:szCs w:val="48"/>
        </w:rPr>
        <w:t>（生态影响类）</w:t>
      </w:r>
    </w:p>
    <w:p w14:paraId="1A7C5D7F">
      <w:pPr>
        <w:spacing w:line="240" w:lineRule="auto"/>
        <w:ind w:firstLine="0" w:firstLineChars="0"/>
        <w:rPr>
          <w:rFonts w:cs="Times New Roman"/>
          <w:b/>
        </w:rPr>
      </w:pPr>
      <w:bookmarkStart w:id="19" w:name="_Hlk57883728"/>
      <w:bookmarkStart w:id="1785" w:name="_GoBack"/>
      <w:bookmarkEnd w:id="1785"/>
    </w:p>
    <w:p w14:paraId="4C2A31EB">
      <w:pPr>
        <w:spacing w:line="240" w:lineRule="auto"/>
        <w:ind w:firstLine="0" w:firstLineChars="0"/>
        <w:rPr>
          <w:rFonts w:cs="Times New Roman"/>
          <w:b/>
        </w:rPr>
      </w:pPr>
    </w:p>
    <w:p w14:paraId="301B9BFE">
      <w:pPr>
        <w:adjustRightInd w:val="0"/>
        <w:snapToGrid w:val="0"/>
        <w:spacing w:before="192" w:beforeLines="80" w:line="240" w:lineRule="auto"/>
        <w:ind w:firstLine="0" w:firstLineChars="0"/>
        <w:jc w:val="center"/>
        <w:rPr>
          <w:rFonts w:cs="Times New Roman"/>
          <w:b/>
          <w:sz w:val="48"/>
          <w:szCs w:val="48"/>
        </w:rPr>
      </w:pPr>
      <w:r>
        <w:rPr>
          <w:rFonts w:cs="Times New Roman"/>
          <w:b/>
          <w:sz w:val="48"/>
          <w:szCs w:val="48"/>
        </w:rPr>
        <w:t>（</w:t>
      </w:r>
      <w:r>
        <w:rPr>
          <w:rFonts w:hint="eastAsia" w:cs="Times New Roman"/>
          <w:b/>
          <w:sz w:val="48"/>
          <w:szCs w:val="48"/>
          <w:lang w:val="en-US" w:eastAsia="zh-CN"/>
        </w:rPr>
        <w:t>送审</w:t>
      </w:r>
      <w:r>
        <w:rPr>
          <w:rFonts w:cs="Times New Roman"/>
          <w:b/>
          <w:sz w:val="48"/>
          <w:szCs w:val="48"/>
        </w:rPr>
        <w:t>稿）</w:t>
      </w:r>
    </w:p>
    <w:p w14:paraId="2E3C245C">
      <w:pPr>
        <w:spacing w:line="240" w:lineRule="auto"/>
        <w:ind w:firstLine="0" w:firstLineChars="0"/>
        <w:rPr>
          <w:rFonts w:cs="Times New Roman"/>
          <w:sz w:val="44"/>
          <w:szCs w:val="44"/>
        </w:rPr>
      </w:pPr>
    </w:p>
    <w:p w14:paraId="544BA308">
      <w:pPr>
        <w:ind w:firstLine="0" w:firstLineChars="0"/>
        <w:rPr>
          <w:rFonts w:cs="Times New Roman"/>
          <w:sz w:val="44"/>
          <w:szCs w:val="44"/>
        </w:rPr>
      </w:pPr>
    </w:p>
    <w:p w14:paraId="74BA39ED">
      <w:pPr>
        <w:ind w:firstLine="0" w:firstLineChars="0"/>
        <w:rPr>
          <w:rFonts w:cs="Times New Roman"/>
          <w:sz w:val="44"/>
          <w:szCs w:val="44"/>
        </w:rPr>
      </w:pPr>
    </w:p>
    <w:p w14:paraId="274D3901">
      <w:pPr>
        <w:ind w:firstLine="0" w:firstLineChars="0"/>
        <w:rPr>
          <w:rFonts w:cs="Times New Roman"/>
          <w:sz w:val="44"/>
          <w:szCs w:val="44"/>
        </w:rPr>
      </w:pPr>
    </w:p>
    <w:p w14:paraId="5890913C">
      <w:pPr>
        <w:ind w:firstLine="0" w:firstLineChars="0"/>
        <w:rPr>
          <w:rFonts w:cs="Times New Roman"/>
          <w:sz w:val="44"/>
          <w:szCs w:val="44"/>
        </w:rPr>
      </w:pPr>
    </w:p>
    <w:p w14:paraId="3D209BA4">
      <w:pPr>
        <w:ind w:firstLine="0" w:firstLineChars="0"/>
        <w:rPr>
          <w:rFonts w:cs="Times New Roman"/>
          <w:sz w:val="44"/>
          <w:szCs w:val="44"/>
        </w:rPr>
      </w:pPr>
    </w:p>
    <w:bookmarkEnd w:id="19"/>
    <w:p w14:paraId="73044BF7">
      <w:pPr>
        <w:adjustRightInd w:val="0"/>
        <w:snapToGrid w:val="0"/>
        <w:ind w:firstLine="0" w:firstLineChars="0"/>
        <w:rPr>
          <w:rFonts w:cs="Times New Roman"/>
          <w:b/>
          <w:bCs/>
          <w:sz w:val="32"/>
          <w:szCs w:val="36"/>
          <w:u w:val="single"/>
        </w:rPr>
      </w:pPr>
      <w:r>
        <w:rPr>
          <w:rFonts w:cs="Times New Roman"/>
          <w:b/>
          <w:bCs/>
          <w:sz w:val="32"/>
          <w:szCs w:val="36"/>
        </w:rPr>
        <w:t>项目名称：</w:t>
      </w:r>
      <w:r>
        <w:rPr>
          <w:rFonts w:cs="Times New Roman"/>
          <w:sz w:val="32"/>
          <w:szCs w:val="36"/>
          <w:u w:val="single"/>
        </w:rPr>
        <w:t xml:space="preserve">            </w:t>
      </w:r>
      <w:bookmarkStart w:id="20" w:name="_Hlk209538369"/>
      <w:bookmarkStart w:id="21" w:name="_Hlk218621057"/>
      <w:r>
        <w:rPr>
          <w:rFonts w:hint="eastAsia" w:cs="Times New Roman"/>
          <w:sz w:val="32"/>
          <w:szCs w:val="36"/>
          <w:u w:val="single"/>
        </w:rPr>
        <w:t>沙乐光伏发电项目</w:t>
      </w:r>
      <w:bookmarkEnd w:id="20"/>
      <w:r>
        <w:rPr>
          <w:rFonts w:hint="eastAsia" w:cs="Times New Roman"/>
          <w:sz w:val="32"/>
          <w:szCs w:val="36"/>
          <w:u w:val="single"/>
        </w:rPr>
        <w:t>（重大变动）</w:t>
      </w:r>
      <w:bookmarkEnd w:id="21"/>
      <w:r>
        <w:rPr>
          <w:rFonts w:cs="Times New Roman"/>
          <w:sz w:val="32"/>
          <w:szCs w:val="36"/>
          <w:u w:val="single"/>
        </w:rPr>
        <w:t xml:space="preserve">      </w:t>
      </w:r>
    </w:p>
    <w:p w14:paraId="06E33A9F">
      <w:pPr>
        <w:adjustRightInd w:val="0"/>
        <w:snapToGrid w:val="0"/>
        <w:ind w:firstLine="0" w:firstLineChars="0"/>
        <w:rPr>
          <w:rFonts w:cs="Times New Roman"/>
          <w:b/>
          <w:bCs/>
          <w:sz w:val="32"/>
          <w:szCs w:val="36"/>
          <w:u w:val="single"/>
        </w:rPr>
      </w:pPr>
      <w:r>
        <w:rPr>
          <w:rFonts w:cs="Times New Roman"/>
          <w:b/>
          <w:bCs/>
          <w:sz w:val="32"/>
          <w:szCs w:val="36"/>
        </w:rPr>
        <w:t>建设单位（盖章）：</w:t>
      </w:r>
      <w:r>
        <w:rPr>
          <w:rFonts w:cs="Times New Roman"/>
          <w:sz w:val="32"/>
          <w:szCs w:val="36"/>
          <w:u w:val="single"/>
        </w:rPr>
        <w:t xml:space="preserve">   </w:t>
      </w:r>
      <w:bookmarkStart w:id="22" w:name="_Hlk195216791"/>
      <w:r>
        <w:rPr>
          <w:rFonts w:hint="eastAsia" w:cs="Times New Roman"/>
          <w:sz w:val="32"/>
          <w:szCs w:val="36"/>
          <w:u w:val="single"/>
        </w:rPr>
        <w:t>华能澜沧江（南涧）新能源有限公司</w:t>
      </w:r>
      <w:bookmarkEnd w:id="22"/>
      <w:r>
        <w:rPr>
          <w:rFonts w:cs="Times New Roman"/>
          <w:sz w:val="32"/>
          <w:szCs w:val="36"/>
          <w:u w:val="single"/>
        </w:rPr>
        <w:t xml:space="preserve">    </w:t>
      </w:r>
    </w:p>
    <w:p w14:paraId="564C8ADA">
      <w:pPr>
        <w:adjustRightInd w:val="0"/>
        <w:snapToGrid w:val="0"/>
        <w:ind w:firstLine="0" w:firstLineChars="0"/>
        <w:rPr>
          <w:rFonts w:cs="Times New Roman"/>
          <w:sz w:val="32"/>
          <w:szCs w:val="36"/>
          <w:u w:val="single"/>
        </w:rPr>
      </w:pPr>
      <w:r>
        <w:rPr>
          <w:rFonts w:cs="Times New Roman"/>
          <w:b/>
          <w:bCs/>
          <w:sz w:val="32"/>
          <w:szCs w:val="36"/>
        </w:rPr>
        <w:t>编制日期：</w:t>
      </w:r>
      <w:r>
        <w:rPr>
          <w:rFonts w:cs="Times New Roman"/>
          <w:sz w:val="32"/>
          <w:szCs w:val="36"/>
          <w:u w:val="single"/>
        </w:rPr>
        <w:t xml:space="preserve">                  202</w:t>
      </w:r>
      <w:r>
        <w:rPr>
          <w:rFonts w:hint="eastAsia" w:cs="Times New Roman"/>
          <w:sz w:val="32"/>
          <w:szCs w:val="36"/>
          <w:u w:val="single"/>
        </w:rPr>
        <w:t>6</w:t>
      </w:r>
      <w:r>
        <w:rPr>
          <w:rFonts w:cs="Times New Roman"/>
          <w:sz w:val="32"/>
          <w:szCs w:val="36"/>
          <w:u w:val="single"/>
        </w:rPr>
        <w:t>年</w:t>
      </w:r>
      <w:r>
        <w:rPr>
          <w:rFonts w:hint="eastAsia" w:cs="Times New Roman"/>
          <w:sz w:val="32"/>
          <w:szCs w:val="36"/>
          <w:u w:val="single"/>
        </w:rPr>
        <w:t>1</w:t>
      </w:r>
      <w:r>
        <w:rPr>
          <w:rFonts w:cs="Times New Roman"/>
          <w:sz w:val="32"/>
          <w:szCs w:val="36"/>
          <w:u w:val="single"/>
        </w:rPr>
        <w:t xml:space="preserve">月                 </w:t>
      </w:r>
    </w:p>
    <w:p w14:paraId="3E00730E">
      <w:pPr>
        <w:adjustRightInd w:val="0"/>
        <w:snapToGrid w:val="0"/>
        <w:spacing w:line="288" w:lineRule="auto"/>
        <w:ind w:firstLine="0" w:firstLineChars="0"/>
        <w:rPr>
          <w:rFonts w:cs="Times New Roman"/>
          <w:b/>
          <w:bCs/>
          <w:sz w:val="36"/>
          <w:szCs w:val="36"/>
          <w:u w:val="single"/>
        </w:rPr>
      </w:pPr>
    </w:p>
    <w:p w14:paraId="324AB02F">
      <w:pPr>
        <w:adjustRightInd w:val="0"/>
        <w:snapToGrid w:val="0"/>
        <w:spacing w:line="288" w:lineRule="auto"/>
        <w:ind w:firstLine="0" w:firstLineChars="0"/>
        <w:rPr>
          <w:rFonts w:cs="Times New Roman"/>
          <w:b/>
          <w:bCs/>
          <w:sz w:val="36"/>
          <w:szCs w:val="36"/>
        </w:rPr>
      </w:pPr>
    </w:p>
    <w:p w14:paraId="4B9C8F09">
      <w:pPr>
        <w:adjustRightInd w:val="0"/>
        <w:snapToGrid w:val="0"/>
        <w:spacing w:line="288" w:lineRule="auto"/>
        <w:ind w:firstLine="0" w:firstLineChars="0"/>
        <w:rPr>
          <w:rFonts w:cs="Times New Roman"/>
          <w:b/>
          <w:bCs/>
          <w:sz w:val="36"/>
          <w:szCs w:val="36"/>
        </w:rPr>
      </w:pPr>
    </w:p>
    <w:p w14:paraId="7655DB94">
      <w:pPr>
        <w:adjustRightInd w:val="0"/>
        <w:snapToGrid w:val="0"/>
        <w:spacing w:line="288" w:lineRule="auto"/>
        <w:ind w:firstLine="0" w:firstLineChars="0"/>
        <w:jc w:val="center"/>
        <w:rPr>
          <w:rFonts w:cs="Times New Roman"/>
          <w:b/>
          <w:bCs/>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21"/>
          <w:cols w:space="720" w:num="1"/>
          <w:docGrid w:linePitch="312" w:charSpace="0"/>
        </w:sectPr>
      </w:pPr>
      <w:r>
        <w:rPr>
          <w:rFonts w:cs="Times New Roman"/>
          <w:b/>
          <w:bCs/>
          <w:sz w:val="36"/>
          <w:szCs w:val="36"/>
        </w:rPr>
        <w:t>中华人民共和国生态环境部制</w:t>
      </w:r>
    </w:p>
    <w:bookmarkEnd w:id="1"/>
    <w:p w14:paraId="0B391256">
      <w:pPr>
        <w:pStyle w:val="2"/>
        <w:numPr>
          <w:ilvl w:val="0"/>
          <w:numId w:val="0"/>
        </w:numPr>
        <w:spacing w:before="120" w:after="120"/>
      </w:pPr>
      <w:bookmarkStart w:id="23" w:name="_Toc156137801"/>
      <w:bookmarkStart w:id="24" w:name="_Toc158491226"/>
      <w:bookmarkStart w:id="25" w:name="_Toc159348994"/>
      <w:bookmarkStart w:id="26" w:name="_Toc161415521"/>
      <w:bookmarkStart w:id="27" w:name="_Toc160730843"/>
      <w:bookmarkStart w:id="28" w:name="_Toc177072799"/>
      <w:bookmarkStart w:id="29" w:name="_Toc160473767"/>
      <w:bookmarkStart w:id="30" w:name="_Toc156144115"/>
      <w:bookmarkStart w:id="31" w:name="_Toc177072371"/>
      <w:bookmarkStart w:id="32" w:name="_Toc177482871"/>
      <w:bookmarkStart w:id="33" w:name="_Toc177488183"/>
      <w:bookmarkStart w:id="34" w:name="_Toc181293505"/>
      <w:bookmarkStart w:id="35" w:name="_Toc181732783"/>
      <w:bookmarkStart w:id="36" w:name="_Toc218597746"/>
      <w:bookmarkStart w:id="37" w:name="_Toc218698783"/>
      <w:bookmarkStart w:id="38" w:name="_Toc181738190"/>
      <w:r>
        <w:rPr>
          <w:rFonts w:hint="eastAsia"/>
        </w:rPr>
        <w:t>现场照片</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14:paraId="45D4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2" w:type="dxa"/>
            <w:gridSpan w:val="2"/>
            <w:vAlign w:val="center"/>
          </w:tcPr>
          <w:p w14:paraId="19254500">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699200" behindDoc="0" locked="0" layoutInCell="1" allowOverlap="1">
                      <wp:simplePos x="0" y="0"/>
                      <wp:positionH relativeFrom="column">
                        <wp:posOffset>3262630</wp:posOffset>
                      </wp:positionH>
                      <wp:positionV relativeFrom="paragraph">
                        <wp:posOffset>3582035</wp:posOffset>
                      </wp:positionV>
                      <wp:extent cx="706120" cy="249555"/>
                      <wp:effectExtent l="0" t="0" r="17780" b="17145"/>
                      <wp:wrapNone/>
                      <wp:docPr id="2055348017"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3C48103F">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256.9pt;margin-top:282.05pt;height:19.65pt;width:55.6pt;z-index:251699200;mso-width-relative:page;mso-height-relative:page;" fillcolor="#FFFFFF [3201]" filled="t" stroked="t" coordsize="21600,21600" o:gfxdata="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YeTefXAAAACwEAAA8AAAAAAAAAAQAgAAAAIgAAAGRycy9kb3ducmV2LnhtbFBLAQIUABQAAAAI&#10;AIdO4kA3dEIjYAIAAMAEAAAOAAAAAAAAAAEAIAAAACYBAABkcnMvZTJvRG9jLnhtbFBLBQYAAAAA&#10;BgAGAFkBAAD4BQAAAAA=&#10;">
                      <v:fill on="t" focussize="0,0"/>
                      <v:stroke weight="0.5pt" color="#000000" joinstyle="round"/>
                      <v:imagedata o:title=""/>
                      <o:lock v:ext="edit" aspectratio="f"/>
                      <v:textbox>
                        <w:txbxContent>
                          <w:p w14:paraId="3C48103F">
                            <w:pPr>
                              <w:spacing w:line="240" w:lineRule="auto"/>
                              <w:ind w:firstLine="0" w:firstLineChars="0"/>
                            </w:pPr>
                            <w:r>
                              <w:rPr>
                                <w:rFonts w:hint="eastAsia"/>
                              </w:rPr>
                              <w:t>2025.12</w:t>
                            </w:r>
                          </w:p>
                        </w:txbxContent>
                      </v:textbox>
                    </v:shape>
                  </w:pict>
                </mc:Fallback>
              </mc:AlternateContent>
            </w:r>
          </w:p>
        </w:tc>
      </w:tr>
      <w:tr w14:paraId="56E1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2" w:type="dxa"/>
            <w:gridSpan w:val="2"/>
            <w:vAlign w:val="center"/>
          </w:tcPr>
          <w:p w14:paraId="120EA521">
            <w:pPr>
              <w:ind w:firstLine="0" w:firstLineChars="0"/>
              <w:jc w:val="center"/>
              <w:rPr>
                <w:rFonts w:cs="Times New Roman"/>
                <w:kern w:val="0"/>
                <w:szCs w:val="20"/>
              </w:rPr>
            </w:pPr>
            <w:r>
              <w:rPr>
                <w:rFonts w:hint="eastAsia" w:cs="Times New Roman"/>
                <w:kern w:val="0"/>
                <w:szCs w:val="20"/>
              </w:rPr>
              <w:t>项目负责人工作照片</w:t>
            </w:r>
          </w:p>
        </w:tc>
      </w:tr>
      <w:tr w14:paraId="26C6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151" w:type="dxa"/>
            <w:vAlign w:val="center"/>
          </w:tcPr>
          <w:p w14:paraId="2795620F">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00224" behindDoc="0" locked="0" layoutInCell="1" allowOverlap="1">
                      <wp:simplePos x="0" y="0"/>
                      <wp:positionH relativeFrom="column">
                        <wp:posOffset>1833245</wp:posOffset>
                      </wp:positionH>
                      <wp:positionV relativeFrom="paragraph">
                        <wp:posOffset>1503045</wp:posOffset>
                      </wp:positionV>
                      <wp:extent cx="706120" cy="249555"/>
                      <wp:effectExtent l="0" t="0" r="17780" b="17145"/>
                      <wp:wrapNone/>
                      <wp:docPr id="575065577"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50D58C04">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4.35pt;margin-top:118.35pt;height:19.65pt;width:55.6pt;z-index:251700224;mso-width-relative:page;mso-height-relative:page;" fillcolor="#FFFFFF [3201]" filled="t" stroked="t" coordsize="21600,21600" o:gfxdata="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lSKNtcAAAALAQAADwAAAAAAAAABACAAAAAiAAAAZHJzL2Rvd25yZXYueG1sUEsBAhQAFAAAAAgA&#10;h07iQBkQ3TNfAgAAvwQAAA4AAAAAAAAAAQAgAAAAJgEAAGRycy9lMm9Eb2MueG1sUEsFBgAAAAAG&#10;AAYAWQEAAPcFAAAAAA==&#10;">
                      <v:fill on="t" focussize="0,0"/>
                      <v:stroke weight="0.5pt" color="#000000" joinstyle="round"/>
                      <v:imagedata o:title=""/>
                      <o:lock v:ext="edit" aspectratio="f"/>
                      <v:textbox>
                        <w:txbxContent>
                          <w:p w14:paraId="50D58C04">
                            <w:pPr>
                              <w:spacing w:line="240" w:lineRule="auto"/>
                              <w:ind w:firstLine="0" w:firstLineChars="0"/>
                            </w:pPr>
                            <w:r>
                              <w:rPr>
                                <w:rFonts w:hint="eastAsia"/>
                              </w:rPr>
                              <w:t>2025.12</w:t>
                            </w:r>
                          </w:p>
                        </w:txbxContent>
                      </v:textbox>
                    </v:shape>
                  </w:pict>
                </mc:Fallback>
              </mc:AlternateContent>
            </w:r>
            <w:r>
              <w:rPr>
                <w:rFonts w:cs="Times New Roman"/>
                <w:kern w:val="0"/>
                <w:szCs w:val="20"/>
              </w:rPr>
              <w:drawing>
                <wp:inline distT="0" distB="0" distL="0" distR="0">
                  <wp:extent cx="2519680" cy="1679575"/>
                  <wp:effectExtent l="0" t="0" r="13970" b="15875"/>
                  <wp:docPr id="6103697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69732" name="图片 10"/>
                          <pic:cNvPicPr>
                            <a:picLocks noChangeAspect="1" noChangeArrowheads="1"/>
                          </pic:cNvPicPr>
                        </pic:nvPicPr>
                        <pic:blipFill>
                          <a:blip r:embed="rId17"/>
                          <a:srcRect/>
                          <a:stretch>
                            <a:fillRect/>
                          </a:stretch>
                        </pic:blipFill>
                        <pic:spPr>
                          <a:xfrm>
                            <a:off x="0" y="0"/>
                            <a:ext cx="2519680" cy="1679899"/>
                          </a:xfrm>
                          <a:prstGeom prst="rect">
                            <a:avLst/>
                          </a:prstGeom>
                          <a:noFill/>
                          <a:ln>
                            <a:noFill/>
                          </a:ln>
                        </pic:spPr>
                      </pic:pic>
                    </a:graphicData>
                  </a:graphic>
                </wp:inline>
              </w:drawing>
            </w:r>
          </w:p>
        </w:tc>
        <w:tc>
          <w:tcPr>
            <w:tcW w:w="4151" w:type="dxa"/>
            <w:vAlign w:val="center"/>
          </w:tcPr>
          <w:p w14:paraId="28DFA4E7">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01248" behindDoc="0" locked="0" layoutInCell="1" allowOverlap="1">
                      <wp:simplePos x="0" y="0"/>
                      <wp:positionH relativeFrom="column">
                        <wp:posOffset>1797050</wp:posOffset>
                      </wp:positionH>
                      <wp:positionV relativeFrom="paragraph">
                        <wp:posOffset>1494155</wp:posOffset>
                      </wp:positionV>
                      <wp:extent cx="706120" cy="249555"/>
                      <wp:effectExtent l="0" t="0" r="17780" b="17145"/>
                      <wp:wrapNone/>
                      <wp:docPr id="1453931413"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5CC82B89">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1.5pt;margin-top:117.65pt;height:19.65pt;width:55.6pt;z-index:251701248;mso-width-relative:page;mso-height-relative:page;" fillcolor="#FFFFFF [3201]" filled="t" stroked="t" coordsize="21600,21600" o:gfxdata="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YEs12AAAAAsBAAAPAAAAAAAAAAEAIAAAACIAAABkcnMvZG93bnJldi54bWxQSwECFAAUAAAA&#10;CACHTuJA030wBWACAADABAAADgAAAAAAAAABACAAAAAnAQAAZHJzL2Uyb0RvYy54bWxQSwUGAAAA&#10;AAYABgBZAQAA+QUAAAAA&#10;">
                      <v:fill on="t" focussize="0,0"/>
                      <v:stroke weight="0.5pt" color="#000000" joinstyle="round"/>
                      <v:imagedata o:title=""/>
                      <o:lock v:ext="edit" aspectratio="f"/>
                      <v:textbox>
                        <w:txbxContent>
                          <w:p w14:paraId="5CC82B89">
                            <w:pPr>
                              <w:spacing w:line="240" w:lineRule="auto"/>
                              <w:ind w:firstLine="0" w:firstLineChars="0"/>
                            </w:pPr>
                            <w:r>
                              <w:rPr>
                                <w:rFonts w:hint="eastAsia"/>
                              </w:rPr>
                              <w:t>2025.12</w:t>
                            </w:r>
                          </w:p>
                        </w:txbxContent>
                      </v:textbox>
                    </v:shape>
                  </w:pict>
                </mc:Fallback>
              </mc:AlternateContent>
            </w:r>
            <w:r>
              <w:rPr>
                <w:rFonts w:cs="Times New Roman"/>
                <w:kern w:val="0"/>
                <w:szCs w:val="20"/>
              </w:rPr>
              <w:drawing>
                <wp:inline distT="0" distB="0" distL="0" distR="0">
                  <wp:extent cx="2519680" cy="1679575"/>
                  <wp:effectExtent l="0" t="0" r="13970" b="15875"/>
                  <wp:docPr id="15682657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65735" name="图片 12"/>
                          <pic:cNvPicPr>
                            <a:picLocks noChangeAspect="1" noChangeArrowheads="1"/>
                          </pic:cNvPicPr>
                        </pic:nvPicPr>
                        <pic:blipFill>
                          <a:blip r:embed="rId18"/>
                          <a:srcRect/>
                          <a:stretch>
                            <a:fillRect/>
                          </a:stretch>
                        </pic:blipFill>
                        <pic:spPr>
                          <a:xfrm>
                            <a:off x="0" y="0"/>
                            <a:ext cx="2519680" cy="1680202"/>
                          </a:xfrm>
                          <a:prstGeom prst="rect">
                            <a:avLst/>
                          </a:prstGeom>
                          <a:noFill/>
                          <a:ln>
                            <a:noFill/>
                          </a:ln>
                        </pic:spPr>
                      </pic:pic>
                    </a:graphicData>
                  </a:graphic>
                </wp:inline>
              </w:drawing>
            </w:r>
          </w:p>
        </w:tc>
      </w:tr>
      <w:tr w14:paraId="05B6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51" w:type="dxa"/>
            <w:vAlign w:val="center"/>
          </w:tcPr>
          <w:p w14:paraId="163C88F9">
            <w:pPr>
              <w:ind w:firstLine="0" w:firstLineChars="0"/>
              <w:jc w:val="center"/>
              <w:rPr>
                <w:rFonts w:cs="Times New Roman"/>
                <w:kern w:val="0"/>
                <w:szCs w:val="20"/>
              </w:rPr>
            </w:pPr>
            <w:r>
              <w:rPr>
                <w:rFonts w:hint="eastAsia" w:cs="Times New Roman"/>
                <w:kern w:val="0"/>
                <w:szCs w:val="20"/>
              </w:rPr>
              <w:t>大歇场</w:t>
            </w:r>
          </w:p>
        </w:tc>
        <w:tc>
          <w:tcPr>
            <w:tcW w:w="4151" w:type="dxa"/>
            <w:vAlign w:val="center"/>
          </w:tcPr>
          <w:p w14:paraId="2B5F651E">
            <w:pPr>
              <w:ind w:firstLine="0" w:firstLineChars="0"/>
              <w:jc w:val="center"/>
              <w:rPr>
                <w:rFonts w:cs="Times New Roman"/>
                <w:kern w:val="0"/>
                <w:szCs w:val="20"/>
              </w:rPr>
            </w:pPr>
            <w:r>
              <w:rPr>
                <w:rFonts w:hint="eastAsia" w:cs="Times New Roman"/>
                <w:kern w:val="0"/>
                <w:szCs w:val="20"/>
              </w:rPr>
              <w:t>蚂蟥箐</w:t>
            </w:r>
          </w:p>
        </w:tc>
      </w:tr>
      <w:tr w14:paraId="3401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51" w:type="dxa"/>
            <w:vAlign w:val="center"/>
          </w:tcPr>
          <w:p w14:paraId="23AE7AB3">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02272" behindDoc="0" locked="0" layoutInCell="1" allowOverlap="1">
                      <wp:simplePos x="0" y="0"/>
                      <wp:positionH relativeFrom="column">
                        <wp:posOffset>1815465</wp:posOffset>
                      </wp:positionH>
                      <wp:positionV relativeFrom="paragraph">
                        <wp:posOffset>1497965</wp:posOffset>
                      </wp:positionV>
                      <wp:extent cx="706120" cy="249555"/>
                      <wp:effectExtent l="0" t="0" r="17780" b="17145"/>
                      <wp:wrapNone/>
                      <wp:docPr id="2068707379"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02400EFA">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2.95pt;margin-top:117.95pt;height:19.65pt;width:55.6pt;z-index:251702272;mso-width-relative:page;mso-height-relative:page;" fillcolor="#FFFFFF [3201]" filled="t" stroked="t" coordsize="21600,21600" o:gfxdata="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cyaWD1wAAAAsBAAAPAAAAAAAAAAEAIAAAACIAAABkcnMvZG93bnJldi54bWxQSwECFAAUAAAA&#10;CACHTuJATdrrpWECAADABAAADgAAAAAAAAABACAAAAAmAQAAZHJzL2Uyb0RvYy54bWxQSwUGAAAA&#10;AAYABgBZAQAA+QUAAAAA&#10;">
                      <v:fill on="t" focussize="0,0"/>
                      <v:stroke weight="0.5pt" color="#000000" joinstyle="round"/>
                      <v:imagedata o:title=""/>
                      <o:lock v:ext="edit" aspectratio="f"/>
                      <v:textbox>
                        <w:txbxContent>
                          <w:p w14:paraId="02400EFA">
                            <w:pPr>
                              <w:spacing w:line="240" w:lineRule="auto"/>
                              <w:ind w:firstLine="0" w:firstLineChars="0"/>
                            </w:pPr>
                            <w:r>
                              <w:rPr>
                                <w:rFonts w:hint="eastAsia"/>
                              </w:rPr>
                              <w:t>2025.12</w:t>
                            </w:r>
                          </w:p>
                        </w:txbxContent>
                      </v:textbox>
                    </v:shape>
                  </w:pict>
                </mc:Fallback>
              </mc:AlternateContent>
            </w:r>
            <w:r>
              <w:rPr>
                <w:rFonts w:cs="Times New Roman"/>
                <w:kern w:val="0"/>
                <w:szCs w:val="20"/>
              </w:rPr>
              <w:drawing>
                <wp:inline distT="0" distB="0" distL="0" distR="0">
                  <wp:extent cx="2519680" cy="1679575"/>
                  <wp:effectExtent l="0" t="0" r="13970" b="15875"/>
                  <wp:docPr id="4521572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57288" name="图片 11"/>
                          <pic:cNvPicPr>
                            <a:picLocks noChangeAspect="1" noChangeArrowheads="1"/>
                          </pic:cNvPicPr>
                        </pic:nvPicPr>
                        <pic:blipFill>
                          <a:blip r:embed="rId19"/>
                          <a:srcRect/>
                          <a:stretch>
                            <a:fillRect/>
                          </a:stretch>
                        </pic:blipFill>
                        <pic:spPr>
                          <a:xfrm>
                            <a:off x="0" y="0"/>
                            <a:ext cx="2519680" cy="1680202"/>
                          </a:xfrm>
                          <a:prstGeom prst="rect">
                            <a:avLst/>
                          </a:prstGeom>
                          <a:noFill/>
                          <a:ln>
                            <a:noFill/>
                          </a:ln>
                        </pic:spPr>
                      </pic:pic>
                    </a:graphicData>
                  </a:graphic>
                </wp:inline>
              </w:drawing>
            </w:r>
          </w:p>
        </w:tc>
        <w:tc>
          <w:tcPr>
            <w:tcW w:w="4151" w:type="dxa"/>
            <w:vAlign w:val="center"/>
          </w:tcPr>
          <w:p w14:paraId="77A5F054">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03296" behindDoc="0" locked="0" layoutInCell="1" allowOverlap="1">
                      <wp:simplePos x="0" y="0"/>
                      <wp:positionH relativeFrom="column">
                        <wp:posOffset>1791970</wp:posOffset>
                      </wp:positionH>
                      <wp:positionV relativeFrom="paragraph">
                        <wp:posOffset>1480185</wp:posOffset>
                      </wp:positionV>
                      <wp:extent cx="706120" cy="249555"/>
                      <wp:effectExtent l="0" t="0" r="17780" b="17145"/>
                      <wp:wrapNone/>
                      <wp:docPr id="2066757069"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35EBB117">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1.1pt;margin-top:116.55pt;height:19.65pt;width:55.6pt;z-index:251703296;mso-width-relative:page;mso-height-relative:page;" fillcolor="#FFFFFF [3201]" filled="t" stroked="t" coordsize="21600,21600" o:gfxdata="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HoreXXAAAACwEAAA8AAAAAAAAAAQAgAAAAIgAAAGRycy9kb3ducmV2LnhtbFBLAQIUABQAAAAI&#10;AIdO4kCVyi19YAIAAMAEAAAOAAAAAAAAAAEAIAAAACYBAABkcnMvZTJvRG9jLnhtbFBLBQYAAAAA&#10;BgAGAFkBAAD4BQAAAAA=&#10;">
                      <v:fill on="t" focussize="0,0"/>
                      <v:stroke weight="0.5pt" color="#000000" joinstyle="round"/>
                      <v:imagedata o:title=""/>
                      <o:lock v:ext="edit" aspectratio="f"/>
                      <v:textbox>
                        <w:txbxContent>
                          <w:p w14:paraId="35EBB117">
                            <w:pPr>
                              <w:spacing w:line="240" w:lineRule="auto"/>
                              <w:ind w:firstLine="0" w:firstLineChars="0"/>
                            </w:pPr>
                            <w:r>
                              <w:rPr>
                                <w:rFonts w:hint="eastAsia"/>
                              </w:rPr>
                              <w:t>2025.12</w:t>
                            </w:r>
                          </w:p>
                        </w:txbxContent>
                      </v:textbox>
                    </v:shape>
                  </w:pict>
                </mc:Fallback>
              </mc:AlternateContent>
            </w:r>
            <w:r>
              <w:rPr>
                <w:rFonts w:cs="Times New Roman"/>
                <w:kern w:val="0"/>
                <w:szCs w:val="20"/>
              </w:rPr>
              <w:drawing>
                <wp:inline distT="0" distB="0" distL="0" distR="0">
                  <wp:extent cx="2519680" cy="1679575"/>
                  <wp:effectExtent l="0" t="0" r="13970" b="15875"/>
                  <wp:docPr id="18120944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94421" name="图片 13"/>
                          <pic:cNvPicPr>
                            <a:picLocks noChangeAspect="1" noChangeArrowheads="1"/>
                          </pic:cNvPicPr>
                        </pic:nvPicPr>
                        <pic:blipFill>
                          <a:blip r:embed="rId20"/>
                          <a:srcRect/>
                          <a:stretch>
                            <a:fillRect/>
                          </a:stretch>
                        </pic:blipFill>
                        <pic:spPr>
                          <a:xfrm>
                            <a:off x="0" y="0"/>
                            <a:ext cx="2519680" cy="1680202"/>
                          </a:xfrm>
                          <a:prstGeom prst="rect">
                            <a:avLst/>
                          </a:prstGeom>
                          <a:noFill/>
                          <a:ln>
                            <a:noFill/>
                          </a:ln>
                        </pic:spPr>
                      </pic:pic>
                    </a:graphicData>
                  </a:graphic>
                </wp:inline>
              </w:drawing>
            </w:r>
          </w:p>
        </w:tc>
      </w:tr>
      <w:tr w14:paraId="45B9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51" w:type="dxa"/>
            <w:vAlign w:val="center"/>
          </w:tcPr>
          <w:p w14:paraId="2D417E5B">
            <w:pPr>
              <w:ind w:firstLine="0" w:firstLineChars="0"/>
              <w:jc w:val="center"/>
              <w:rPr>
                <w:rFonts w:cs="Times New Roman"/>
                <w:kern w:val="0"/>
                <w:szCs w:val="20"/>
              </w:rPr>
            </w:pPr>
            <w:r>
              <w:rPr>
                <w:rFonts w:hint="eastAsia" w:cs="Times New Roman"/>
                <w:kern w:val="0"/>
                <w:szCs w:val="20"/>
              </w:rPr>
              <w:t>包茂村</w:t>
            </w:r>
          </w:p>
        </w:tc>
        <w:tc>
          <w:tcPr>
            <w:tcW w:w="4151" w:type="dxa"/>
            <w:vAlign w:val="center"/>
          </w:tcPr>
          <w:p w14:paraId="44993CAE">
            <w:pPr>
              <w:ind w:firstLine="0" w:firstLineChars="0"/>
              <w:jc w:val="center"/>
              <w:rPr>
                <w:rFonts w:cs="Times New Roman"/>
                <w:kern w:val="0"/>
                <w:szCs w:val="20"/>
              </w:rPr>
            </w:pPr>
            <w:r>
              <w:rPr>
                <w:rFonts w:hint="eastAsia" w:cs="Times New Roman"/>
                <w:kern w:val="0"/>
                <w:szCs w:val="20"/>
              </w:rPr>
              <w:t>旧村</w:t>
            </w:r>
          </w:p>
        </w:tc>
      </w:tr>
      <w:tr w14:paraId="0ED1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51" w:type="dxa"/>
            <w:vAlign w:val="center"/>
          </w:tcPr>
          <w:p w14:paraId="1CBB3DAF">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04320" behindDoc="0" locked="0" layoutInCell="1" allowOverlap="1">
                      <wp:simplePos x="0" y="0"/>
                      <wp:positionH relativeFrom="column">
                        <wp:posOffset>1823720</wp:posOffset>
                      </wp:positionH>
                      <wp:positionV relativeFrom="paragraph">
                        <wp:posOffset>1470660</wp:posOffset>
                      </wp:positionV>
                      <wp:extent cx="706120" cy="249555"/>
                      <wp:effectExtent l="0" t="0" r="17780" b="17145"/>
                      <wp:wrapNone/>
                      <wp:docPr id="1354137097"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1DEDEE7A">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3.6pt;margin-top:115.8pt;height:19.65pt;width:55.6pt;z-index:251704320;mso-width-relative:page;mso-height-relative:page;" fillcolor="#FFFFFF [3201]" filled="t" stroked="t" coordsize="21600,21600" o:gfxdata="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WFCLw2AAAAAsBAAAPAAAAAAAAAAEAIAAAACIAAABkcnMvZG93bnJldi54bWxQSwECFAAUAAAA&#10;CACHTuJAlocPO2ACAADABAAADgAAAAAAAAABACAAAAAnAQAAZHJzL2Uyb0RvYy54bWxQSwUGAAAA&#10;AAYABgBZAQAA+QUAAAAA&#10;">
                      <v:fill on="t" focussize="0,0"/>
                      <v:stroke weight="0.5pt" color="#000000" joinstyle="round"/>
                      <v:imagedata o:title=""/>
                      <o:lock v:ext="edit" aspectratio="f"/>
                      <v:textbox>
                        <w:txbxContent>
                          <w:p w14:paraId="1DEDEE7A">
                            <w:pPr>
                              <w:spacing w:line="240" w:lineRule="auto"/>
                              <w:ind w:firstLine="0" w:firstLineChars="0"/>
                            </w:pPr>
                            <w:r>
                              <w:rPr>
                                <w:rFonts w:hint="eastAsia"/>
                              </w:rPr>
                              <w:t>2025.12</w:t>
                            </w:r>
                          </w:p>
                        </w:txbxContent>
                      </v:textbox>
                    </v:shape>
                  </w:pict>
                </mc:Fallback>
              </mc:AlternateContent>
            </w:r>
            <w:r>
              <w:rPr>
                <w:rFonts w:cs="Times New Roman"/>
                <w:kern w:val="0"/>
                <w:szCs w:val="20"/>
              </w:rPr>
              <mc:AlternateContent>
                <mc:Choice Requires="wps">
                  <w:drawing>
                    <wp:anchor distT="0" distB="0" distL="114300" distR="114300" simplePos="0" relativeHeight="251660288" behindDoc="0" locked="0" layoutInCell="1" allowOverlap="1">
                      <wp:simplePos x="0" y="0"/>
                      <wp:positionH relativeFrom="column">
                        <wp:posOffset>1532255</wp:posOffset>
                      </wp:positionH>
                      <wp:positionV relativeFrom="paragraph">
                        <wp:posOffset>142240</wp:posOffset>
                      </wp:positionV>
                      <wp:extent cx="1008380" cy="212725"/>
                      <wp:effectExtent l="19050" t="19050" r="20320" b="34925"/>
                      <wp:wrapNone/>
                      <wp:docPr id="1373517744" name="任意多边形: 形状 16"/>
                      <wp:cNvGraphicFramePr/>
                      <a:graphic xmlns:a="http://schemas.openxmlformats.org/drawingml/2006/main">
                        <a:graphicData uri="http://schemas.microsoft.com/office/word/2010/wordprocessingShape">
                          <wps:wsp>
                            <wps:cNvSpPr/>
                            <wps:spPr>
                              <a:xfrm>
                                <a:off x="0" y="0"/>
                                <a:ext cx="1008380" cy="212725"/>
                              </a:xfrm>
                              <a:custGeom>
                                <a:avLst/>
                                <a:gdLst>
                                  <a:gd name="connsiteX0" fmla="*/ 0 w 982301"/>
                                  <a:gd name="connsiteY0" fmla="*/ 90535 h 172016"/>
                                  <a:gd name="connsiteX1" fmla="*/ 325925 w 982301"/>
                                  <a:gd name="connsiteY1" fmla="*/ 131276 h 172016"/>
                                  <a:gd name="connsiteX2" fmla="*/ 348559 w 982301"/>
                                  <a:gd name="connsiteY2" fmla="*/ 162963 h 172016"/>
                                  <a:gd name="connsiteX3" fmla="*/ 493414 w 982301"/>
                                  <a:gd name="connsiteY3" fmla="*/ 167489 h 172016"/>
                                  <a:gd name="connsiteX4" fmla="*/ 597529 w 982301"/>
                                  <a:gd name="connsiteY4" fmla="*/ 167489 h 172016"/>
                                  <a:gd name="connsiteX5" fmla="*/ 783125 w 982301"/>
                                  <a:gd name="connsiteY5" fmla="*/ 167489 h 172016"/>
                                  <a:gd name="connsiteX6" fmla="*/ 851026 w 982301"/>
                                  <a:gd name="connsiteY6" fmla="*/ 172016 h 172016"/>
                                  <a:gd name="connsiteX7" fmla="*/ 982301 w 982301"/>
                                  <a:gd name="connsiteY7" fmla="*/ 76955 h 172016"/>
                                  <a:gd name="connsiteX8" fmla="*/ 746911 w 982301"/>
                                  <a:gd name="connsiteY8" fmla="*/ 81481 h 172016"/>
                                  <a:gd name="connsiteX9" fmla="*/ 638270 w 982301"/>
                                  <a:gd name="connsiteY9" fmla="*/ 36214 h 172016"/>
                                  <a:gd name="connsiteX10" fmla="*/ 552262 w 982301"/>
                                  <a:gd name="connsiteY10" fmla="*/ 45268 h 172016"/>
                                  <a:gd name="connsiteX11" fmla="*/ 434567 w 982301"/>
                                  <a:gd name="connsiteY11" fmla="*/ 4527 h 172016"/>
                                  <a:gd name="connsiteX12" fmla="*/ 380246 w 982301"/>
                                  <a:gd name="connsiteY12" fmla="*/ 0 h 172016"/>
                                  <a:gd name="connsiteX13" fmla="*/ 199177 w 982301"/>
                                  <a:gd name="connsiteY13" fmla="*/ 27161 h 172016"/>
                                  <a:gd name="connsiteX14" fmla="*/ 45268 w 982301"/>
                                  <a:gd name="connsiteY14" fmla="*/ 67901 h 172016"/>
                                  <a:gd name="connsiteX15" fmla="*/ 0 w 982301"/>
                                  <a:gd name="connsiteY15" fmla="*/ 90535 h 1720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82301" h="172016">
                                    <a:moveTo>
                                      <a:pt x="0" y="90535"/>
                                    </a:moveTo>
                                    <a:lnTo>
                                      <a:pt x="325925" y="131276"/>
                                    </a:lnTo>
                                    <a:lnTo>
                                      <a:pt x="348559" y="162963"/>
                                    </a:lnTo>
                                    <a:lnTo>
                                      <a:pt x="493414" y="167489"/>
                                    </a:lnTo>
                                    <a:lnTo>
                                      <a:pt x="597529" y="167489"/>
                                    </a:lnTo>
                                    <a:lnTo>
                                      <a:pt x="783125" y="167489"/>
                                    </a:lnTo>
                                    <a:lnTo>
                                      <a:pt x="851026" y="172016"/>
                                    </a:lnTo>
                                    <a:lnTo>
                                      <a:pt x="982301" y="76955"/>
                                    </a:lnTo>
                                    <a:lnTo>
                                      <a:pt x="746911" y="81481"/>
                                    </a:lnTo>
                                    <a:lnTo>
                                      <a:pt x="638270" y="36214"/>
                                    </a:lnTo>
                                    <a:lnTo>
                                      <a:pt x="552262" y="45268"/>
                                    </a:lnTo>
                                    <a:lnTo>
                                      <a:pt x="434567" y="4527"/>
                                    </a:lnTo>
                                    <a:lnTo>
                                      <a:pt x="380246" y="0"/>
                                    </a:lnTo>
                                    <a:lnTo>
                                      <a:pt x="199177" y="27161"/>
                                    </a:lnTo>
                                    <a:lnTo>
                                      <a:pt x="45268" y="67901"/>
                                    </a:lnTo>
                                    <a:lnTo>
                                      <a:pt x="0" y="90535"/>
                                    </a:ln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6" o:spid="_x0000_s1026" o:spt="100" style="position:absolute;left:0pt;margin-left:120.65pt;margin-top:11.2pt;height:16.75pt;width:79.4pt;z-index:251660288;v-text-anchor:middle;mso-width-relative:page;mso-height-relative:page;" filled="f" stroked="t" coordsize="982301,172016" o:gfxdata="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" path="m0,90535l325925,131276,348559,162963,493414,167489,597529,167489,783125,167489,851026,172016,982301,76955,746911,81481,638270,36214,552262,45268,434567,4527,380246,0,199177,27161,45268,67901,0,90535xe">
                      <v:path o:connectlocs="0,111960;334577,162343;357812,201529;506513,207126;613392,207126;803916,207126;873619,212725;1008380,95167;766740,100764;655215,44784;566923,55981;446104,5598;390341,0;204464,33588;46469,83970;0,111960" o:connectangles="0,0,0,0,0,0,0,0,0,0,0,0,0,0,0,0"/>
                      <v:fill on="f" focussize="0,0"/>
                      <v:stroke weight="1pt" color="#EE0000 [3204]" miterlimit="8" joinstyle="miter"/>
                      <v:imagedata o:title=""/>
                      <o:lock v:ext="edit" aspectratio="f"/>
                    </v:shape>
                  </w:pict>
                </mc:Fallback>
              </mc:AlternateContent>
            </w:r>
            <w:r>
              <w:rPr>
                <w:rFonts w:cs="Times New Roman"/>
                <w:kern w:val="0"/>
                <w:szCs w:val="20"/>
              </w:rPr>
              <w:drawing>
                <wp:inline distT="0" distB="0" distL="0" distR="0">
                  <wp:extent cx="2519680" cy="1679575"/>
                  <wp:effectExtent l="0" t="0" r="13970" b="15875"/>
                  <wp:docPr id="1566993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9339" name="图片 14"/>
                          <pic:cNvPicPr>
                            <a:picLocks noChangeAspect="1" noChangeArrowheads="1"/>
                          </pic:cNvPicPr>
                        </pic:nvPicPr>
                        <pic:blipFill>
                          <a:blip r:embed="rId21"/>
                          <a:srcRect/>
                          <a:stretch>
                            <a:fillRect/>
                          </a:stretch>
                        </pic:blipFill>
                        <pic:spPr>
                          <a:xfrm>
                            <a:off x="0" y="0"/>
                            <a:ext cx="2519680" cy="1680201"/>
                          </a:xfrm>
                          <a:prstGeom prst="rect">
                            <a:avLst/>
                          </a:prstGeom>
                          <a:noFill/>
                          <a:ln>
                            <a:noFill/>
                          </a:ln>
                        </pic:spPr>
                      </pic:pic>
                    </a:graphicData>
                  </a:graphic>
                </wp:inline>
              </w:drawing>
            </w:r>
          </w:p>
        </w:tc>
        <w:tc>
          <w:tcPr>
            <w:tcW w:w="4151" w:type="dxa"/>
            <w:vAlign w:val="center"/>
          </w:tcPr>
          <w:p w14:paraId="563A1F57">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28575</wp:posOffset>
                      </wp:positionV>
                      <wp:extent cx="2512060" cy="756920"/>
                      <wp:effectExtent l="19050" t="19050" r="21590" b="24130"/>
                      <wp:wrapNone/>
                      <wp:docPr id="666391550" name="任意多边形: 形状 19"/>
                      <wp:cNvGraphicFramePr/>
                      <a:graphic xmlns:a="http://schemas.openxmlformats.org/drawingml/2006/main">
                        <a:graphicData uri="http://schemas.microsoft.com/office/word/2010/wordprocessingShape">
                          <wps:wsp>
                            <wps:cNvSpPr/>
                            <wps:spPr>
                              <a:xfrm>
                                <a:off x="0" y="0"/>
                                <a:ext cx="2512060" cy="756920"/>
                              </a:xfrm>
                              <a:custGeom>
                                <a:avLst/>
                                <a:gdLst>
                                  <a:gd name="connsiteX0" fmla="*/ 13580 w 2512336"/>
                                  <a:gd name="connsiteY0" fmla="*/ 674483 h 864606"/>
                                  <a:gd name="connsiteX1" fmla="*/ 13580 w 2512336"/>
                                  <a:gd name="connsiteY1" fmla="*/ 674483 h 864606"/>
                                  <a:gd name="connsiteX2" fmla="*/ 140328 w 2512336"/>
                                  <a:gd name="connsiteY2" fmla="*/ 692590 h 864606"/>
                                  <a:gd name="connsiteX3" fmla="*/ 851025 w 2512336"/>
                                  <a:gd name="connsiteY3" fmla="*/ 719750 h 864606"/>
                                  <a:gd name="connsiteX4" fmla="*/ 1570776 w 2512336"/>
                                  <a:gd name="connsiteY4" fmla="*/ 851026 h 864606"/>
                                  <a:gd name="connsiteX5" fmla="*/ 1724685 w 2512336"/>
                                  <a:gd name="connsiteY5" fmla="*/ 864606 h 864606"/>
                                  <a:gd name="connsiteX6" fmla="*/ 2181885 w 2512336"/>
                                  <a:gd name="connsiteY6" fmla="*/ 864606 h 864606"/>
                                  <a:gd name="connsiteX7" fmla="*/ 2362954 w 2512336"/>
                                  <a:gd name="connsiteY7" fmla="*/ 864606 h 864606"/>
                                  <a:gd name="connsiteX8" fmla="*/ 2507810 w 2512336"/>
                                  <a:gd name="connsiteY8" fmla="*/ 864606 h 864606"/>
                                  <a:gd name="connsiteX9" fmla="*/ 2512336 w 2512336"/>
                                  <a:gd name="connsiteY9" fmla="*/ 755964 h 864606"/>
                                  <a:gd name="connsiteX10" fmla="*/ 2507810 w 2512336"/>
                                  <a:gd name="connsiteY10" fmla="*/ 0 h 864606"/>
                                  <a:gd name="connsiteX11" fmla="*/ 2317687 w 2512336"/>
                                  <a:gd name="connsiteY11" fmla="*/ 13580 h 864606"/>
                                  <a:gd name="connsiteX12" fmla="*/ 2245259 w 2512336"/>
                                  <a:gd name="connsiteY12" fmla="*/ 27160 h 864606"/>
                                  <a:gd name="connsiteX13" fmla="*/ 1946495 w 2512336"/>
                                  <a:gd name="connsiteY13" fmla="*/ 58847 h 864606"/>
                                  <a:gd name="connsiteX14" fmla="*/ 1878594 w 2512336"/>
                                  <a:gd name="connsiteY14" fmla="*/ 76954 h 864606"/>
                                  <a:gd name="connsiteX15" fmla="*/ 1570776 w 2512336"/>
                                  <a:gd name="connsiteY15" fmla="*/ 113168 h 864606"/>
                                  <a:gd name="connsiteX16" fmla="*/ 1398760 w 2512336"/>
                                  <a:gd name="connsiteY16" fmla="*/ 63374 h 864606"/>
                                  <a:gd name="connsiteX17" fmla="*/ 1226744 w 2512336"/>
                                  <a:gd name="connsiteY17" fmla="*/ 58847 h 864606"/>
                                  <a:gd name="connsiteX18" fmla="*/ 1009461 w 2512336"/>
                                  <a:gd name="connsiteY18" fmla="*/ 58847 h 864606"/>
                                  <a:gd name="connsiteX19" fmla="*/ 823865 w 2512336"/>
                                  <a:gd name="connsiteY19" fmla="*/ 90535 h 864606"/>
                                  <a:gd name="connsiteX20" fmla="*/ 330451 w 2512336"/>
                                  <a:gd name="connsiteY20" fmla="*/ 258024 h 864606"/>
                                  <a:gd name="connsiteX21" fmla="*/ 167489 w 2512336"/>
                                  <a:gd name="connsiteY21" fmla="*/ 294238 h 864606"/>
                                  <a:gd name="connsiteX22" fmla="*/ 0 w 2512336"/>
                                  <a:gd name="connsiteY22" fmla="*/ 330451 h 864606"/>
                                  <a:gd name="connsiteX23" fmla="*/ 13580 w 2512336"/>
                                  <a:gd name="connsiteY23" fmla="*/ 674483 h 864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512336" h="864606">
                                    <a:moveTo>
                                      <a:pt x="13580" y="674483"/>
                                    </a:moveTo>
                                    <a:lnTo>
                                      <a:pt x="13580" y="674483"/>
                                    </a:lnTo>
                                    <a:lnTo>
                                      <a:pt x="140328" y="692590"/>
                                    </a:lnTo>
                                    <a:lnTo>
                                      <a:pt x="851025" y="719750"/>
                                    </a:lnTo>
                                    <a:lnTo>
                                      <a:pt x="1570776" y="851026"/>
                                    </a:lnTo>
                                    <a:lnTo>
                                      <a:pt x="1724685" y="864606"/>
                                    </a:lnTo>
                                    <a:lnTo>
                                      <a:pt x="2181885" y="864606"/>
                                    </a:lnTo>
                                    <a:lnTo>
                                      <a:pt x="2362954" y="864606"/>
                                    </a:lnTo>
                                    <a:lnTo>
                                      <a:pt x="2507810" y="864606"/>
                                    </a:lnTo>
                                    <a:lnTo>
                                      <a:pt x="2512336" y="755964"/>
                                    </a:lnTo>
                                    <a:cubicBezTo>
                                      <a:pt x="2510827" y="503976"/>
                                      <a:pt x="2509319" y="251988"/>
                                      <a:pt x="2507810" y="0"/>
                                    </a:cubicBezTo>
                                    <a:lnTo>
                                      <a:pt x="2317687" y="13580"/>
                                    </a:lnTo>
                                    <a:lnTo>
                                      <a:pt x="2245259" y="27160"/>
                                    </a:lnTo>
                                    <a:lnTo>
                                      <a:pt x="1946495" y="58847"/>
                                    </a:lnTo>
                                    <a:cubicBezTo>
                                      <a:pt x="1893858" y="74639"/>
                                      <a:pt x="1916675" y="69339"/>
                                      <a:pt x="1878594" y="76954"/>
                                    </a:cubicBezTo>
                                    <a:lnTo>
                                      <a:pt x="1570776" y="113168"/>
                                    </a:lnTo>
                                    <a:lnTo>
                                      <a:pt x="1398760" y="63374"/>
                                    </a:lnTo>
                                    <a:lnTo>
                                      <a:pt x="1226744" y="58847"/>
                                    </a:lnTo>
                                    <a:lnTo>
                                      <a:pt x="1009461" y="58847"/>
                                    </a:lnTo>
                                    <a:lnTo>
                                      <a:pt x="823865" y="90535"/>
                                    </a:lnTo>
                                    <a:lnTo>
                                      <a:pt x="330451" y="258024"/>
                                    </a:lnTo>
                                    <a:cubicBezTo>
                                      <a:pt x="176670" y="295304"/>
                                      <a:pt x="232305" y="294238"/>
                                      <a:pt x="167489" y="294238"/>
                                    </a:cubicBezTo>
                                    <a:lnTo>
                                      <a:pt x="0" y="330451"/>
                                    </a:lnTo>
                                    <a:lnTo>
                                      <a:pt x="13580" y="674483"/>
                                    </a:ln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9" o:spid="_x0000_s1026" o:spt="100" style="position:absolute;left:0pt;margin-left:1.8pt;margin-top:2.25pt;height:59.6pt;width:197.8pt;z-index:251661312;v-text-anchor:middle;mso-width-relative:page;mso-height-relative:page;" filled="f" stroked="t" coordsize="2512336,864606" o:gfxdata="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" path="m13580,674483l13580,674483,140328,692590,851025,719750,1570776,851026,1724685,864606,2181885,864606,2362954,864606,2507810,864606,2512336,755964c2510827,503976,2509319,251988,2507810,0l2317687,13580,2245259,27160,1946495,58847c1893858,74639,1916675,69339,1878594,76954l1570776,113168,1398760,63374,1226744,58847,1009461,58847,823865,90535,330451,258024c176670,295304,232305,294238,167489,294238l0,330451,13580,674483xe">
                      <v:path o:connectlocs="13578,590476;13578,590476;140312,606328;850931,630105;1570603,745031;1724495,756920;2181645,756920;2362694,756920;2507534,756920;2512060,661809;2507534,0;2317432,11888;2245012,23777;1946281,51517;1878387,67369;1570603,99073;1398606,55480;1226609,51517;1009350,51517;823774,79258;330414,225887;167470,257590;0,289293;13578,590476" o:connectangles="0,0,0,0,0,0,0,0,0,0,0,0,0,0,0,0,0,0,0,0,0,0,0,0"/>
                      <v:fill on="f" focussize="0,0"/>
                      <v:stroke weight="1pt" color="#EE0000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705344" behindDoc="0" locked="0" layoutInCell="1" allowOverlap="1">
                      <wp:simplePos x="0" y="0"/>
                      <wp:positionH relativeFrom="column">
                        <wp:posOffset>1805940</wp:posOffset>
                      </wp:positionH>
                      <wp:positionV relativeFrom="paragraph">
                        <wp:posOffset>1479550</wp:posOffset>
                      </wp:positionV>
                      <wp:extent cx="706120" cy="249555"/>
                      <wp:effectExtent l="0" t="0" r="17780" b="17145"/>
                      <wp:wrapNone/>
                      <wp:docPr id="624070828"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3E94C412">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2.2pt;margin-top:116.5pt;height:19.65pt;width:55.6pt;z-index:251705344;mso-width-relative:page;mso-height-relative:page;" fillcolor="#FFFFFF [3201]" filled="t" stroked="t" coordsize="21600,21600" o:gfxdata="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I8ysrYAAAACwEAAA8AAAAAAAAAAQAgAAAAIgAAAGRycy9kb3ducmV2LnhtbFBLAQIUABQAAAAI&#10;AIdO4kAGv6fBXwIAAL8EAAAOAAAAAAAAAAEAIAAAACcBAABkcnMvZTJvRG9jLnhtbFBLBQYAAAAA&#10;BgAGAFkBAAD4BQAAAAA=&#10;">
                      <v:fill on="t" focussize="0,0"/>
                      <v:stroke weight="0.5pt" color="#000000" joinstyle="round"/>
                      <v:imagedata o:title=""/>
                      <o:lock v:ext="edit" aspectratio="f"/>
                      <v:textbox>
                        <w:txbxContent>
                          <w:p w14:paraId="3E94C412">
                            <w:pPr>
                              <w:spacing w:line="240" w:lineRule="auto"/>
                              <w:ind w:firstLine="0" w:firstLineChars="0"/>
                            </w:pPr>
                            <w:r>
                              <w:rPr>
                                <w:rFonts w:hint="eastAsia"/>
                              </w:rPr>
                              <w:t>2025.12</w:t>
                            </w:r>
                          </w:p>
                        </w:txbxContent>
                      </v:textbox>
                    </v:shape>
                  </w:pict>
                </mc:Fallback>
              </mc:AlternateContent>
            </w:r>
            <w:r>
              <w:rPr>
                <w:rFonts w:cs="Times New Roman"/>
                <w:kern w:val="0"/>
                <w:szCs w:val="20"/>
              </w:rPr>
              <w:drawing>
                <wp:inline distT="0" distB="0" distL="0" distR="0">
                  <wp:extent cx="2519680" cy="1679575"/>
                  <wp:effectExtent l="0" t="0" r="13970" b="15875"/>
                  <wp:docPr id="14307477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47705" name="图片 17"/>
                          <pic:cNvPicPr>
                            <a:picLocks noChangeAspect="1" noChangeArrowheads="1"/>
                          </pic:cNvPicPr>
                        </pic:nvPicPr>
                        <pic:blipFill>
                          <a:blip r:embed="rId22"/>
                          <a:srcRect/>
                          <a:stretch>
                            <a:fillRect/>
                          </a:stretch>
                        </pic:blipFill>
                        <pic:spPr>
                          <a:xfrm>
                            <a:off x="0" y="0"/>
                            <a:ext cx="2519680" cy="1680202"/>
                          </a:xfrm>
                          <a:prstGeom prst="rect">
                            <a:avLst/>
                          </a:prstGeom>
                          <a:noFill/>
                          <a:ln>
                            <a:noFill/>
                          </a:ln>
                        </pic:spPr>
                      </pic:pic>
                    </a:graphicData>
                  </a:graphic>
                </wp:inline>
              </w:drawing>
            </w:r>
          </w:p>
        </w:tc>
      </w:tr>
      <w:tr w14:paraId="3837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302" w:type="dxa"/>
            <w:gridSpan w:val="2"/>
            <w:vAlign w:val="center"/>
          </w:tcPr>
          <w:p w14:paraId="34B25371">
            <w:pPr>
              <w:ind w:firstLine="0" w:firstLineChars="0"/>
              <w:jc w:val="center"/>
              <w:rPr>
                <w:rFonts w:cs="Times New Roman"/>
                <w:kern w:val="0"/>
                <w:szCs w:val="20"/>
              </w:rPr>
            </w:pPr>
            <w:r>
              <w:rPr>
                <w:rFonts w:hint="eastAsia" w:cs="Times New Roman"/>
                <w:kern w:val="0"/>
                <w:szCs w:val="20"/>
              </w:rPr>
              <w:t>无量山自然保护区</w:t>
            </w:r>
          </w:p>
        </w:tc>
      </w:tr>
      <w:tr w14:paraId="6FDC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51" w:type="dxa"/>
            <w:vAlign w:val="center"/>
          </w:tcPr>
          <w:p w14:paraId="55B91A7A">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06368" behindDoc="0" locked="0" layoutInCell="1" allowOverlap="1">
                      <wp:simplePos x="0" y="0"/>
                      <wp:positionH relativeFrom="column">
                        <wp:posOffset>1835150</wp:posOffset>
                      </wp:positionH>
                      <wp:positionV relativeFrom="paragraph">
                        <wp:posOffset>1362075</wp:posOffset>
                      </wp:positionV>
                      <wp:extent cx="706120" cy="249555"/>
                      <wp:effectExtent l="0" t="0" r="17780" b="17145"/>
                      <wp:wrapNone/>
                      <wp:docPr id="1585921388"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6DEBA93E">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4.5pt;margin-top:107.25pt;height:19.65pt;width:55.6pt;z-index:251706368;mso-width-relative:page;mso-height-relative:page;" fillcolor="#FFFFFF [3201]" filled="t" stroked="t" coordsize="21600,21600" o:gfxdata="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jAflU2AAAAAsBAAAPAAAAAAAAAAEAIAAAACIAAABkcnMvZG93bnJldi54bWxQSwECFAAUAAAA&#10;CACHTuJAHow0dmACAADABAAADgAAAAAAAAABACAAAAAnAQAAZHJzL2Uyb0RvYy54bWxQSwUGAAAA&#10;AAYABgBZAQAA+QUAAAAA&#10;">
                      <v:fill on="t" focussize="0,0"/>
                      <v:stroke weight="0.5pt" color="#000000" joinstyle="round"/>
                      <v:imagedata o:title=""/>
                      <o:lock v:ext="edit" aspectratio="f"/>
                      <v:textbox>
                        <w:txbxContent>
                          <w:p w14:paraId="6DEBA93E">
                            <w:pPr>
                              <w:spacing w:line="240" w:lineRule="auto"/>
                              <w:ind w:firstLine="0" w:firstLineChars="0"/>
                            </w:pPr>
                            <w:r>
                              <w:rPr>
                                <w:rFonts w:hint="eastAsia"/>
                              </w:rPr>
                              <w:t>2025.12</w:t>
                            </w:r>
                          </w:p>
                        </w:txbxContent>
                      </v:textbox>
                    </v:shape>
                  </w:pict>
                </mc:Fallback>
              </mc:AlternateContent>
            </w:r>
            <w:r>
              <w:rPr>
                <w:rFonts w:cs="Times New Roman"/>
                <w:kern w:val="0"/>
                <w:szCs w:val="20"/>
              </w:rPr>
              <w:drawing>
                <wp:inline distT="0" distB="0" distL="0" distR="0">
                  <wp:extent cx="2757170" cy="1555750"/>
                  <wp:effectExtent l="0" t="0" r="5080" b="6350"/>
                  <wp:docPr id="1732721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21332" name="图片 1"/>
                          <pic:cNvPicPr>
                            <a:picLocks noChangeAspect="1"/>
                          </pic:cNvPicPr>
                        </pic:nvPicPr>
                        <pic:blipFill>
                          <a:blip r:embed="rId23"/>
                          <a:stretch>
                            <a:fillRect/>
                          </a:stretch>
                        </pic:blipFill>
                        <pic:spPr>
                          <a:xfrm>
                            <a:off x="0" y="0"/>
                            <a:ext cx="2757600" cy="1555750"/>
                          </a:xfrm>
                          <a:prstGeom prst="rect">
                            <a:avLst/>
                          </a:prstGeom>
                        </pic:spPr>
                      </pic:pic>
                    </a:graphicData>
                  </a:graphic>
                </wp:inline>
              </w:drawing>
            </w:r>
          </w:p>
        </w:tc>
        <w:tc>
          <w:tcPr>
            <w:tcW w:w="4151" w:type="dxa"/>
            <w:vAlign w:val="center"/>
          </w:tcPr>
          <w:p w14:paraId="39398CD1">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07392" behindDoc="0" locked="0" layoutInCell="1" allowOverlap="1">
                      <wp:simplePos x="0" y="0"/>
                      <wp:positionH relativeFrom="column">
                        <wp:posOffset>1826895</wp:posOffset>
                      </wp:positionH>
                      <wp:positionV relativeFrom="paragraph">
                        <wp:posOffset>1360170</wp:posOffset>
                      </wp:positionV>
                      <wp:extent cx="706120" cy="249555"/>
                      <wp:effectExtent l="0" t="0" r="17780" b="17145"/>
                      <wp:wrapNone/>
                      <wp:docPr id="539513457"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23DB3EEF">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3.85pt;margin-top:107.1pt;height:19.65pt;width:55.6pt;z-index:251707392;mso-width-relative:page;mso-height-relative:page;" fillcolor="#FFFFFF [3201]" filled="t" stroked="t" coordsize="21600,21600" o:gfxdata="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RusL9gAAAALAQAADwAAAAAAAAABACAAAAAiAAAAZHJzL2Rvd25yZXYueG1sUEsBAhQAFAAAAAgA&#10;h07iQB3dadNeAgAAvwQAAA4AAAAAAAAAAQAgAAAAJwEAAGRycy9lMm9Eb2MueG1sUEsFBgAAAAAG&#10;AAYAWQEAAPcFAAAAAA==&#10;">
                      <v:fill on="t" focussize="0,0"/>
                      <v:stroke weight="0.5pt" color="#000000" joinstyle="round"/>
                      <v:imagedata o:title=""/>
                      <o:lock v:ext="edit" aspectratio="f"/>
                      <v:textbox>
                        <w:txbxContent>
                          <w:p w14:paraId="23DB3EEF">
                            <w:pPr>
                              <w:spacing w:line="240" w:lineRule="auto"/>
                              <w:ind w:firstLine="0" w:firstLineChars="0"/>
                            </w:pPr>
                            <w:r>
                              <w:rPr>
                                <w:rFonts w:hint="eastAsia"/>
                              </w:rPr>
                              <w:t>2025.12</w:t>
                            </w:r>
                          </w:p>
                        </w:txbxContent>
                      </v:textbox>
                    </v:shape>
                  </w:pict>
                </mc:Fallback>
              </mc:AlternateContent>
            </w:r>
            <w:r>
              <w:rPr>
                <w:rFonts w:cs="Times New Roman"/>
                <w:kern w:val="0"/>
                <w:szCs w:val="20"/>
              </w:rPr>
              <mc:AlternateContent>
                <mc:Choice Requires="wps">
                  <w:drawing>
                    <wp:anchor distT="0" distB="0" distL="114300" distR="114300" simplePos="0" relativeHeight="251659264" behindDoc="0" locked="0" layoutInCell="1" allowOverlap="1">
                      <wp:simplePos x="0" y="0"/>
                      <wp:positionH relativeFrom="column">
                        <wp:posOffset>381000</wp:posOffset>
                      </wp:positionH>
                      <wp:positionV relativeFrom="paragraph">
                        <wp:posOffset>478155</wp:posOffset>
                      </wp:positionV>
                      <wp:extent cx="2077085" cy="979170"/>
                      <wp:effectExtent l="0" t="0" r="18415" b="11430"/>
                      <wp:wrapNone/>
                      <wp:docPr id="1842596461" name="椭圆 2"/>
                      <wp:cNvGraphicFramePr/>
                      <a:graphic xmlns:a="http://schemas.openxmlformats.org/drawingml/2006/main">
                        <a:graphicData uri="http://schemas.microsoft.com/office/word/2010/wordprocessingShape">
                          <wps:wsp>
                            <wps:cNvSpPr/>
                            <wps:spPr>
                              <a:xfrm>
                                <a:off x="0" y="0"/>
                                <a:ext cx="2077085" cy="97917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 o:spid="_x0000_s1026" o:spt="3" type="#_x0000_t3" style="position:absolute;left:0pt;margin-left:30pt;margin-top:37.65pt;height:77.1pt;width:163.55pt;z-index:251659264;v-text-anchor:middle;mso-width-relative:page;mso-height-relative:page;" filled="f" stroked="t" coordsize="21600,21600" o:gfxdata="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&#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u5Q+O2gAAAAkBAAAPAAAAAAAAAAEAIAAAACIAAABk&#10;cnMvZG93bnJldi54bWxQSwECFAAUAAAACACHTuJAcYpfw3YCAADXBAAADgAAAAAAAAABACAAAAAp&#10;AQAAZHJzL2Uyb0RvYy54bWxQSwUGAAAAAAYABgBZAQAAEQYAAAAA&#10;">
                      <v:fill on="f" focussize="0,0"/>
                      <v:stroke weight="1pt" color="#EE0000 [3204]" miterlimit="8" joinstyle="miter"/>
                      <v:imagedata o:title=""/>
                      <o:lock v:ext="edit" aspectratio="f"/>
                    </v:shape>
                  </w:pict>
                </mc:Fallback>
              </mc:AlternateContent>
            </w:r>
            <w:r>
              <w:rPr>
                <w:rFonts w:cs="Times New Roman"/>
                <w:kern w:val="0"/>
                <w:szCs w:val="20"/>
              </w:rPr>
              <w:drawing>
                <wp:inline distT="0" distB="0" distL="0" distR="0">
                  <wp:extent cx="2757170" cy="1556385"/>
                  <wp:effectExtent l="0" t="0" r="5080" b="5715"/>
                  <wp:docPr id="345173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73969" name="图片 1"/>
                          <pic:cNvPicPr>
                            <a:picLocks noChangeAspect="1"/>
                          </pic:cNvPicPr>
                        </pic:nvPicPr>
                        <pic:blipFill>
                          <a:blip r:embed="rId24"/>
                          <a:stretch>
                            <a:fillRect/>
                          </a:stretch>
                        </pic:blipFill>
                        <pic:spPr>
                          <a:xfrm>
                            <a:off x="0" y="0"/>
                            <a:ext cx="2757600" cy="1556385"/>
                          </a:xfrm>
                          <a:prstGeom prst="rect">
                            <a:avLst/>
                          </a:prstGeom>
                        </pic:spPr>
                      </pic:pic>
                    </a:graphicData>
                  </a:graphic>
                </wp:inline>
              </w:drawing>
            </w:r>
          </w:p>
        </w:tc>
      </w:tr>
      <w:tr w14:paraId="36A1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302" w:type="dxa"/>
            <w:gridSpan w:val="2"/>
            <w:vAlign w:val="center"/>
          </w:tcPr>
          <w:p w14:paraId="670E9CC7">
            <w:pPr>
              <w:ind w:firstLine="0" w:firstLineChars="0"/>
              <w:jc w:val="center"/>
              <w:rPr>
                <w:rFonts w:cs="Times New Roman"/>
                <w:kern w:val="0"/>
                <w:szCs w:val="20"/>
              </w:rPr>
            </w:pPr>
            <w:r>
              <w:rPr>
                <w:rFonts w:hint="eastAsia" w:cs="Times New Roman"/>
                <w:kern w:val="0"/>
                <w:szCs w:val="20"/>
              </w:rPr>
              <w:t>项目周边生态保护红线（暖温性针叶林）</w:t>
            </w:r>
          </w:p>
        </w:tc>
      </w:tr>
      <w:tr w14:paraId="157B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51" w:type="dxa"/>
            <w:vAlign w:val="center"/>
          </w:tcPr>
          <w:p w14:paraId="6B0330E1">
            <w:pPr>
              <w:pStyle w:val="65"/>
              <w:spacing w:line="360" w:lineRule="auto"/>
              <w:rPr>
                <w:rFonts w:cs="Times New Roman"/>
                <w:kern w:val="0"/>
                <w:szCs w:val="20"/>
              </w:rPr>
            </w:pPr>
            <w:r>
              <w:rPr>
                <w:rFonts w:cs="Times New Roman"/>
                <w:kern w:val="0"/>
                <w:szCs w:val="20"/>
              </w:rPr>
              <mc:AlternateContent>
                <mc:Choice Requires="wps">
                  <w:drawing>
                    <wp:anchor distT="0" distB="0" distL="114300" distR="114300" simplePos="0" relativeHeight="251708416" behindDoc="0" locked="0" layoutInCell="1" allowOverlap="1">
                      <wp:simplePos x="0" y="0"/>
                      <wp:positionH relativeFrom="column">
                        <wp:posOffset>1810385</wp:posOffset>
                      </wp:positionH>
                      <wp:positionV relativeFrom="paragraph">
                        <wp:posOffset>1592580</wp:posOffset>
                      </wp:positionV>
                      <wp:extent cx="706120" cy="249555"/>
                      <wp:effectExtent l="0" t="0" r="17780" b="17145"/>
                      <wp:wrapNone/>
                      <wp:docPr id="1080865357"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0542BB74">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2.55pt;margin-top:125.4pt;height:19.65pt;width:55.6pt;z-index:251708416;mso-width-relative:page;mso-height-relative:page;" fillcolor="#FFFFFF [3201]" filled="t" stroked="t" coordsize="21600,21600" o:gfxdata="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9I+9rXAAAACwEAAA8AAAAAAAAAAQAgAAAAIgAAAGRycy9kb3ducmV2LnhtbFBLAQIUABQAAAAI&#10;AIdO4kBVyhxFYAIAAMAEAAAOAAAAAAAAAAEAIAAAACYBAABkcnMvZTJvRG9jLnhtbFBLBQYAAAAA&#10;BgAGAFkBAAD4BQAAAAA=&#10;">
                      <v:fill on="t" focussize="0,0"/>
                      <v:stroke weight="0.5pt" color="#000000" joinstyle="round"/>
                      <v:imagedata o:title=""/>
                      <o:lock v:ext="edit" aspectratio="f"/>
                      <v:textbox>
                        <w:txbxContent>
                          <w:p w14:paraId="0542BB74">
                            <w:pPr>
                              <w:spacing w:line="240" w:lineRule="auto"/>
                              <w:ind w:firstLine="0" w:firstLineChars="0"/>
                            </w:pPr>
                            <w:r>
                              <w:rPr>
                                <w:rFonts w:hint="eastAsia"/>
                              </w:rPr>
                              <w:t>2025.12</w:t>
                            </w:r>
                          </w:p>
                        </w:txbxContent>
                      </v:textbox>
                    </v:shape>
                  </w:pict>
                </mc:Fallback>
              </mc:AlternateContent>
            </w:r>
            <w:r>
              <w:rPr>
                <w:rFonts w:cs="Times New Roman"/>
                <w:kern w:val="0"/>
                <w:sz w:val="24"/>
                <w:szCs w:val="20"/>
              </w:rPr>
              <w:pict>
                <v:shape id="文本框 1697" o:spid="_x0000_s2053" o:spt="202" type="#_x0000_t202" style="position:absolute;left:0pt;margin-left:35.1pt;margin-top:57.35pt;height:20.7pt;width:34.5pt;z-index:251664384;mso-width-relative:page;mso-height-relative:page;" filled="f" stroked="f" coordsize="21600,21600">
                  <v:path/>
                  <v:fill on="f" focussize="0,0"/>
                  <v:stroke on="f" weight="0.5pt"/>
                  <v:imagedata o:title=""/>
                  <o:lock v:ext="edit"/>
                  <v:textbox>
                    <w:txbxContent>
                      <w:p w14:paraId="16FE1666">
                        <w:pPr>
                          <w:ind w:firstLine="0" w:firstLineChars="0"/>
                          <w:rPr>
                            <w:color w:val="FF0000"/>
                          </w:rPr>
                        </w:pPr>
                        <w:r>
                          <w:rPr>
                            <w:rFonts w:hint="eastAsia"/>
                            <w:color w:val="FF0000"/>
                          </w:rPr>
                          <w:t>S03-S10</w:t>
                        </w:r>
                      </w:p>
                    </w:txbxContent>
                  </v:textbox>
                </v:shape>
              </w:pict>
            </w:r>
            <w:r>
              <w:rPr>
                <w:rFonts w:cs="Times New Roman"/>
                <w:kern w:val="0"/>
                <w:sz w:val="24"/>
                <w:szCs w:val="20"/>
              </w:rPr>
              <w:pict>
                <v:shape id="文本框 1699" o:spid="_x0000_s2055" o:spt="202" type="#_x0000_t202" style="position:absolute;left:0pt;margin-left:95.15pt;margin-top:50pt;height:20.7pt;width:71.6pt;z-index:251665408;mso-width-relative:page;mso-height-relative:page;" filled="f" stroked="f" coordsize="21600,21600">
                  <v:path/>
                  <v:fill on="f" focussize="0,0"/>
                  <v:stroke on="f" weight="0.5pt"/>
                  <v:imagedata o:title=""/>
                  <o:lock v:ext="edit"/>
                  <v:textbox>
                    <w:txbxContent>
                      <w:p w14:paraId="553828D8">
                        <w:pPr>
                          <w:ind w:firstLine="480"/>
                          <w:rPr>
                            <w:color w:val="FF0000"/>
                          </w:rPr>
                        </w:pPr>
                        <w:r>
                          <w:rPr>
                            <w:rFonts w:hint="eastAsia"/>
                            <w:color w:val="FF0000"/>
                          </w:rPr>
                          <w:t>S04</w:t>
                        </w:r>
                      </w:p>
                    </w:txbxContent>
                  </v:textbox>
                </v:shape>
              </w:pict>
            </w:r>
            <w:r>
              <w:rPr>
                <w:rFonts w:cs="Times New Roman"/>
                <w:kern w:val="0"/>
                <w:sz w:val="24"/>
                <w:szCs w:val="20"/>
              </w:rPr>
              <w:pict>
                <v:shape id="任意多边形 1696" o:spid="_x0000_s2052" style="position:absolute;left:0pt;margin-left:15.8pt;margin-top:43.3pt;height:36.3pt;width:152.5pt;z-index:251663360;mso-width-relative:page;mso-height-relative:page;" filled="f" stroked="t" coordsize="3050,726" path="m402,641c383,639,339,638,297,626c255,614,234,599,192,581c150,563,124,566,87,536c50,506,0,466,5,431c10,396,68,377,110,363c152,349,173,363,215,363c257,363,278,367,320,363c362,359,383,359,425,341c467,323,488,291,530,273c572,255,593,258,635,251c677,244,698,239,740,236c782,233,803,236,845,236c887,236,908,236,950,236c992,236,1013,235,1055,236c1097,237,1124,221,1160,243c1196,265,1199,324,1235,348c1271,372,1298,372,1340,363c1382,354,1402,319,1445,303c1488,287,1514,285,1557,281c1600,277,1618,281,1662,281c1706,281,1731,278,1775,281c1819,284,1838,290,1880,296c1922,302,1958,329,1985,311c2012,293,2030,242,2015,206c2000,170,1928,167,1910,131c1892,95,1901,50,1925,26c1949,2,1988,16,2030,11c2072,6,2093,5,2135,3c2177,1,2197,3,2240,3c2283,3,2309,0,2352,3c2395,6,2413,10,2457,18c2501,26,2526,32,2570,41c2614,50,2632,51,2675,63c2718,75,2744,81,2787,101c2830,121,2850,130,2892,161c2934,192,2968,218,2997,258c3026,298,3050,325,3035,363c3020,401,2966,426,2922,446c2878,466,2859,451,2817,461c2775,471,2754,471,2712,498c2670,525,2649,572,2607,596c2565,620,2544,614,2502,618c2460,622,2439,618,2397,618c2355,618,2335,613,2292,618c2249,623,2223,633,2180,641c2137,649,2117,653,2075,656c2033,659,2012,656,1970,656c1928,656,1910,655,1865,656c1820,657,1790,659,1745,663c1700,667,1682,675,1640,678c1598,681,1577,672,1535,678c1493,684,1472,699,1430,708c1388,717,1369,720,1325,723c1281,726,1256,723,1212,723c1168,723,1149,723,1107,723c1065,723,1044,724,1002,723c960,722,939,720,897,716c855,712,835,709,792,701c749,693,723,684,680,678c637,672,617,675,575,671c533,667,505,662,470,656c435,650,413,644,402,641xe">
                  <v:fill on="f" focussize="0,0"/>
                  <v:stroke weight="1pt" color="#FF0000"/>
                  <v:imagedata o:title=""/>
                  <o:lock v:ext="edit"/>
                </v:shape>
              </w:pict>
            </w:r>
            <w:r>
              <w:rPr>
                <w:rFonts w:cstheme="minorBidi"/>
                <w:kern w:val="2"/>
                <w:szCs w:val="22"/>
              </w:rPr>
              <w:pict>
                <v:shape id="_x0000_i1025" o:spt="75" alt="DJI_20250402114144_0015_V" type="#_x0000_t75" style="height:143.25pt;width:191.25pt;" filled="f" o:preferrelative="t" stroked="f" coordsize="21600,21600">
                  <v:path/>
                  <v:fill on="f" focussize="0,0"/>
                  <v:stroke on="f"/>
                  <v:imagedata r:id="rId25" o:title=""/>
                  <o:lock v:ext="edit" aspectratio="t"/>
                  <w10:wrap type="none"/>
                  <w10:anchorlock/>
                </v:shape>
              </w:pict>
            </w:r>
          </w:p>
        </w:tc>
        <w:tc>
          <w:tcPr>
            <w:tcW w:w="4151" w:type="dxa"/>
            <w:vAlign w:val="center"/>
          </w:tcPr>
          <w:p w14:paraId="74770805">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09440" behindDoc="0" locked="0" layoutInCell="1" allowOverlap="1">
                      <wp:simplePos x="0" y="0"/>
                      <wp:positionH relativeFrom="column">
                        <wp:posOffset>1815465</wp:posOffset>
                      </wp:positionH>
                      <wp:positionV relativeFrom="paragraph">
                        <wp:posOffset>1568450</wp:posOffset>
                      </wp:positionV>
                      <wp:extent cx="706120" cy="249555"/>
                      <wp:effectExtent l="0" t="0" r="17780" b="17145"/>
                      <wp:wrapNone/>
                      <wp:docPr id="1513463451"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46377514">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2.95pt;margin-top:123.5pt;height:19.65pt;width:55.6pt;z-index:251709440;mso-width-relative:page;mso-height-relative:page;" fillcolor="#FFFFFF [3201]" filled="t" stroked="t" coordsize="21600,21600" o:gfxdata="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r4AxnYAAAACwEAAA8AAAAAAAAAAQAgAAAAIgAAAGRycy9kb3ducmV2LnhtbFBLAQIUABQAAAAI&#10;AIdO4kBqwN4iXwIAAMAEAAAOAAAAAAAAAAEAIAAAACcBAABkcnMvZTJvRG9jLnhtbFBLBQYAAAAA&#10;BgAGAFkBAAD4BQAAAAA=&#10;">
                      <v:fill on="t" focussize="0,0"/>
                      <v:stroke weight="0.5pt" color="#000000" joinstyle="round"/>
                      <v:imagedata o:title=""/>
                      <o:lock v:ext="edit" aspectratio="f"/>
                      <v:textbox>
                        <w:txbxContent>
                          <w:p w14:paraId="46377514">
                            <w:pPr>
                              <w:spacing w:line="240" w:lineRule="auto"/>
                              <w:ind w:firstLine="0" w:firstLineChars="0"/>
                            </w:pPr>
                            <w:r>
                              <w:rPr>
                                <w:rFonts w:hint="eastAsia"/>
                              </w:rPr>
                              <w:t>2025.12</w:t>
                            </w:r>
                          </w:p>
                        </w:txbxContent>
                      </v:textbox>
                    </v:shape>
                  </w:pict>
                </mc:Fallback>
              </mc:AlternateContent>
            </w:r>
            <w:r>
              <w:rPr>
                <w:rFonts w:cs="Times New Roman"/>
                <w:kern w:val="0"/>
                <w:szCs w:val="20"/>
              </w:rPr>
              <mc:AlternateContent>
                <mc:Choice Requires="wps">
                  <w:drawing>
                    <wp:anchor distT="0" distB="0" distL="114300" distR="114300" simplePos="0" relativeHeight="251667456" behindDoc="0" locked="0" layoutInCell="1" allowOverlap="1">
                      <wp:simplePos x="0" y="0"/>
                      <wp:positionH relativeFrom="column">
                        <wp:posOffset>490855</wp:posOffset>
                      </wp:positionH>
                      <wp:positionV relativeFrom="paragraph">
                        <wp:posOffset>403225</wp:posOffset>
                      </wp:positionV>
                      <wp:extent cx="909320" cy="262890"/>
                      <wp:effectExtent l="1270" t="0" r="3810" b="0"/>
                      <wp:wrapNone/>
                      <wp:docPr id="1249700674" name="文本框 7"/>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2E5EE793">
                                  <w:pPr>
                                    <w:ind w:firstLine="480"/>
                                    <w:rPr>
                                      <w:color w:val="FF0000"/>
                                    </w:rPr>
                                  </w:pPr>
                                  <w:r>
                                    <w:rPr>
                                      <w:rFonts w:hint="eastAsia"/>
                                      <w:color w:val="FF0000"/>
                                    </w:rPr>
                                    <w:t>S06</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38.65pt;margin-top:31.75pt;height:20.7pt;width:71.6pt;z-index:251667456;mso-width-relative:page;mso-height-relative:page;" filled="f" stroked="f" coordsize="21600,21600" o:gfxdata="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P43gZ1gAAAAkB&#10;AAAPAAAAAAAAAAEAIAAAACIAAABkcnMvZG93bnJldi54bWxQSwECFAAUAAAACACHTuJAAKJpZB0C&#10;AAAdBAAADgAAAAAAAAABACAAAAAlAQAAZHJzL2Uyb0RvYy54bWxQSwUGAAAAAAYABgBZAQAAtAUA&#10;AAAA&#10;">
                      <v:fill on="f" focussize="0,0"/>
                      <v:stroke on="f"/>
                      <v:imagedata o:title=""/>
                      <o:lock v:ext="edit" aspectratio="f"/>
                      <v:textbox>
                        <w:txbxContent>
                          <w:p w14:paraId="2E5EE793">
                            <w:pPr>
                              <w:ind w:firstLine="480"/>
                              <w:rPr>
                                <w:color w:val="FF0000"/>
                              </w:rPr>
                            </w:pPr>
                            <w:r>
                              <w:rPr>
                                <w:rFonts w:hint="eastAsia"/>
                                <w:color w:val="FF0000"/>
                              </w:rPr>
                              <w:t>S06</w:t>
                            </w:r>
                          </w:p>
                        </w:txbxContent>
                      </v:textbox>
                    </v:shape>
                  </w:pict>
                </mc:Fallback>
              </mc:AlternateContent>
            </w:r>
            <w:r>
              <w:rPr>
                <w:rFonts w:cs="Times New Roman"/>
                <w:kern w:val="0"/>
                <w:szCs w:val="20"/>
              </w:rPr>
              <mc:AlternateContent>
                <mc:Choice Requires="wps">
                  <w:drawing>
                    <wp:anchor distT="0" distB="0" distL="114300" distR="114300" simplePos="0" relativeHeight="251666432" behindDoc="0" locked="0" layoutInCell="1" allowOverlap="1">
                      <wp:simplePos x="0" y="0"/>
                      <wp:positionH relativeFrom="column">
                        <wp:posOffset>673735</wp:posOffset>
                      </wp:positionH>
                      <wp:positionV relativeFrom="paragraph">
                        <wp:posOffset>382270</wp:posOffset>
                      </wp:positionV>
                      <wp:extent cx="755650" cy="339090"/>
                      <wp:effectExtent l="19050" t="19050" r="26035" b="42545"/>
                      <wp:wrapNone/>
                      <wp:docPr id="679003258" name="任意多边形: 形状 6"/>
                      <wp:cNvGraphicFramePr/>
                      <a:graphic xmlns:a="http://schemas.openxmlformats.org/drawingml/2006/main">
                        <a:graphicData uri="http://schemas.microsoft.com/office/word/2010/wordprocessingShape">
                          <wps:wsp>
                            <wps:cNvSpPr/>
                            <wps:spPr>
                              <a:xfrm>
                                <a:off x="0" y="0"/>
                                <a:ext cx="755527" cy="338928"/>
                              </a:xfrm>
                              <a:custGeom>
                                <a:avLst/>
                                <a:gdLst>
                                  <a:gd name="csX0" fmla="*/ 469557 w 755527"/>
                                  <a:gd name="csY0" fmla="*/ 271849 h 338928"/>
                                  <a:gd name="csX1" fmla="*/ 575472 w 755527"/>
                                  <a:gd name="csY1" fmla="*/ 310684 h 338928"/>
                                  <a:gd name="csX2" fmla="*/ 628429 w 755527"/>
                                  <a:gd name="csY2" fmla="*/ 218891 h 338928"/>
                                  <a:gd name="csX3" fmla="*/ 639021 w 755527"/>
                                  <a:gd name="csY3" fmla="*/ 187117 h 338928"/>
                                  <a:gd name="csX4" fmla="*/ 674326 w 755527"/>
                                  <a:gd name="csY4" fmla="*/ 123568 h 338928"/>
                                  <a:gd name="csX5" fmla="*/ 755527 w 755527"/>
                                  <a:gd name="csY5" fmla="*/ 60019 h 338928"/>
                                  <a:gd name="csX6" fmla="*/ 653143 w 755527"/>
                                  <a:gd name="csY6" fmla="*/ 0 h 338928"/>
                                  <a:gd name="csX7" fmla="*/ 561350 w 755527"/>
                                  <a:gd name="csY7" fmla="*/ 0 h 338928"/>
                                  <a:gd name="csX8" fmla="*/ 508392 w 755527"/>
                                  <a:gd name="csY8" fmla="*/ 7061 h 338928"/>
                                  <a:gd name="csX9" fmla="*/ 480148 w 755527"/>
                                  <a:gd name="csY9" fmla="*/ 17653 h 338928"/>
                                  <a:gd name="csX10" fmla="*/ 395416 w 755527"/>
                                  <a:gd name="csY10" fmla="*/ 42366 h 338928"/>
                                  <a:gd name="csX11" fmla="*/ 310684 w 755527"/>
                                  <a:gd name="csY11" fmla="*/ 24714 h 338928"/>
                                  <a:gd name="csX12" fmla="*/ 229483 w 755527"/>
                                  <a:gd name="csY12" fmla="*/ 10592 h 338928"/>
                                  <a:gd name="csX13" fmla="*/ 183586 w 755527"/>
                                  <a:gd name="csY13" fmla="*/ 0 h 338928"/>
                                  <a:gd name="csX14" fmla="*/ 148281 w 755527"/>
                                  <a:gd name="csY14" fmla="*/ 10592 h 338928"/>
                                  <a:gd name="csX15" fmla="*/ 49427 w 755527"/>
                                  <a:gd name="csY15" fmla="*/ 81202 h 338928"/>
                                  <a:gd name="csX16" fmla="*/ 14122 w 755527"/>
                                  <a:gd name="csY16" fmla="*/ 120037 h 338928"/>
                                  <a:gd name="csX17" fmla="*/ 0 w 755527"/>
                                  <a:gd name="csY17" fmla="*/ 169464 h 338928"/>
                                  <a:gd name="csX18" fmla="*/ 10591 w 755527"/>
                                  <a:gd name="csY18" fmla="*/ 201239 h 338928"/>
                                  <a:gd name="csX19" fmla="*/ 52958 w 755527"/>
                                  <a:gd name="csY19" fmla="*/ 296562 h 338928"/>
                                  <a:gd name="csX20" fmla="*/ 130629 w 755527"/>
                                  <a:gd name="csY20" fmla="*/ 275379 h 338928"/>
                                  <a:gd name="csX21" fmla="*/ 165934 w 755527"/>
                                  <a:gd name="csY21" fmla="*/ 201239 h 338928"/>
                                  <a:gd name="csX22" fmla="*/ 187117 w 755527"/>
                                  <a:gd name="csY22" fmla="*/ 176525 h 338928"/>
                                  <a:gd name="csX23" fmla="*/ 257727 w 755527"/>
                                  <a:gd name="csY23" fmla="*/ 109446 h 338928"/>
                                  <a:gd name="csX24" fmla="*/ 345989 w 755527"/>
                                  <a:gd name="csY24" fmla="*/ 77671 h 338928"/>
                                  <a:gd name="csX25" fmla="*/ 420130 w 755527"/>
                                  <a:gd name="csY25" fmla="*/ 67080 h 338928"/>
                                  <a:gd name="csX26" fmla="*/ 483679 w 755527"/>
                                  <a:gd name="csY26" fmla="*/ 187117 h 338928"/>
                                  <a:gd name="csX27" fmla="*/ 395416 w 755527"/>
                                  <a:gd name="csY27" fmla="*/ 264788 h 338928"/>
                                  <a:gd name="csX28" fmla="*/ 247135 w 755527"/>
                                  <a:gd name="csY28" fmla="*/ 225952 h 338928"/>
                                  <a:gd name="csX29" fmla="*/ 197708 w 755527"/>
                                  <a:gd name="csY29" fmla="*/ 296562 h 338928"/>
                                  <a:gd name="csX30" fmla="*/ 236544 w 755527"/>
                                  <a:gd name="csY30" fmla="*/ 335398 h 338928"/>
                                  <a:gd name="csX31" fmla="*/ 268318 w 755527"/>
                                  <a:gd name="csY31" fmla="*/ 338928 h 338928"/>
                                  <a:gd name="csX32" fmla="*/ 324806 w 755527"/>
                                  <a:gd name="csY32" fmla="*/ 324806 h 338928"/>
                                  <a:gd name="csX33" fmla="*/ 469557 w 755527"/>
                                  <a:gd name="csY33" fmla="*/ 271849 h 33892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Lst>
                                <a:rect l="l" t="t" r="r" b="b"/>
                                <a:pathLst>
                                  <a:path w="755527" h="338928">
                                    <a:moveTo>
                                      <a:pt x="469557" y="271849"/>
                                    </a:moveTo>
                                    <a:lnTo>
                                      <a:pt x="575472" y="310684"/>
                                    </a:lnTo>
                                    <a:lnTo>
                                      <a:pt x="628429" y="218891"/>
                                    </a:lnTo>
                                    <a:lnTo>
                                      <a:pt x="639021" y="187117"/>
                                    </a:lnTo>
                                    <a:lnTo>
                                      <a:pt x="674326" y="123568"/>
                                    </a:lnTo>
                                    <a:lnTo>
                                      <a:pt x="755527" y="60019"/>
                                    </a:lnTo>
                                    <a:lnTo>
                                      <a:pt x="653143" y="0"/>
                                    </a:lnTo>
                                    <a:lnTo>
                                      <a:pt x="561350" y="0"/>
                                    </a:lnTo>
                                    <a:lnTo>
                                      <a:pt x="508392" y="7061"/>
                                    </a:lnTo>
                                    <a:lnTo>
                                      <a:pt x="480148" y="17653"/>
                                    </a:lnTo>
                                    <a:lnTo>
                                      <a:pt x="395416" y="42366"/>
                                    </a:lnTo>
                                    <a:lnTo>
                                      <a:pt x="310684" y="24714"/>
                                    </a:lnTo>
                                    <a:cubicBezTo>
                                      <a:pt x="243274" y="16783"/>
                                      <a:pt x="269776" y="24023"/>
                                      <a:pt x="229483" y="10592"/>
                                    </a:cubicBezTo>
                                    <a:lnTo>
                                      <a:pt x="183586" y="0"/>
                                    </a:lnTo>
                                    <a:lnTo>
                                      <a:pt x="148281" y="10592"/>
                                    </a:lnTo>
                                    <a:lnTo>
                                      <a:pt x="49427" y="81202"/>
                                    </a:lnTo>
                                    <a:cubicBezTo>
                                      <a:pt x="19539" y="118562"/>
                                      <a:pt x="34663" y="109768"/>
                                      <a:pt x="14122" y="120037"/>
                                    </a:cubicBezTo>
                                    <a:lnTo>
                                      <a:pt x="0" y="169464"/>
                                    </a:lnTo>
                                    <a:lnTo>
                                      <a:pt x="10591" y="201239"/>
                                    </a:lnTo>
                                    <a:lnTo>
                                      <a:pt x="52958" y="296562"/>
                                    </a:lnTo>
                                    <a:lnTo>
                                      <a:pt x="130629" y="275379"/>
                                    </a:lnTo>
                                    <a:lnTo>
                                      <a:pt x="165934" y="201239"/>
                                    </a:lnTo>
                                    <a:lnTo>
                                      <a:pt x="187117" y="176525"/>
                                    </a:lnTo>
                                    <a:lnTo>
                                      <a:pt x="257727" y="109446"/>
                                    </a:lnTo>
                                    <a:lnTo>
                                      <a:pt x="345989" y="77671"/>
                                    </a:lnTo>
                                    <a:lnTo>
                                      <a:pt x="420130" y="67080"/>
                                    </a:lnTo>
                                    <a:lnTo>
                                      <a:pt x="483679" y="187117"/>
                                    </a:lnTo>
                                    <a:lnTo>
                                      <a:pt x="395416" y="264788"/>
                                    </a:lnTo>
                                    <a:lnTo>
                                      <a:pt x="247135" y="225952"/>
                                    </a:lnTo>
                                    <a:lnTo>
                                      <a:pt x="197708" y="296562"/>
                                    </a:lnTo>
                                    <a:lnTo>
                                      <a:pt x="236544" y="335398"/>
                                    </a:lnTo>
                                    <a:lnTo>
                                      <a:pt x="268318" y="338928"/>
                                    </a:lnTo>
                                    <a:lnTo>
                                      <a:pt x="324806" y="324806"/>
                                    </a:lnTo>
                                    <a:lnTo>
                                      <a:pt x="469557" y="271849"/>
                                    </a:ln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6" o:spid="_x0000_s1026" o:spt="100" style="position:absolute;left:0pt;margin-left:53.05pt;margin-top:30.1pt;height:26.7pt;width:59.5pt;z-index:251666432;v-text-anchor:middle;mso-width-relative:page;mso-height-relative:page;" filled="f" stroked="t" coordsize="755527,338928" o:gfxdata="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" path="m469557,271849l575472,310684,628429,218891,639021,187117,674326,123568,755527,60019,653143,0,561350,0,508392,7061,480148,17653,395416,42366,310684,24714c243274,16783,269776,24023,229483,10592l183586,0,148281,10592,49427,81202c19539,118562,34663,109768,14122,120037l0,169464,10591,201239,52958,296562,130629,275379,165934,201239,187117,176525,257727,109446,345989,77671,420130,67080,483679,187117,395416,264788,247135,225952,197708,296562,236544,335398,268318,338928,324806,324806,469557,271849xe">
                      <v:path o:connectlocs="469557,271849;575472,310684;628429,218891;639021,187117;674326,123568;755527,60019;653143,0;561350,0;508392,7061;480148,17653;395416,42366;310684,24714;229483,10592;183586,0;148281,10592;49427,81202;14122,120037;0,169464;10591,201239;52958,296562;130629,275379;165934,201239;187117,176525;257727,109446;345989,77671;420130,67080;483679,187117;395416,264788;247135,225952;197708,296562;236544,335398;268318,338928;324806,324806;469557,271849" o:connectangles="0,0,0,0,0,0,0,0,0,0,0,0,0,0,0,0,0,0,0,0,0,0,0,0,0,0,0,0,0,0,0,0,0,0"/>
                      <v:fill on="f" focussize="0,0"/>
                      <v:stroke weight="1pt" color="#EE0000 [3204]" miterlimit="8" joinstyle="miter"/>
                      <v:imagedata o:title=""/>
                      <o:lock v:ext="edit" aspectratio="f"/>
                    </v:shape>
                  </w:pict>
                </mc:Fallback>
              </mc:AlternateContent>
            </w:r>
            <w:r>
              <w:rPr>
                <w:rFonts w:cs="Times New Roman"/>
                <w:kern w:val="0"/>
                <w:szCs w:val="20"/>
              </w:rPr>
              <w:drawing>
                <wp:inline distT="0" distB="0" distL="0" distR="0">
                  <wp:extent cx="2616200" cy="1744345"/>
                  <wp:effectExtent l="0" t="0" r="12700" b="8255"/>
                  <wp:docPr id="8362033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03336" name="图片 5"/>
                          <pic:cNvPicPr>
                            <a:picLocks noChangeAspect="1" noChangeArrowheads="1"/>
                          </pic:cNvPicPr>
                        </pic:nvPicPr>
                        <pic:blipFill>
                          <a:blip r:embed="rId26"/>
                          <a:srcRect/>
                          <a:stretch>
                            <a:fillRect/>
                          </a:stretch>
                        </pic:blipFill>
                        <pic:spPr>
                          <a:xfrm>
                            <a:off x="0" y="0"/>
                            <a:ext cx="2636641" cy="1744345"/>
                          </a:xfrm>
                          <a:prstGeom prst="rect">
                            <a:avLst/>
                          </a:prstGeom>
                          <a:noFill/>
                          <a:ln>
                            <a:noFill/>
                          </a:ln>
                        </pic:spPr>
                      </pic:pic>
                    </a:graphicData>
                  </a:graphic>
                </wp:inline>
              </w:drawing>
            </w:r>
          </w:p>
        </w:tc>
      </w:tr>
      <w:tr w14:paraId="1F3A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51" w:type="dxa"/>
            <w:vAlign w:val="center"/>
          </w:tcPr>
          <w:p w14:paraId="4085809F">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10464" behindDoc="0" locked="0" layoutInCell="1" allowOverlap="1">
                      <wp:simplePos x="0" y="0"/>
                      <wp:positionH relativeFrom="column">
                        <wp:posOffset>1851660</wp:posOffset>
                      </wp:positionH>
                      <wp:positionV relativeFrom="paragraph">
                        <wp:posOffset>1515110</wp:posOffset>
                      </wp:positionV>
                      <wp:extent cx="706120" cy="249555"/>
                      <wp:effectExtent l="0" t="0" r="17780" b="17145"/>
                      <wp:wrapNone/>
                      <wp:docPr id="1153630226"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0099D25E">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5.8pt;margin-top:119.3pt;height:19.65pt;width:55.6pt;z-index:251710464;mso-width-relative:page;mso-height-relative:page;" fillcolor="#FFFFFF [3201]" filled="t" stroked="t" coordsize="21600,21600" o:gfxdata="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wAE0dcAAAALAQAADwAAAAAAAAABACAAAAAiAAAAZHJzL2Rvd25yZXYueG1sUEsBAhQAFAAAAAgA&#10;h07iQD9zAg5fAgAAwAQAAA4AAAAAAAAAAQAgAAAAJgEAAGRycy9lMm9Eb2MueG1sUEsFBgAAAAAG&#10;AAYAWQEAAPcFAAAAAA==&#10;">
                      <v:fill on="t" focussize="0,0"/>
                      <v:stroke weight="0.5pt" color="#000000" joinstyle="round"/>
                      <v:imagedata o:title=""/>
                      <o:lock v:ext="edit" aspectratio="f"/>
                      <v:textbox>
                        <w:txbxContent>
                          <w:p w14:paraId="0099D25E">
                            <w:pPr>
                              <w:spacing w:line="240" w:lineRule="auto"/>
                              <w:ind w:firstLine="0" w:firstLineChars="0"/>
                            </w:pPr>
                            <w:r>
                              <w:rPr>
                                <w:rFonts w:hint="eastAsia"/>
                              </w:rPr>
                              <w:t>2025.12</w:t>
                            </w:r>
                          </w:p>
                        </w:txbxContent>
                      </v:textbox>
                    </v:shape>
                  </w:pict>
                </mc:Fallback>
              </mc:AlternateContent>
            </w:r>
            <w:r>
              <w:rPr>
                <w:rFonts w:cs="Times New Roman"/>
                <w:kern w:val="0"/>
                <w:szCs w:val="20"/>
              </w:rPr>
              <mc:AlternateContent>
                <mc:Choice Requires="wps">
                  <w:drawing>
                    <wp:anchor distT="0" distB="0" distL="114300" distR="114300" simplePos="0" relativeHeight="251669504" behindDoc="0" locked="0" layoutInCell="1" allowOverlap="1">
                      <wp:simplePos x="0" y="0"/>
                      <wp:positionH relativeFrom="column">
                        <wp:posOffset>-360045</wp:posOffset>
                      </wp:positionH>
                      <wp:positionV relativeFrom="paragraph">
                        <wp:posOffset>955675</wp:posOffset>
                      </wp:positionV>
                      <wp:extent cx="909320" cy="262890"/>
                      <wp:effectExtent l="1270" t="0" r="3810" b="0"/>
                      <wp:wrapNone/>
                      <wp:docPr id="482850579"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1535A23E">
                                  <w:pPr>
                                    <w:ind w:firstLine="480"/>
                                    <w:rPr>
                                      <w:color w:val="FF0000"/>
                                    </w:rPr>
                                  </w:pPr>
                                  <w:r>
                                    <w:rPr>
                                      <w:rFonts w:hint="eastAsia"/>
                                      <w:color w:val="FF0000"/>
                                    </w:rPr>
                                    <w:t>S09</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28.35pt;margin-top:75.25pt;height:20.7pt;width:71.6pt;z-index:251669504;mso-width-relative:page;mso-height-relative:page;" filled="f" stroked="f" coordsize="21600,21600" o:gfxdata="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FNRt1wAA&#10;AAoBAAAPAAAAAAAAAAEAIAAAACIAAABkcnMvZG93bnJldi54bWxQSwECFAAUAAAACACHTuJA4xGG&#10;PR8CAAAdBAAADgAAAAAAAAABACAAAAAmAQAAZHJzL2Uyb0RvYy54bWxQSwUGAAAAAAYABgBZAQAA&#10;twUAAAAA&#10;">
                      <v:fill on="f" focussize="0,0"/>
                      <v:stroke on="f"/>
                      <v:imagedata o:title=""/>
                      <o:lock v:ext="edit" aspectratio="f"/>
                      <v:textbox>
                        <w:txbxContent>
                          <w:p w14:paraId="1535A23E">
                            <w:pPr>
                              <w:ind w:firstLine="480"/>
                              <w:rPr>
                                <w:color w:val="FF0000"/>
                              </w:rPr>
                            </w:pPr>
                            <w:r>
                              <w:rPr>
                                <w:rFonts w:hint="eastAsia"/>
                                <w:color w:val="FF0000"/>
                              </w:rPr>
                              <w:t>S09</w:t>
                            </w:r>
                          </w:p>
                        </w:txbxContent>
                      </v:textbox>
                    </v:shape>
                  </w:pict>
                </mc:Fallback>
              </mc:AlternateContent>
            </w:r>
            <w:r>
              <w:rPr>
                <w:rFonts w:cs="Times New Roman"/>
                <w:kern w:val="0"/>
                <w:szCs w:val="20"/>
              </w:rPr>
              <mc:AlternateContent>
                <mc:Choice Requires="wps">
                  <w:drawing>
                    <wp:anchor distT="0" distB="0" distL="114300" distR="114300" simplePos="0" relativeHeight="251668480" behindDoc="0" locked="0" layoutInCell="1" allowOverlap="1">
                      <wp:simplePos x="0" y="0"/>
                      <wp:positionH relativeFrom="column">
                        <wp:posOffset>607695</wp:posOffset>
                      </wp:positionH>
                      <wp:positionV relativeFrom="paragraph">
                        <wp:posOffset>616585</wp:posOffset>
                      </wp:positionV>
                      <wp:extent cx="909320" cy="262890"/>
                      <wp:effectExtent l="1270" t="0" r="3810" b="0"/>
                      <wp:wrapNone/>
                      <wp:docPr id="30165046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1B3C5348">
                                  <w:pPr>
                                    <w:ind w:firstLine="480"/>
                                    <w:rPr>
                                      <w:color w:val="FF0000"/>
                                    </w:rPr>
                                  </w:pPr>
                                  <w:r>
                                    <w:rPr>
                                      <w:rFonts w:hint="eastAsia"/>
                                      <w:color w:val="FF0000"/>
                                    </w:rPr>
                                    <w:t>S05</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47.85pt;margin-top:48.55pt;height:20.7pt;width:71.6pt;z-index:251668480;mso-width-relative:page;mso-height-relative:page;" filled="f" stroked="f" coordsize="21600,21600" o:gfxdata="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IvpvXAAAA&#10;CQEAAA8AAAAAAAAAAQAgAAAAIgAAAGRycy9kb3ducmV2LnhtbFBLAQIUABQAAAAIAIdO4kBMCPNf&#10;HgIAABwEAAAOAAAAAAAAAAEAIAAAACYBAABkcnMvZTJvRG9jLnhtbFBLBQYAAAAABgAGAFkBAAC2&#10;BQAAAAA=&#10;">
                      <v:fill on="f" focussize="0,0"/>
                      <v:stroke on="f"/>
                      <v:imagedata o:title=""/>
                      <o:lock v:ext="edit" aspectratio="f"/>
                      <v:textbox>
                        <w:txbxContent>
                          <w:p w14:paraId="1B3C5348">
                            <w:pPr>
                              <w:ind w:firstLine="480"/>
                              <w:rPr>
                                <w:color w:val="FF0000"/>
                              </w:rPr>
                            </w:pPr>
                            <w:r>
                              <w:rPr>
                                <w:rFonts w:hint="eastAsia"/>
                                <w:color w:val="FF0000"/>
                              </w:rPr>
                              <w:t>S05</w:t>
                            </w:r>
                          </w:p>
                        </w:txbxContent>
                      </v:textbox>
                    </v:shape>
                  </w:pict>
                </mc:Fallback>
              </mc:AlternateContent>
            </w:r>
            <w:r>
              <w:rPr>
                <w:rFonts w:cs="Times New Roman"/>
                <w:kern w:val="0"/>
                <w:szCs w:val="20"/>
              </w:rPr>
              <mc:AlternateContent>
                <mc:Choice Requires="wps">
                  <w:drawing>
                    <wp:anchor distT="0" distB="0" distL="114300" distR="114300" simplePos="0" relativeHeight="251672576" behindDoc="0" locked="0" layoutInCell="1" allowOverlap="1">
                      <wp:simplePos x="0" y="0"/>
                      <wp:positionH relativeFrom="column">
                        <wp:posOffset>-29210</wp:posOffset>
                      </wp:positionH>
                      <wp:positionV relativeFrom="paragraph">
                        <wp:posOffset>595630</wp:posOffset>
                      </wp:positionV>
                      <wp:extent cx="2108835" cy="618490"/>
                      <wp:effectExtent l="19050" t="19050" r="24765" b="29210"/>
                      <wp:wrapNone/>
                      <wp:docPr id="659844311" name="任意多边形: 形状 11"/>
                      <wp:cNvGraphicFramePr/>
                      <a:graphic xmlns:a="http://schemas.openxmlformats.org/drawingml/2006/main">
                        <a:graphicData uri="http://schemas.microsoft.com/office/word/2010/wordprocessingShape">
                          <wps:wsp>
                            <wps:cNvSpPr/>
                            <wps:spPr>
                              <a:xfrm>
                                <a:off x="0" y="0"/>
                                <a:ext cx="2108835" cy="618490"/>
                              </a:xfrm>
                              <a:custGeom>
                                <a:avLst/>
                                <a:gdLst>
                                  <a:gd name="csX0" fmla="*/ 2114771 w 2114771"/>
                                  <a:gd name="csY0" fmla="*/ 338928 h 589594"/>
                                  <a:gd name="csX1" fmla="*/ 1987673 w 2114771"/>
                                  <a:gd name="csY1" fmla="*/ 571942 h 589594"/>
                                  <a:gd name="csX2" fmla="*/ 1740538 w 2114771"/>
                                  <a:gd name="csY2" fmla="*/ 586064 h 589594"/>
                                  <a:gd name="csX3" fmla="*/ 1482811 w 2114771"/>
                                  <a:gd name="csY3" fmla="*/ 543698 h 589594"/>
                                  <a:gd name="csX4" fmla="*/ 1408670 w 2114771"/>
                                  <a:gd name="csY4" fmla="*/ 533106 h 589594"/>
                                  <a:gd name="csX5" fmla="*/ 1274511 w 2114771"/>
                                  <a:gd name="csY5" fmla="*/ 518984 h 589594"/>
                                  <a:gd name="csX6" fmla="*/ 1112108 w 2114771"/>
                                  <a:gd name="csY6" fmla="*/ 469557 h 589594"/>
                                  <a:gd name="csX7" fmla="*/ 1016785 w 2114771"/>
                                  <a:gd name="csY7" fmla="*/ 469557 h 589594"/>
                                  <a:gd name="csX8" fmla="*/ 981480 w 2114771"/>
                                  <a:gd name="csY8" fmla="*/ 458966 h 589594"/>
                                  <a:gd name="csX9" fmla="*/ 780241 w 2114771"/>
                                  <a:gd name="csY9" fmla="*/ 469557 h 589594"/>
                                  <a:gd name="csX10" fmla="*/ 593124 w 2114771"/>
                                  <a:gd name="csY10" fmla="*/ 423661 h 589594"/>
                                  <a:gd name="csX11" fmla="*/ 536636 w 2114771"/>
                                  <a:gd name="csY11" fmla="*/ 423661 h 589594"/>
                                  <a:gd name="csX12" fmla="*/ 384825 w 2114771"/>
                                  <a:gd name="csY12" fmla="*/ 455435 h 589594"/>
                                  <a:gd name="csX13" fmla="*/ 353050 w 2114771"/>
                                  <a:gd name="csY13" fmla="*/ 466027 h 589594"/>
                                  <a:gd name="csX14" fmla="*/ 77671 w 2114771"/>
                                  <a:gd name="csY14" fmla="*/ 589594 h 589594"/>
                                  <a:gd name="csX15" fmla="*/ 0 w 2114771"/>
                                  <a:gd name="csY15" fmla="*/ 469557 h 589594"/>
                                  <a:gd name="csX16" fmla="*/ 282440 w 2114771"/>
                                  <a:gd name="csY16" fmla="*/ 427191 h 589594"/>
                                  <a:gd name="csX17" fmla="*/ 522514 w 2114771"/>
                                  <a:gd name="csY17" fmla="*/ 356581 h 589594"/>
                                  <a:gd name="csX18" fmla="*/ 674326 w 2114771"/>
                                  <a:gd name="csY18" fmla="*/ 317745 h 589594"/>
                                  <a:gd name="csX19" fmla="*/ 903809 w 2114771"/>
                                  <a:gd name="csY19" fmla="*/ 271849 h 589594"/>
                                  <a:gd name="csX20" fmla="*/ 949705 w 2114771"/>
                                  <a:gd name="csY20" fmla="*/ 194178 h 589594"/>
                                  <a:gd name="csX21" fmla="*/ 1073273 w 2114771"/>
                                  <a:gd name="csY21" fmla="*/ 74141 h 589594"/>
                                  <a:gd name="csX22" fmla="*/ 1341591 w 2114771"/>
                                  <a:gd name="csY22" fmla="*/ 0 h 589594"/>
                                  <a:gd name="csX23" fmla="*/ 1482811 w 2114771"/>
                                  <a:gd name="csY23" fmla="*/ 10592 h 589594"/>
                                  <a:gd name="csX24" fmla="*/ 1334530 w 2114771"/>
                                  <a:gd name="csY24" fmla="*/ 98854 h 589594"/>
                                  <a:gd name="csX25" fmla="*/ 1274511 w 2114771"/>
                                  <a:gd name="csY25" fmla="*/ 172995 h 589594"/>
                                  <a:gd name="csX26" fmla="*/ 1316877 w 2114771"/>
                                  <a:gd name="csY26" fmla="*/ 261257 h 589594"/>
                                  <a:gd name="csX27" fmla="*/ 1334530 w 2114771"/>
                                  <a:gd name="csY27" fmla="*/ 285971 h 589594"/>
                                  <a:gd name="csX28" fmla="*/ 1511055 w 2114771"/>
                                  <a:gd name="csY28" fmla="*/ 370703 h 589594"/>
                                  <a:gd name="csX29" fmla="*/ 1740538 w 2114771"/>
                                  <a:gd name="csY29" fmla="*/ 282440 h 589594"/>
                                  <a:gd name="csX30" fmla="*/ 1881758 w 2114771"/>
                                  <a:gd name="csY30" fmla="*/ 225952 h 589594"/>
                                  <a:gd name="csX31" fmla="*/ 2114771 w 2114771"/>
                                  <a:gd name="csY31" fmla="*/ 338928 h 58959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Lst>
                                <a:rect l="l" t="t" r="r" b="b"/>
                                <a:pathLst>
                                  <a:path w="2114771" h="589594">
                                    <a:moveTo>
                                      <a:pt x="2114771" y="338928"/>
                                    </a:moveTo>
                                    <a:lnTo>
                                      <a:pt x="1987673" y="571942"/>
                                    </a:lnTo>
                                    <a:lnTo>
                                      <a:pt x="1740538" y="586064"/>
                                    </a:lnTo>
                                    <a:lnTo>
                                      <a:pt x="1482811" y="543698"/>
                                    </a:lnTo>
                                    <a:lnTo>
                                      <a:pt x="1408670" y="533106"/>
                                    </a:lnTo>
                                    <a:lnTo>
                                      <a:pt x="1274511" y="518984"/>
                                    </a:lnTo>
                                    <a:lnTo>
                                      <a:pt x="1112108" y="469557"/>
                                    </a:lnTo>
                                    <a:lnTo>
                                      <a:pt x="1016785" y="469557"/>
                                    </a:lnTo>
                                    <a:lnTo>
                                      <a:pt x="981480" y="458966"/>
                                    </a:lnTo>
                                    <a:lnTo>
                                      <a:pt x="780241" y="469557"/>
                                    </a:lnTo>
                                    <a:lnTo>
                                      <a:pt x="593124" y="423661"/>
                                    </a:lnTo>
                                    <a:lnTo>
                                      <a:pt x="536636" y="423661"/>
                                    </a:lnTo>
                                    <a:lnTo>
                                      <a:pt x="384825" y="455435"/>
                                    </a:lnTo>
                                    <a:cubicBezTo>
                                      <a:pt x="355479" y="466440"/>
                                      <a:pt x="366636" y="466027"/>
                                      <a:pt x="353050" y="466027"/>
                                    </a:cubicBezTo>
                                    <a:lnTo>
                                      <a:pt x="77671" y="589594"/>
                                    </a:lnTo>
                                    <a:lnTo>
                                      <a:pt x="0" y="469557"/>
                                    </a:lnTo>
                                    <a:lnTo>
                                      <a:pt x="282440" y="427191"/>
                                    </a:lnTo>
                                    <a:lnTo>
                                      <a:pt x="522514" y="356581"/>
                                    </a:lnTo>
                                    <a:lnTo>
                                      <a:pt x="674326" y="317745"/>
                                    </a:lnTo>
                                    <a:lnTo>
                                      <a:pt x="903809" y="271849"/>
                                    </a:lnTo>
                                    <a:lnTo>
                                      <a:pt x="949705" y="194178"/>
                                    </a:lnTo>
                                    <a:lnTo>
                                      <a:pt x="1073273" y="74141"/>
                                    </a:lnTo>
                                    <a:lnTo>
                                      <a:pt x="1341591" y="0"/>
                                    </a:lnTo>
                                    <a:lnTo>
                                      <a:pt x="1482811" y="10592"/>
                                    </a:lnTo>
                                    <a:lnTo>
                                      <a:pt x="1334530" y="98854"/>
                                    </a:lnTo>
                                    <a:lnTo>
                                      <a:pt x="1274511" y="172995"/>
                                    </a:lnTo>
                                    <a:lnTo>
                                      <a:pt x="1316877" y="261257"/>
                                    </a:lnTo>
                                    <a:lnTo>
                                      <a:pt x="1334530" y="285971"/>
                                    </a:lnTo>
                                    <a:lnTo>
                                      <a:pt x="1511055" y="370703"/>
                                    </a:lnTo>
                                    <a:lnTo>
                                      <a:pt x="1740538" y="282440"/>
                                    </a:lnTo>
                                    <a:lnTo>
                                      <a:pt x="1881758" y="225952"/>
                                    </a:lnTo>
                                    <a:lnTo>
                                      <a:pt x="2114771" y="338928"/>
                                    </a:ln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1" o:spid="_x0000_s1026" o:spt="100" style="position:absolute;left:0pt;margin-left:-2.3pt;margin-top:46.9pt;height:48.7pt;width:166.05pt;z-index:251672576;v-text-anchor:middle;mso-width-relative:page;mso-height-relative:page;" filled="f" stroked="t" coordsize="2114771,589594" o:gfxdata="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GqiKQzVAAAA&#10;CQEAAA8AAAAAAAAAAQAgAAAAIgAAAGRycy9kb3ducmV2LnhtbFBLAQIUABQAAAAIAIdO4kCie2g8&#10;PwcAAGEdAAAOAAAAAAAAAAEAIAAAACQBAABkcnMvZTJvRG9jLnhtbFBLBQYAAAAABgAGAFkBAADV&#10;CgAAAAA=&#10;" path="m2114771,338928l1987673,571942,1740538,586064,1482811,543698,1408670,533106,1274511,518984,1112108,469557,1016785,469557,981480,458966,780241,469557,593124,423661,536636,423661,384825,455435c355479,466440,366636,466027,353050,466027l77671,589594,0,469557,282440,427191,522514,356581,674326,317745,903809,271849,949705,194178,1073273,74141,1341591,0,1482811,10592,1334530,98854,1274511,172995,1316877,261257,1334530,285971,1511055,370703,1740538,282440,1881758,225952,2114771,338928xe">
                      <v:path o:connectlocs="2108835,355538;1982093,599972;1735652,614786;1478648,570344;1404715,559233;1270933,544419;1108986,492569;1013930,492569;978725,481459;778050,492569;591459,444424;535129,444424;383744,477755;352059,488866;77452,618490;0,492569;281647,448127;521047,374057;672433,333317;901272,285172;947039,203694;1070260,77774;1337825,0;1478648,11111;1330784,103698;1270933,181473;1313180,274061;1330784,299986;1506813,388871;1735652,296282;1876476,237025;2108835,355538" o:connectangles="0,0,0,0,0,0,0,0,0,0,0,0,0,0,0,0,0,0,0,0,0,0,0,0,0,0,0,0,0,0,0,0"/>
                      <v:fill on="f" focussize="0,0"/>
                      <v:stroke weight="1pt" color="#EE0000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71552" behindDoc="0" locked="0" layoutInCell="1" allowOverlap="1">
                      <wp:simplePos x="0" y="0"/>
                      <wp:positionH relativeFrom="column">
                        <wp:posOffset>470535</wp:posOffset>
                      </wp:positionH>
                      <wp:positionV relativeFrom="paragraph">
                        <wp:posOffset>804545</wp:posOffset>
                      </wp:positionV>
                      <wp:extent cx="909320" cy="262890"/>
                      <wp:effectExtent l="1270" t="0" r="3810" b="0"/>
                      <wp:wrapNone/>
                      <wp:docPr id="49075063"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1F195022">
                                  <w:pPr>
                                    <w:ind w:firstLine="480"/>
                                    <w:rPr>
                                      <w:color w:val="FF0000"/>
                                    </w:rPr>
                                  </w:pPr>
                                  <w:r>
                                    <w:rPr>
                                      <w:rFonts w:hint="eastAsia"/>
                                      <w:color w:val="FF0000"/>
                                    </w:rPr>
                                    <w:t>S07</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37.05pt;margin-top:63.35pt;height:20.7pt;width:71.6pt;z-index:251671552;mso-width-relative:page;mso-height-relative:page;" filled="f" stroked="f" coordsize="21600,21600" o:gfxdata="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GzvXtcAAAAK&#10;AQAADwAAAAAAAAABACAAAAAiAAAAZHJzL2Rvd25yZXYueG1sUEsBAhQAFAAAAAgAh07iQMFGfnUd&#10;AgAAHAQAAA4AAAAAAAAAAQAgAAAAJgEAAGRycy9lMm9Eb2MueG1sUEsFBgAAAAAGAAYAWQEAALUF&#10;AAAAAA==&#10;">
                      <v:fill on="f" focussize="0,0"/>
                      <v:stroke on="f"/>
                      <v:imagedata o:title=""/>
                      <o:lock v:ext="edit" aspectratio="f"/>
                      <v:textbox>
                        <w:txbxContent>
                          <w:p w14:paraId="1F195022">
                            <w:pPr>
                              <w:ind w:firstLine="480"/>
                              <w:rPr>
                                <w:color w:val="FF0000"/>
                              </w:rPr>
                            </w:pPr>
                            <w:r>
                              <w:rPr>
                                <w:rFonts w:hint="eastAsia"/>
                                <w:color w:val="FF0000"/>
                              </w:rPr>
                              <w:t>S07</w:t>
                            </w:r>
                          </w:p>
                        </w:txbxContent>
                      </v:textbox>
                    </v:shape>
                  </w:pict>
                </mc:Fallback>
              </mc:AlternateContent>
            </w:r>
            <w:r>
              <w:rPr>
                <w:rFonts w:cs="Times New Roman"/>
                <w:kern w:val="0"/>
                <w:szCs w:val="20"/>
              </w:rPr>
              <mc:AlternateContent>
                <mc:Choice Requires="wps">
                  <w:drawing>
                    <wp:anchor distT="0" distB="0" distL="114300" distR="114300" simplePos="0" relativeHeight="251670528" behindDoc="0" locked="0" layoutInCell="1" allowOverlap="1">
                      <wp:simplePos x="0" y="0"/>
                      <wp:positionH relativeFrom="column">
                        <wp:posOffset>1089660</wp:posOffset>
                      </wp:positionH>
                      <wp:positionV relativeFrom="paragraph">
                        <wp:posOffset>932815</wp:posOffset>
                      </wp:positionV>
                      <wp:extent cx="909320" cy="262890"/>
                      <wp:effectExtent l="0" t="0" r="0" b="3810"/>
                      <wp:wrapNone/>
                      <wp:docPr id="1406675187"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655C40FE">
                                  <w:pPr>
                                    <w:ind w:firstLine="480"/>
                                    <w:rPr>
                                      <w:color w:val="FF0000"/>
                                    </w:rPr>
                                  </w:pPr>
                                  <w:r>
                                    <w:rPr>
                                      <w:rFonts w:hint="eastAsia"/>
                                      <w:color w:val="FF0000"/>
                                    </w:rPr>
                                    <w:t>S08</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85.8pt;margin-top:73.45pt;height:20.7pt;width:71.6pt;z-index:251670528;mso-width-relative:page;mso-height-relative:page;" filled="f" stroked="f" coordsize="21600,21600" o:gfxdata="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TB5K1wAA&#10;AAsBAAAPAAAAAAAAAAEAIAAAACIAAABkcnMvZG93bnJldi54bWxQSwECFAAUAAAACACHTuJAXKxU&#10;ax8CAAAeBAAADgAAAAAAAAABACAAAAAmAQAAZHJzL2Uyb0RvYy54bWxQSwUGAAAAAAYABgBZAQAA&#10;twUAAAAA&#10;">
                      <v:fill on="f" focussize="0,0"/>
                      <v:stroke on="f"/>
                      <v:imagedata o:title=""/>
                      <o:lock v:ext="edit" aspectratio="f"/>
                      <v:textbox>
                        <w:txbxContent>
                          <w:p w14:paraId="655C40FE">
                            <w:pPr>
                              <w:ind w:firstLine="480"/>
                              <w:rPr>
                                <w:color w:val="FF0000"/>
                              </w:rPr>
                            </w:pPr>
                            <w:r>
                              <w:rPr>
                                <w:rFonts w:hint="eastAsia"/>
                                <w:color w:val="FF0000"/>
                              </w:rPr>
                              <w:t>S08</w:t>
                            </w:r>
                          </w:p>
                        </w:txbxContent>
                      </v:textbox>
                    </v:shape>
                  </w:pict>
                </mc:Fallback>
              </mc:AlternateContent>
            </w:r>
            <w:r>
              <w:rPr>
                <w:rFonts w:cs="Times New Roman"/>
                <w:kern w:val="0"/>
                <w:szCs w:val="20"/>
              </w:rPr>
              <w:drawing>
                <wp:inline distT="0" distB="0" distL="0" distR="0">
                  <wp:extent cx="2555875" cy="1703705"/>
                  <wp:effectExtent l="0" t="0" r="15875" b="10795"/>
                  <wp:docPr id="5127168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16823" name="图片 8"/>
                          <pic:cNvPicPr>
                            <a:picLocks noChangeAspect="1" noChangeArrowheads="1"/>
                          </pic:cNvPicPr>
                        </pic:nvPicPr>
                        <pic:blipFill>
                          <a:blip r:embed="rId27"/>
                          <a:srcRect/>
                          <a:stretch>
                            <a:fillRect/>
                          </a:stretch>
                        </pic:blipFill>
                        <pic:spPr>
                          <a:xfrm>
                            <a:off x="0" y="0"/>
                            <a:ext cx="2565882" cy="1703705"/>
                          </a:xfrm>
                          <a:prstGeom prst="rect">
                            <a:avLst/>
                          </a:prstGeom>
                          <a:noFill/>
                          <a:ln>
                            <a:noFill/>
                          </a:ln>
                        </pic:spPr>
                      </pic:pic>
                    </a:graphicData>
                  </a:graphic>
                </wp:inline>
              </w:drawing>
            </w:r>
            <w:r>
              <w:rPr>
                <w:rFonts w:cs="Times New Roman"/>
                <w:kern w:val="0"/>
                <w:szCs w:val="20"/>
              </w:rPr>
              <mc:AlternateContent>
                <mc:Choice Requires="wps">
                  <w:drawing>
                    <wp:anchor distT="0" distB="0" distL="114300" distR="114300" simplePos="0" relativeHeight="251662336" behindDoc="0" locked="0" layoutInCell="1" allowOverlap="1">
                      <wp:simplePos x="0" y="0"/>
                      <wp:positionH relativeFrom="column">
                        <wp:posOffset>1405890</wp:posOffset>
                      </wp:positionH>
                      <wp:positionV relativeFrom="paragraph">
                        <wp:posOffset>256540</wp:posOffset>
                      </wp:positionV>
                      <wp:extent cx="0" cy="0"/>
                      <wp:effectExtent l="0" t="0" r="0" b="0"/>
                      <wp:wrapNone/>
                      <wp:docPr id="884781725" name="任意多边形: 形状 5"/>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5" o:spid="_x0000_s1026" o:spt="100" style="position:absolute;left:0pt;margin-left:110.7pt;margin-top:20.2pt;height:0pt;width:0pt;z-index:251662336;v-text-anchor:middle;mso-width-relative:page;mso-height-relative:page;" filled="f" stroked="t" coordsize="0,0" o:gfxdata="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Ans20bUAAAACQEAAA8AAAAAAAAAAQAgAAAAIgAAAGRycy9kb3ducmV2&#10;LnhtbFBLAQIUABQAAAAIAIdO4kDrPA9oHQMAANMGAAAOAAAAAAAAAAEAIAAAACMBAABkcnMvZTJv&#10;RG9jLnhtbFBLBQYAAAAABgAGAFkBAACyBgAAAAA=&#10;" path="m0,0l0,0e">
                      <v:path o:connectlocs="@0,@0;@0,@0" o:connectangles="0,0"/>
                      <v:fill on="f" focussize="0,0"/>
                      <v:stroke weight="1pt" color="#223F59 [3204]" miterlimit="8" joinstyle="miter"/>
                      <v:imagedata o:title=""/>
                      <o:lock v:ext="edit" aspectratio="f"/>
                    </v:shape>
                  </w:pict>
                </mc:Fallback>
              </mc:AlternateContent>
            </w:r>
          </w:p>
        </w:tc>
        <w:tc>
          <w:tcPr>
            <w:tcW w:w="4151" w:type="dxa"/>
            <w:vAlign w:val="center"/>
          </w:tcPr>
          <w:p w14:paraId="5CA41EB0">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11488" behindDoc="0" locked="0" layoutInCell="1" allowOverlap="1">
                      <wp:simplePos x="0" y="0"/>
                      <wp:positionH relativeFrom="column">
                        <wp:posOffset>1817370</wp:posOffset>
                      </wp:positionH>
                      <wp:positionV relativeFrom="paragraph">
                        <wp:posOffset>1522730</wp:posOffset>
                      </wp:positionV>
                      <wp:extent cx="706120" cy="249555"/>
                      <wp:effectExtent l="0" t="0" r="17780" b="17145"/>
                      <wp:wrapNone/>
                      <wp:docPr id="153397119"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7CB34DCA">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3.1pt;margin-top:119.9pt;height:19.65pt;width:55.6pt;z-index:251711488;mso-width-relative:page;mso-height-relative:page;" fillcolor="#FFFFFF [3201]" filled="t" stroked="t" coordsize="21600,21600" o:gfxdata="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K+evYAAAACwEAAA8AAAAAAAAAAQAgAAAAIgAAAGRycy9kb3ducmV2LnhtbFBLAQIUABQAAAAI&#10;AIdO4kCEINeoXwIAAL8EAAAOAAAAAAAAAAEAIAAAACcBAABkcnMvZTJvRG9jLnhtbFBLBQYAAAAA&#10;BgAGAFkBAAD4BQAAAAA=&#10;">
                      <v:fill on="t" focussize="0,0"/>
                      <v:stroke weight="0.5pt" color="#000000" joinstyle="round"/>
                      <v:imagedata o:title=""/>
                      <o:lock v:ext="edit" aspectratio="f"/>
                      <v:textbox>
                        <w:txbxContent>
                          <w:p w14:paraId="7CB34DCA">
                            <w:pPr>
                              <w:spacing w:line="240" w:lineRule="auto"/>
                              <w:ind w:firstLine="0" w:firstLineChars="0"/>
                            </w:pPr>
                            <w:r>
                              <w:rPr>
                                <w:rFonts w:hint="eastAsia"/>
                              </w:rPr>
                              <w:t>2025.12</w:t>
                            </w:r>
                          </w:p>
                        </w:txbxContent>
                      </v:textbox>
                    </v:shape>
                  </w:pict>
                </mc:Fallback>
              </mc:AlternateContent>
            </w:r>
            <w:r>
              <w:rPr>
                <w:rFonts w:cs="Times New Roman"/>
                <w:kern w:val="0"/>
                <w:szCs w:val="20"/>
              </w:rPr>
              <mc:AlternateContent>
                <mc:Choice Requires="wps">
                  <w:drawing>
                    <wp:anchor distT="0" distB="0" distL="114300" distR="114300" simplePos="0" relativeHeight="251673600" behindDoc="0" locked="0" layoutInCell="1" allowOverlap="1">
                      <wp:simplePos x="0" y="0"/>
                      <wp:positionH relativeFrom="column">
                        <wp:posOffset>429895</wp:posOffset>
                      </wp:positionH>
                      <wp:positionV relativeFrom="paragraph">
                        <wp:posOffset>596900</wp:posOffset>
                      </wp:positionV>
                      <wp:extent cx="909320" cy="262890"/>
                      <wp:effectExtent l="0" t="0" r="0" b="3810"/>
                      <wp:wrapNone/>
                      <wp:docPr id="1789728628"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1681AEF4">
                                  <w:pPr>
                                    <w:ind w:firstLine="480"/>
                                    <w:rPr>
                                      <w:color w:val="FF0000"/>
                                    </w:rPr>
                                  </w:pPr>
                                  <w:r>
                                    <w:rPr>
                                      <w:rFonts w:hint="eastAsia"/>
                                      <w:color w:val="FF0000"/>
                                    </w:rPr>
                                    <w:t>S10</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33.85pt;margin-top:47pt;height:20.7pt;width:71.6pt;z-index:251673600;mso-width-relative:page;mso-height-relative:page;" filled="f" stroked="f" coordsize="21600,21600" o:gfxdata="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oyvJtcAAAAJ&#10;AQAADwAAAAAAAAABACAAAAAiAAAAZHJzL2Rvd25yZXYueG1sUEsBAhQAFAAAAAgAh07iQLM8688d&#10;AgAAHgQAAA4AAAAAAAAAAQAgAAAAJgEAAGRycy9lMm9Eb2MueG1sUEsFBgAAAAAGAAYAWQEAALUF&#10;AAAAAA==&#10;">
                      <v:fill on="f" focussize="0,0"/>
                      <v:stroke on="f"/>
                      <v:imagedata o:title=""/>
                      <o:lock v:ext="edit" aspectratio="f"/>
                      <v:textbox>
                        <w:txbxContent>
                          <w:p w14:paraId="1681AEF4">
                            <w:pPr>
                              <w:ind w:firstLine="480"/>
                              <w:rPr>
                                <w:color w:val="FF0000"/>
                              </w:rPr>
                            </w:pPr>
                            <w:r>
                              <w:rPr>
                                <w:rFonts w:hint="eastAsia"/>
                                <w:color w:val="FF0000"/>
                              </w:rPr>
                              <w:t>S10</w:t>
                            </w:r>
                          </w:p>
                        </w:txbxContent>
                      </v:textbox>
                    </v:shape>
                  </w:pict>
                </mc:Fallback>
              </mc:AlternateContent>
            </w:r>
            <w:r>
              <w:rPr>
                <w:rFonts w:cs="Times New Roman"/>
                <w:kern w:val="0"/>
                <w:szCs w:val="20"/>
              </w:rPr>
              <mc:AlternateContent>
                <mc:Choice Requires="wps">
                  <w:drawing>
                    <wp:anchor distT="0" distB="0" distL="114300" distR="114300" simplePos="0" relativeHeight="251675648" behindDoc="0" locked="0" layoutInCell="1" allowOverlap="1">
                      <wp:simplePos x="0" y="0"/>
                      <wp:positionH relativeFrom="column">
                        <wp:posOffset>274320</wp:posOffset>
                      </wp:positionH>
                      <wp:positionV relativeFrom="paragraph">
                        <wp:posOffset>368300</wp:posOffset>
                      </wp:positionV>
                      <wp:extent cx="1193165" cy="812165"/>
                      <wp:effectExtent l="19050" t="0" r="45085" b="26670"/>
                      <wp:wrapNone/>
                      <wp:docPr id="1654422355" name="任意多边形: 形状 16"/>
                      <wp:cNvGraphicFramePr/>
                      <a:graphic xmlns:a="http://schemas.openxmlformats.org/drawingml/2006/main">
                        <a:graphicData uri="http://schemas.microsoft.com/office/word/2010/wordprocessingShape">
                          <wps:wsp>
                            <wps:cNvSpPr/>
                            <wps:spPr>
                              <a:xfrm>
                                <a:off x="0" y="0"/>
                                <a:ext cx="1193310" cy="812138"/>
                              </a:xfrm>
                              <a:custGeom>
                                <a:avLst/>
                                <a:gdLst>
                                  <a:gd name="csX0" fmla="*/ 328337 w 1193310"/>
                                  <a:gd name="csY0" fmla="*/ 81202 h 812138"/>
                                  <a:gd name="csX1" fmla="*/ 194178 w 1193310"/>
                                  <a:gd name="csY1" fmla="*/ 172995 h 812138"/>
                                  <a:gd name="csX2" fmla="*/ 137690 w 1193310"/>
                                  <a:gd name="csY2" fmla="*/ 233013 h 812138"/>
                                  <a:gd name="csX3" fmla="*/ 10592 w 1193310"/>
                                  <a:gd name="csY3" fmla="*/ 349520 h 812138"/>
                                  <a:gd name="csX4" fmla="*/ 0 w 1193310"/>
                                  <a:gd name="csY4" fmla="*/ 469557 h 812138"/>
                                  <a:gd name="csX5" fmla="*/ 35305 w 1193310"/>
                                  <a:gd name="csY5" fmla="*/ 469557 h 812138"/>
                                  <a:gd name="csX6" fmla="*/ 144751 w 1193310"/>
                                  <a:gd name="csY6" fmla="*/ 391886 h 812138"/>
                                  <a:gd name="csX7" fmla="*/ 183586 w 1193310"/>
                                  <a:gd name="csY7" fmla="*/ 370703 h 812138"/>
                                  <a:gd name="csX8" fmla="*/ 222422 w 1193310"/>
                                  <a:gd name="csY8" fmla="*/ 398947 h 812138"/>
                                  <a:gd name="csX9" fmla="*/ 201239 w 1193310"/>
                                  <a:gd name="csY9" fmla="*/ 466026 h 812138"/>
                                  <a:gd name="csX10" fmla="*/ 243605 w 1193310"/>
                                  <a:gd name="csY10" fmla="*/ 469557 h 812138"/>
                                  <a:gd name="csX11" fmla="*/ 370703 w 1193310"/>
                                  <a:gd name="csY11" fmla="*/ 409538 h 812138"/>
                                  <a:gd name="csX12" fmla="*/ 540167 w 1193310"/>
                                  <a:gd name="csY12" fmla="*/ 211830 h 812138"/>
                                  <a:gd name="csX13" fmla="*/ 589594 w 1193310"/>
                                  <a:gd name="csY13" fmla="*/ 261257 h 812138"/>
                                  <a:gd name="csX14" fmla="*/ 575472 w 1193310"/>
                                  <a:gd name="csY14" fmla="*/ 296562 h 812138"/>
                                  <a:gd name="csX15" fmla="*/ 444843 w 1193310"/>
                                  <a:gd name="csY15" fmla="*/ 384825 h 812138"/>
                                  <a:gd name="csX16" fmla="*/ 409538 w 1193310"/>
                                  <a:gd name="csY16" fmla="*/ 444843 h 812138"/>
                                  <a:gd name="csX17" fmla="*/ 427191 w 1193310"/>
                                  <a:gd name="csY17" fmla="*/ 473087 h 812138"/>
                                  <a:gd name="csX18" fmla="*/ 430721 w 1193310"/>
                                  <a:gd name="csY18" fmla="*/ 600185 h 812138"/>
                                  <a:gd name="csX19" fmla="*/ 402477 w 1193310"/>
                                  <a:gd name="csY19" fmla="*/ 797894 h 812138"/>
                                  <a:gd name="csX20" fmla="*/ 458966 w 1193310"/>
                                  <a:gd name="csY20" fmla="*/ 808485 h 812138"/>
                                  <a:gd name="csX21" fmla="*/ 561350 w 1193310"/>
                                  <a:gd name="csY21" fmla="*/ 748467 h 812138"/>
                                  <a:gd name="csX22" fmla="*/ 589594 w 1193310"/>
                                  <a:gd name="csY22" fmla="*/ 695509 h 812138"/>
                                  <a:gd name="csX23" fmla="*/ 649613 w 1193310"/>
                                  <a:gd name="csY23" fmla="*/ 575472 h 812138"/>
                                  <a:gd name="csX24" fmla="*/ 734345 w 1193310"/>
                                  <a:gd name="csY24" fmla="*/ 522514 h 812138"/>
                                  <a:gd name="csX25" fmla="*/ 808485 w 1193310"/>
                                  <a:gd name="csY25" fmla="*/ 607246 h 812138"/>
                                  <a:gd name="csX26" fmla="*/ 896748 w 1193310"/>
                                  <a:gd name="csY26" fmla="*/ 716692 h 812138"/>
                                  <a:gd name="csX27" fmla="*/ 1179188 w 1193310"/>
                                  <a:gd name="csY27" fmla="*/ 769650 h 812138"/>
                                  <a:gd name="csX28" fmla="*/ 1193310 w 1193310"/>
                                  <a:gd name="csY28" fmla="*/ 737875 h 812138"/>
                                  <a:gd name="csX29" fmla="*/ 1172127 w 1193310"/>
                                  <a:gd name="csY29" fmla="*/ 603716 h 812138"/>
                                  <a:gd name="csX30" fmla="*/ 1147413 w 1193310"/>
                                  <a:gd name="csY30" fmla="*/ 579002 h 812138"/>
                                  <a:gd name="csX31" fmla="*/ 946175 w 1193310"/>
                                  <a:gd name="csY31" fmla="*/ 547228 h 812138"/>
                                  <a:gd name="csX32" fmla="*/ 879095 w 1193310"/>
                                  <a:gd name="csY32" fmla="*/ 480148 h 812138"/>
                                  <a:gd name="csX33" fmla="*/ 879095 w 1193310"/>
                                  <a:gd name="csY33" fmla="*/ 448374 h 812138"/>
                                  <a:gd name="csX34" fmla="*/ 921461 w 1193310"/>
                                  <a:gd name="csY34" fmla="*/ 303623 h 812138"/>
                                  <a:gd name="csX35" fmla="*/ 829668 w 1193310"/>
                                  <a:gd name="csY35" fmla="*/ 268318 h 812138"/>
                                  <a:gd name="csX36" fmla="*/ 822607 w 1193310"/>
                                  <a:gd name="csY36" fmla="*/ 236544 h 812138"/>
                                  <a:gd name="csX37" fmla="*/ 741406 w 1193310"/>
                                  <a:gd name="csY37" fmla="*/ 148281 h 812138"/>
                                  <a:gd name="csX38" fmla="*/ 801424 w 1193310"/>
                                  <a:gd name="csY38" fmla="*/ 74141 h 812138"/>
                                  <a:gd name="csX39" fmla="*/ 780241 w 1193310"/>
                                  <a:gd name="csY39" fmla="*/ 0 h 812138"/>
                                  <a:gd name="csX40" fmla="*/ 748467 w 1193310"/>
                                  <a:gd name="csY40" fmla="*/ 0 h 812138"/>
                                  <a:gd name="csX41" fmla="*/ 582533 w 1193310"/>
                                  <a:gd name="csY41" fmla="*/ 52958 h 812138"/>
                                  <a:gd name="csX42" fmla="*/ 494271 w 1193310"/>
                                  <a:gd name="csY42" fmla="*/ 60019 h 812138"/>
                                  <a:gd name="csX43" fmla="*/ 434252 w 1193310"/>
                                  <a:gd name="csY43" fmla="*/ 70610 h 812138"/>
                                  <a:gd name="csX44" fmla="*/ 328337 w 1193310"/>
                                  <a:gd name="csY44" fmla="*/ 81202 h 81213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Lst>
                                <a:rect l="l" t="t" r="r" b="b"/>
                                <a:pathLst>
                                  <a:path w="1193310" h="812138">
                                    <a:moveTo>
                                      <a:pt x="328337" y="81202"/>
                                    </a:moveTo>
                                    <a:lnTo>
                                      <a:pt x="194178" y="172995"/>
                                    </a:lnTo>
                                    <a:cubicBezTo>
                                      <a:pt x="144884" y="226081"/>
                                      <a:pt x="164179" y="206524"/>
                                      <a:pt x="137690" y="233013"/>
                                    </a:cubicBezTo>
                                    <a:lnTo>
                                      <a:pt x="10592" y="349520"/>
                                    </a:lnTo>
                                    <a:lnTo>
                                      <a:pt x="0" y="469557"/>
                                    </a:lnTo>
                                    <a:lnTo>
                                      <a:pt x="35305" y="469557"/>
                                    </a:lnTo>
                                    <a:lnTo>
                                      <a:pt x="144751" y="391886"/>
                                    </a:lnTo>
                                    <a:cubicBezTo>
                                      <a:pt x="178825" y="372955"/>
                                      <a:pt x="165688" y="379651"/>
                                      <a:pt x="183586" y="370703"/>
                                    </a:cubicBezTo>
                                    <a:lnTo>
                                      <a:pt x="222422" y="398947"/>
                                    </a:lnTo>
                                    <a:lnTo>
                                      <a:pt x="201239" y="466026"/>
                                    </a:lnTo>
                                    <a:lnTo>
                                      <a:pt x="243605" y="469557"/>
                                    </a:lnTo>
                                    <a:lnTo>
                                      <a:pt x="370703" y="409538"/>
                                    </a:lnTo>
                                    <a:lnTo>
                                      <a:pt x="540167" y="211830"/>
                                    </a:lnTo>
                                    <a:lnTo>
                                      <a:pt x="589594" y="261257"/>
                                    </a:lnTo>
                                    <a:lnTo>
                                      <a:pt x="575472" y="296562"/>
                                    </a:lnTo>
                                    <a:lnTo>
                                      <a:pt x="444843" y="384825"/>
                                    </a:lnTo>
                                    <a:lnTo>
                                      <a:pt x="409538" y="444843"/>
                                    </a:lnTo>
                                    <a:lnTo>
                                      <a:pt x="427191" y="473087"/>
                                    </a:lnTo>
                                    <a:cubicBezTo>
                                      <a:pt x="428368" y="515453"/>
                                      <a:pt x="429544" y="557819"/>
                                      <a:pt x="430721" y="600185"/>
                                    </a:cubicBezTo>
                                    <a:lnTo>
                                      <a:pt x="402477" y="797894"/>
                                    </a:lnTo>
                                    <a:cubicBezTo>
                                      <a:pt x="446953" y="814067"/>
                                      <a:pt x="427806" y="814718"/>
                                      <a:pt x="458966" y="808485"/>
                                    </a:cubicBezTo>
                                    <a:lnTo>
                                      <a:pt x="561350" y="748467"/>
                                    </a:lnTo>
                                    <a:lnTo>
                                      <a:pt x="589594" y="695509"/>
                                    </a:lnTo>
                                    <a:lnTo>
                                      <a:pt x="649613" y="575472"/>
                                    </a:lnTo>
                                    <a:lnTo>
                                      <a:pt x="734345" y="522514"/>
                                    </a:lnTo>
                                    <a:lnTo>
                                      <a:pt x="808485" y="607246"/>
                                    </a:lnTo>
                                    <a:lnTo>
                                      <a:pt x="896748" y="716692"/>
                                    </a:lnTo>
                                    <a:lnTo>
                                      <a:pt x="1179188" y="769650"/>
                                    </a:lnTo>
                                    <a:lnTo>
                                      <a:pt x="1193310" y="737875"/>
                                    </a:lnTo>
                                    <a:lnTo>
                                      <a:pt x="1172127" y="603716"/>
                                    </a:lnTo>
                                    <a:lnTo>
                                      <a:pt x="1147413" y="579002"/>
                                    </a:lnTo>
                                    <a:lnTo>
                                      <a:pt x="946175" y="547228"/>
                                    </a:lnTo>
                                    <a:lnTo>
                                      <a:pt x="879095" y="480148"/>
                                    </a:lnTo>
                                    <a:lnTo>
                                      <a:pt x="879095" y="448374"/>
                                    </a:lnTo>
                                    <a:lnTo>
                                      <a:pt x="921461" y="303623"/>
                                    </a:lnTo>
                                    <a:lnTo>
                                      <a:pt x="829668" y="268318"/>
                                    </a:lnTo>
                                    <a:lnTo>
                                      <a:pt x="822607" y="236544"/>
                                    </a:lnTo>
                                    <a:lnTo>
                                      <a:pt x="741406" y="148281"/>
                                    </a:lnTo>
                                    <a:lnTo>
                                      <a:pt x="801424" y="74141"/>
                                    </a:lnTo>
                                    <a:lnTo>
                                      <a:pt x="780241" y="0"/>
                                    </a:lnTo>
                                    <a:lnTo>
                                      <a:pt x="748467" y="0"/>
                                    </a:lnTo>
                                    <a:lnTo>
                                      <a:pt x="582533" y="52958"/>
                                    </a:lnTo>
                                    <a:lnTo>
                                      <a:pt x="494271" y="60019"/>
                                    </a:lnTo>
                                    <a:lnTo>
                                      <a:pt x="434252" y="70610"/>
                                    </a:lnTo>
                                    <a:lnTo>
                                      <a:pt x="328337" y="81202"/>
                                    </a:ln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6" o:spid="_x0000_s1026" o:spt="100" style="position:absolute;left:0pt;margin-left:21.6pt;margin-top:29pt;height:63.95pt;width:93.95pt;z-index:251675648;v-text-anchor:middle;mso-width-relative:page;mso-height-relative:page;" filled="f" stroked="t" coordsize="1193310,812138" o:gfxdata="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" path="m328337,81202l194178,172995c144884,226081,164179,206524,137690,233013l10592,349520,0,469557,35305,469557,144751,391886c178825,372955,165688,379651,183586,370703l222422,398947,201239,466026,243605,469557,370703,409538,540167,211830,589594,261257,575472,296562,444843,384825,409538,444843,427191,473087c428368,515453,429544,557819,430721,600185l402477,797894c446953,814067,427806,814718,458966,808485l561350,748467,589594,695509,649613,575472,734345,522514,808485,607246,896748,716692,1179188,769650,1193310,737875,1172127,603716,1147413,579002,946175,547228,879095,480148,879095,448374,921461,303623,829668,268318,822607,236544,741406,148281,801424,74141,780241,0,748467,0,582533,52958,494271,60019,434252,70610,328337,81202xe">
                      <v:path o:connectlocs="328337,81202;194178,172995;137690,233013;10592,349520;0,469557;35305,469557;144751,391886;183586,370703;222422,398947;201239,466026;243605,469557;370703,409538;540167,211830;589594,261257;575472,296562;444843,384825;409538,444843;427191,473087;430721,600185;402477,797894;458966,808485;561350,748467;589594,695509;649613,575472;734345,522514;808485,607246;896748,716692;1179188,769650;1193310,737875;1172127,603716;1147413,579002;946175,547228;879095,480148;879095,448374;921461,303623;829668,268318;822607,236544;741406,148281;801424,74141;780241,0;748467,0;582533,52958;494271,60019;434252,70610;328337,81202" o:connectangles="0,0,0,0,0,0,0,0,0,0,0,0,0,0,0,0,0,0,0,0,0,0,0,0,0,0,0,0,0,0,0,0,0,0,0,0,0,0,0,0,0,0,0,0,0"/>
                      <v:fill on="f" focussize="0,0"/>
                      <v:stroke weight="1pt" color="#EE0000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74624" behindDoc="0" locked="0" layoutInCell="1" allowOverlap="1">
                      <wp:simplePos x="0" y="0"/>
                      <wp:positionH relativeFrom="column">
                        <wp:posOffset>1316355</wp:posOffset>
                      </wp:positionH>
                      <wp:positionV relativeFrom="paragraph">
                        <wp:posOffset>576580</wp:posOffset>
                      </wp:positionV>
                      <wp:extent cx="77470" cy="45720"/>
                      <wp:effectExtent l="0" t="0" r="17780" b="11430"/>
                      <wp:wrapNone/>
                      <wp:docPr id="488235235" name="任意多边形: 形状 15"/>
                      <wp:cNvGraphicFramePr/>
                      <a:graphic xmlns:a="http://schemas.openxmlformats.org/drawingml/2006/main">
                        <a:graphicData uri="http://schemas.microsoft.com/office/word/2010/wordprocessingShape">
                          <wps:wsp>
                            <wps:cNvSpPr/>
                            <wps:spPr>
                              <a:xfrm>
                                <a:off x="0" y="0"/>
                                <a:ext cx="77671" cy="45896"/>
                              </a:xfrm>
                              <a:custGeom>
                                <a:avLst/>
                                <a:gdLst>
                                  <a:gd name="csX0" fmla="*/ 77671 w 77671"/>
                                  <a:gd name="csY0" fmla="*/ 0 h 45896"/>
                                  <a:gd name="csX1" fmla="*/ 0 w 77671"/>
                                  <a:gd name="csY1" fmla="*/ 45896 h 45896"/>
                                </a:gdLst>
                                <a:ahLst/>
                                <a:cxnLst>
                                  <a:cxn ang="0">
                                    <a:pos x="csX0" y="csY0"/>
                                  </a:cxn>
                                  <a:cxn ang="0">
                                    <a:pos x="csX1" y="csY1"/>
                                  </a:cxn>
                                </a:cxnLst>
                                <a:rect l="l" t="t" r="r" b="b"/>
                                <a:pathLst>
                                  <a:path w="77671" h="45896">
                                    <a:moveTo>
                                      <a:pt x="77671" y="0"/>
                                    </a:moveTo>
                                    <a:lnTo>
                                      <a:pt x="0" y="45896"/>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5" o:spid="_x0000_s1026" o:spt="100" style="position:absolute;left:0pt;margin-left:103.65pt;margin-top:45.4pt;height:3.6pt;width:6.1pt;z-index:251674624;v-text-anchor:middle;mso-width-relative:page;mso-height-relative:page;" filled="f" stroked="t" coordsize="77671,45896" o:gfxdata="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CI&#10;go891gAAAAkBAAAPAAAAAAAAAAEAIAAAACIAAABkcnMvZG93bnJldi54bWxQSwECFAAUAAAACACH&#10;TuJABy9eEEMDAADgBgAADgAAAAAAAAABACAAAAAlAQAAZHJzL2Uyb0RvYy54bWxQSwUGAAAAAAYA&#10;BgBZAQAA2gYAAAAA&#10;" path="m77671,0l0,45896e">
                      <v:path o:connectlocs="77671,0;0,45896" o:connectangles="0,0"/>
                      <v:fill on="f" focussize="0,0"/>
                      <v:stroke weight="1pt" color="#223F59 [3204]" miterlimit="8" joinstyle="miter"/>
                      <v:imagedata o:title=""/>
                      <o:lock v:ext="edit" aspectratio="f"/>
                    </v:shape>
                  </w:pict>
                </mc:Fallback>
              </mc:AlternateContent>
            </w:r>
            <w:r>
              <w:rPr>
                <w:rFonts w:cs="Times New Roman"/>
                <w:kern w:val="0"/>
                <w:szCs w:val="20"/>
              </w:rPr>
              <w:drawing>
                <wp:inline distT="0" distB="0" distL="0" distR="0">
                  <wp:extent cx="2559050" cy="1706245"/>
                  <wp:effectExtent l="0" t="0" r="12700" b="8255"/>
                  <wp:docPr id="7922100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10076" name="图片 13"/>
                          <pic:cNvPicPr>
                            <a:picLocks noChangeAspect="1" noChangeArrowheads="1"/>
                          </pic:cNvPicPr>
                        </pic:nvPicPr>
                        <pic:blipFill>
                          <a:blip r:embed="rId28"/>
                          <a:srcRect/>
                          <a:stretch>
                            <a:fillRect/>
                          </a:stretch>
                        </pic:blipFill>
                        <pic:spPr>
                          <a:xfrm>
                            <a:off x="0" y="0"/>
                            <a:ext cx="2559050" cy="1712407"/>
                          </a:xfrm>
                          <a:prstGeom prst="rect">
                            <a:avLst/>
                          </a:prstGeom>
                          <a:noFill/>
                          <a:ln>
                            <a:noFill/>
                          </a:ln>
                        </pic:spPr>
                      </pic:pic>
                    </a:graphicData>
                  </a:graphic>
                </wp:inline>
              </w:drawing>
            </w:r>
          </w:p>
        </w:tc>
      </w:tr>
      <w:tr w14:paraId="19EF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51" w:type="dxa"/>
            <w:vAlign w:val="center"/>
          </w:tcPr>
          <w:p w14:paraId="1790BC8C">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16608" behindDoc="0" locked="0" layoutInCell="1" allowOverlap="1">
                      <wp:simplePos x="0" y="0"/>
                      <wp:positionH relativeFrom="column">
                        <wp:posOffset>1790065</wp:posOffset>
                      </wp:positionH>
                      <wp:positionV relativeFrom="paragraph">
                        <wp:posOffset>1466215</wp:posOffset>
                      </wp:positionV>
                      <wp:extent cx="706120" cy="249555"/>
                      <wp:effectExtent l="0" t="0" r="17780" b="17145"/>
                      <wp:wrapNone/>
                      <wp:docPr id="1597722813"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76C542A6">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0.95pt;margin-top:115.45pt;height:19.65pt;width:55.6pt;z-index:251716608;mso-width-relative:page;mso-height-relative:page;" fillcolor="#FFFFFF [3201]" filled="t" stroked="t" coordsize="21600,21600" o:gfxdata="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lDsV9YAAAALAQAADwAAAAAAAAABACAAAAAiAAAAZHJzL2Rvd25yZXYueG1sUEsBAhQAFAAAAAgA&#10;h07iQLe+mS1gAgAAwAQAAA4AAAAAAAAAAQAgAAAAJQEAAGRycy9lMm9Eb2MueG1sUEsFBgAAAAAG&#10;AAYAWQEAAPcFAAAAAA==&#10;">
                      <v:fill on="t" focussize="0,0"/>
                      <v:stroke weight="0.5pt" color="#000000" joinstyle="round"/>
                      <v:imagedata o:title=""/>
                      <o:lock v:ext="edit" aspectratio="f"/>
                      <v:textbox>
                        <w:txbxContent>
                          <w:p w14:paraId="76C542A6">
                            <w:pPr>
                              <w:spacing w:line="240" w:lineRule="auto"/>
                              <w:ind w:firstLine="0" w:firstLineChars="0"/>
                            </w:pPr>
                            <w:r>
                              <w:rPr>
                                <w:rFonts w:hint="eastAsia"/>
                              </w:rPr>
                              <w:t>2025.12</w:t>
                            </w:r>
                          </w:p>
                        </w:txbxContent>
                      </v:textbox>
                    </v:shape>
                  </w:pict>
                </mc:Fallback>
              </mc:AlternateContent>
            </w:r>
            <w:r>
              <w:rPr>
                <w:rFonts w:cs="Times New Roman"/>
                <w:kern w:val="0"/>
                <w:szCs w:val="20"/>
              </w:rPr>
              <mc:AlternateContent>
                <mc:Choice Requires="wps">
                  <w:drawing>
                    <wp:anchor distT="0" distB="0" distL="114300" distR="114300" simplePos="0" relativeHeight="251680768" behindDoc="0" locked="0" layoutInCell="1" allowOverlap="1">
                      <wp:simplePos x="0" y="0"/>
                      <wp:positionH relativeFrom="column">
                        <wp:posOffset>1187450</wp:posOffset>
                      </wp:positionH>
                      <wp:positionV relativeFrom="paragraph">
                        <wp:posOffset>769620</wp:posOffset>
                      </wp:positionV>
                      <wp:extent cx="909320" cy="262890"/>
                      <wp:effectExtent l="0" t="0" r="0" b="3810"/>
                      <wp:wrapNone/>
                      <wp:docPr id="1378394818"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72B3FBD3">
                                  <w:pPr>
                                    <w:ind w:firstLine="480"/>
                                    <w:rPr>
                                      <w:color w:val="FF0000"/>
                                    </w:rPr>
                                  </w:pPr>
                                  <w:r>
                                    <w:rPr>
                                      <w:rFonts w:hint="eastAsia"/>
                                      <w:color w:val="FF0000"/>
                                    </w:rPr>
                                    <w:t>S12</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93.5pt;margin-top:60.6pt;height:20.7pt;width:71.6pt;z-index:251680768;mso-width-relative:page;mso-height-relative:page;" filled="f" stroked="f" coordsize="21600,21600" o:gfxdata="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4PtczWAAAA&#10;CwEAAA8AAAAAAAAAAQAgAAAAIgAAAGRycy9kb3ducmV2LnhtbFBLAQIUABQAAAAIAIdO4kD5JafJ&#10;HwIAAB4EAAAOAAAAAAAAAAEAIAAAACUBAABkcnMvZTJvRG9jLnhtbFBLBQYAAAAABgAGAFkBAAC2&#10;BQAAAAA=&#10;">
                      <v:fill on="f" focussize="0,0"/>
                      <v:stroke on="f"/>
                      <v:imagedata o:title=""/>
                      <o:lock v:ext="edit" aspectratio="f"/>
                      <v:textbox>
                        <w:txbxContent>
                          <w:p w14:paraId="72B3FBD3">
                            <w:pPr>
                              <w:ind w:firstLine="480"/>
                              <w:rPr>
                                <w:color w:val="FF0000"/>
                              </w:rPr>
                            </w:pPr>
                            <w:r>
                              <w:rPr>
                                <w:rFonts w:hint="eastAsia"/>
                                <w:color w:val="FF0000"/>
                              </w:rPr>
                              <w:t>S12</w:t>
                            </w:r>
                          </w:p>
                        </w:txbxContent>
                      </v:textbox>
                    </v:shape>
                  </w:pict>
                </mc:Fallback>
              </mc:AlternateContent>
            </w:r>
            <w:r>
              <w:rPr>
                <w:rFonts w:cs="Times New Roman"/>
                <w:kern w:val="0"/>
                <w:szCs w:val="20"/>
              </w:rPr>
              <mc:AlternateContent>
                <mc:Choice Requires="wps">
                  <w:drawing>
                    <wp:anchor distT="0" distB="0" distL="114300" distR="114300" simplePos="0" relativeHeight="251679744" behindDoc="0" locked="0" layoutInCell="1" allowOverlap="1">
                      <wp:simplePos x="0" y="0"/>
                      <wp:positionH relativeFrom="column">
                        <wp:posOffset>1311275</wp:posOffset>
                      </wp:positionH>
                      <wp:positionV relativeFrom="paragraph">
                        <wp:posOffset>1243330</wp:posOffset>
                      </wp:positionV>
                      <wp:extent cx="674370" cy="452120"/>
                      <wp:effectExtent l="19050" t="19050" r="12065" b="62865"/>
                      <wp:wrapNone/>
                      <wp:docPr id="1313151740" name="任意多边形: 形状 21"/>
                      <wp:cNvGraphicFramePr/>
                      <a:graphic xmlns:a="http://schemas.openxmlformats.org/drawingml/2006/main">
                        <a:graphicData uri="http://schemas.microsoft.com/office/word/2010/wordprocessingShape">
                          <wps:wsp>
                            <wps:cNvSpPr/>
                            <wps:spPr>
                              <a:xfrm>
                                <a:off x="0" y="0"/>
                                <a:ext cx="674326" cy="451904"/>
                              </a:xfrm>
                              <a:custGeom>
                                <a:avLst/>
                                <a:gdLst>
                                  <a:gd name="csX0" fmla="*/ 674326 w 674326"/>
                                  <a:gd name="csY0" fmla="*/ 300092 h 451904"/>
                                  <a:gd name="csX1" fmla="*/ 674326 w 674326"/>
                                  <a:gd name="csY1" fmla="*/ 300092 h 451904"/>
                                  <a:gd name="csX2" fmla="*/ 554289 w 674326"/>
                                  <a:gd name="csY2" fmla="*/ 254196 h 451904"/>
                                  <a:gd name="csX3" fmla="*/ 423660 w 674326"/>
                                  <a:gd name="csY3" fmla="*/ 158872 h 451904"/>
                                  <a:gd name="csX4" fmla="*/ 370703 w 674326"/>
                                  <a:gd name="csY4" fmla="*/ 148281 h 451904"/>
                                  <a:gd name="csX5" fmla="*/ 116506 w 674326"/>
                                  <a:gd name="csY5" fmla="*/ 0 h 451904"/>
                                  <a:gd name="csX6" fmla="*/ 0 w 674326"/>
                                  <a:gd name="csY6" fmla="*/ 70610 h 451904"/>
                                  <a:gd name="csX7" fmla="*/ 14122 w 674326"/>
                                  <a:gd name="csY7" fmla="*/ 137689 h 451904"/>
                                  <a:gd name="csX8" fmla="*/ 141220 w 674326"/>
                                  <a:gd name="csY8" fmla="*/ 395416 h 451904"/>
                                  <a:gd name="csX9" fmla="*/ 176525 w 674326"/>
                                  <a:gd name="csY9" fmla="*/ 434251 h 451904"/>
                                  <a:gd name="csX10" fmla="*/ 222422 w 674326"/>
                                  <a:gd name="csY10" fmla="*/ 451904 h 451904"/>
                                  <a:gd name="csX11" fmla="*/ 197708 w 674326"/>
                                  <a:gd name="csY11" fmla="*/ 430721 h 45190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674326" h="451904">
                                    <a:moveTo>
                                      <a:pt x="674326" y="300092"/>
                                    </a:moveTo>
                                    <a:lnTo>
                                      <a:pt x="674326" y="300092"/>
                                    </a:lnTo>
                                    <a:cubicBezTo>
                                      <a:pt x="611174" y="286058"/>
                                      <a:pt x="652482" y="297401"/>
                                      <a:pt x="554289" y="254196"/>
                                    </a:cubicBezTo>
                                    <a:lnTo>
                                      <a:pt x="423660" y="158872"/>
                                    </a:lnTo>
                                    <a:lnTo>
                                      <a:pt x="370703" y="148281"/>
                                    </a:lnTo>
                                    <a:lnTo>
                                      <a:pt x="116506" y="0"/>
                                    </a:lnTo>
                                    <a:lnTo>
                                      <a:pt x="0" y="70610"/>
                                    </a:lnTo>
                                    <a:cubicBezTo>
                                      <a:pt x="8193" y="123862"/>
                                      <a:pt x="2166" y="101822"/>
                                      <a:pt x="14122" y="137689"/>
                                    </a:cubicBezTo>
                                    <a:lnTo>
                                      <a:pt x="141220" y="395416"/>
                                    </a:lnTo>
                                    <a:cubicBezTo>
                                      <a:pt x="168538" y="430539"/>
                                      <a:pt x="154769" y="419747"/>
                                      <a:pt x="176525" y="434251"/>
                                    </a:cubicBezTo>
                                    <a:lnTo>
                                      <a:pt x="222422" y="451904"/>
                                    </a:lnTo>
                                    <a:lnTo>
                                      <a:pt x="197708" y="430721"/>
                                    </a:lnTo>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21" o:spid="_x0000_s1026" o:spt="100" style="position:absolute;left:0pt;margin-left:103.25pt;margin-top:97.9pt;height:35.6pt;width:53.1pt;z-index:251679744;v-text-anchor:middle;mso-width-relative:page;mso-height-relative:page;" filled="f" stroked="t" coordsize="674326,451904" o:gfxdata="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" path="m674326,300092l674326,300092c611174,286058,652482,297401,554289,254196l423660,158872,370703,148281,116506,0,0,70610c8193,123862,2166,101822,14122,137689l141220,395416c168538,430539,154769,419747,176525,434251l222422,451904,197708,430721e">
                      <v:path o:connectlocs="674326,300092;674326,300092;554289,254196;423660,158872;370703,148281;116506,0;0,70610;14122,137689;141220,395416;176525,434251;222422,451904;197708,430721" o:connectangles="0,0,0,0,0,0,0,0,0,0,0,0"/>
                      <v:fill on="f" focussize="0,0"/>
                      <v:stroke weight="1pt" color="#EE0000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78720" behindDoc="0" locked="0" layoutInCell="1" allowOverlap="1">
                      <wp:simplePos x="0" y="0"/>
                      <wp:positionH relativeFrom="column">
                        <wp:posOffset>671830</wp:posOffset>
                      </wp:positionH>
                      <wp:positionV relativeFrom="paragraph">
                        <wp:posOffset>243840</wp:posOffset>
                      </wp:positionV>
                      <wp:extent cx="1398270" cy="1214755"/>
                      <wp:effectExtent l="19050" t="19050" r="31115" b="43180"/>
                      <wp:wrapNone/>
                      <wp:docPr id="839440707" name="任意多边形: 形状 20"/>
                      <wp:cNvGraphicFramePr/>
                      <a:graphic xmlns:a="http://schemas.openxmlformats.org/drawingml/2006/main">
                        <a:graphicData uri="http://schemas.microsoft.com/office/word/2010/wordprocessingShape">
                          <wps:wsp>
                            <wps:cNvSpPr/>
                            <wps:spPr>
                              <a:xfrm>
                                <a:off x="0" y="0"/>
                                <a:ext cx="1398079" cy="1214492"/>
                              </a:xfrm>
                              <a:custGeom>
                                <a:avLst/>
                                <a:gdLst>
                                  <a:gd name="csX0" fmla="*/ 434252 w 1398079"/>
                                  <a:gd name="csY0" fmla="*/ 49427 h 1214492"/>
                                  <a:gd name="csX1" fmla="*/ 434252 w 1398079"/>
                                  <a:gd name="csY1" fmla="*/ 49427 h 1214492"/>
                                  <a:gd name="csX2" fmla="*/ 367172 w 1398079"/>
                                  <a:gd name="csY2" fmla="*/ 24713 h 1214492"/>
                                  <a:gd name="csX3" fmla="*/ 180056 w 1398079"/>
                                  <a:gd name="csY3" fmla="*/ 0 h 1214492"/>
                                  <a:gd name="csX4" fmla="*/ 148281 w 1398079"/>
                                  <a:gd name="csY4" fmla="*/ 3530 h 1214492"/>
                                  <a:gd name="csX5" fmla="*/ 0 w 1398079"/>
                                  <a:gd name="csY5" fmla="*/ 127098 h 1214492"/>
                                  <a:gd name="csX6" fmla="*/ 74141 w 1398079"/>
                                  <a:gd name="csY6" fmla="*/ 183586 h 1214492"/>
                                  <a:gd name="csX7" fmla="*/ 218891 w 1398079"/>
                                  <a:gd name="csY7" fmla="*/ 208299 h 1214492"/>
                                  <a:gd name="csX8" fmla="*/ 444843 w 1398079"/>
                                  <a:gd name="csY8" fmla="*/ 363641 h 1214492"/>
                                  <a:gd name="csX9" fmla="*/ 480148 w 1398079"/>
                                  <a:gd name="csY9" fmla="*/ 413068 h 1214492"/>
                                  <a:gd name="csX10" fmla="*/ 646082 w 1398079"/>
                                  <a:gd name="csY10" fmla="*/ 487209 h 1214492"/>
                                  <a:gd name="csX11" fmla="*/ 776710 w 1398079"/>
                                  <a:gd name="csY11" fmla="*/ 621368 h 1214492"/>
                                  <a:gd name="csX12" fmla="*/ 797893 w 1398079"/>
                                  <a:gd name="csY12" fmla="*/ 649612 h 1214492"/>
                                  <a:gd name="csX13" fmla="*/ 797893 w 1398079"/>
                                  <a:gd name="csY13" fmla="*/ 812015 h 1214492"/>
                                  <a:gd name="csX14" fmla="*/ 812015 w 1398079"/>
                                  <a:gd name="csY14" fmla="*/ 847320 h 1214492"/>
                                  <a:gd name="csX15" fmla="*/ 1048559 w 1398079"/>
                                  <a:gd name="csY15" fmla="*/ 1023845 h 1214492"/>
                                  <a:gd name="csX16" fmla="*/ 1299225 w 1398079"/>
                                  <a:gd name="csY16" fmla="*/ 1214492 h 1214492"/>
                                  <a:gd name="csX17" fmla="*/ 1398079 w 1398079"/>
                                  <a:gd name="csY17" fmla="*/ 1200370 h 1214492"/>
                                  <a:gd name="csX18" fmla="*/ 1348652 w 1398079"/>
                                  <a:gd name="csY18" fmla="*/ 1158004 h 1214492"/>
                                  <a:gd name="csX19" fmla="*/ 1256859 w 1398079"/>
                                  <a:gd name="csY19" fmla="*/ 1083864 h 1214492"/>
                                  <a:gd name="csX20" fmla="*/ 1235676 w 1398079"/>
                                  <a:gd name="csY20" fmla="*/ 1041498 h 1214492"/>
                                  <a:gd name="csX21" fmla="*/ 1200371 w 1398079"/>
                                  <a:gd name="csY21" fmla="*/ 939113 h 1214492"/>
                                  <a:gd name="csX22" fmla="*/ 1023846 w 1398079"/>
                                  <a:gd name="csY22" fmla="*/ 808485 h 1214492"/>
                                  <a:gd name="csX23" fmla="*/ 999132 w 1398079"/>
                                  <a:gd name="csY23" fmla="*/ 787302 h 1214492"/>
                                  <a:gd name="csX24" fmla="*/ 935583 w 1398079"/>
                                  <a:gd name="csY24" fmla="*/ 716692 h 1214492"/>
                                  <a:gd name="csX25" fmla="*/ 868504 w 1398079"/>
                                  <a:gd name="csY25" fmla="*/ 589593 h 1214492"/>
                                  <a:gd name="csX26" fmla="*/ 787302 w 1398079"/>
                                  <a:gd name="csY26" fmla="*/ 550758 h 1214492"/>
                                  <a:gd name="csX27" fmla="*/ 649612 w 1398079"/>
                                  <a:gd name="csY27" fmla="*/ 444843 h 1214492"/>
                                  <a:gd name="csX28" fmla="*/ 515453 w 1398079"/>
                                  <a:gd name="csY28" fmla="*/ 338928 h 1214492"/>
                                  <a:gd name="csX29" fmla="*/ 338928 w 1398079"/>
                                  <a:gd name="csY29" fmla="*/ 215360 h 1214492"/>
                                  <a:gd name="csX30" fmla="*/ 345989 w 1398079"/>
                                  <a:gd name="csY30" fmla="*/ 95323 h 1214492"/>
                                  <a:gd name="csX31" fmla="*/ 434252 w 1398079"/>
                                  <a:gd name="csY31" fmla="*/ 49427 h 121449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Lst>
                                <a:rect l="l" t="t" r="r" b="b"/>
                                <a:pathLst>
                                  <a:path w="1398079" h="1214492">
                                    <a:moveTo>
                                      <a:pt x="434252" y="49427"/>
                                    </a:moveTo>
                                    <a:lnTo>
                                      <a:pt x="434252" y="49427"/>
                                    </a:lnTo>
                                    <a:cubicBezTo>
                                      <a:pt x="383977" y="28479"/>
                                      <a:pt x="406596" y="35977"/>
                                      <a:pt x="367172" y="24713"/>
                                    </a:cubicBezTo>
                                    <a:lnTo>
                                      <a:pt x="180056" y="0"/>
                                    </a:lnTo>
                                    <a:lnTo>
                                      <a:pt x="148281" y="3530"/>
                                    </a:lnTo>
                                    <a:lnTo>
                                      <a:pt x="0" y="127098"/>
                                    </a:lnTo>
                                    <a:lnTo>
                                      <a:pt x="74141" y="183586"/>
                                    </a:lnTo>
                                    <a:lnTo>
                                      <a:pt x="218891" y="208299"/>
                                    </a:lnTo>
                                    <a:lnTo>
                                      <a:pt x="444843" y="363641"/>
                                    </a:lnTo>
                                    <a:lnTo>
                                      <a:pt x="480148" y="413068"/>
                                    </a:lnTo>
                                    <a:lnTo>
                                      <a:pt x="646082" y="487209"/>
                                    </a:lnTo>
                                    <a:lnTo>
                                      <a:pt x="776710" y="621368"/>
                                    </a:lnTo>
                                    <a:lnTo>
                                      <a:pt x="797893" y="649612"/>
                                    </a:lnTo>
                                    <a:lnTo>
                                      <a:pt x="797893" y="812015"/>
                                    </a:lnTo>
                                    <a:lnTo>
                                      <a:pt x="812015" y="847320"/>
                                    </a:lnTo>
                                    <a:lnTo>
                                      <a:pt x="1048559" y="1023845"/>
                                    </a:lnTo>
                                    <a:lnTo>
                                      <a:pt x="1299225" y="1214492"/>
                                    </a:lnTo>
                                    <a:lnTo>
                                      <a:pt x="1398079" y="1200370"/>
                                    </a:lnTo>
                                    <a:lnTo>
                                      <a:pt x="1348652" y="1158004"/>
                                    </a:lnTo>
                                    <a:lnTo>
                                      <a:pt x="1256859" y="1083864"/>
                                    </a:lnTo>
                                    <a:lnTo>
                                      <a:pt x="1235676" y="1041498"/>
                                    </a:lnTo>
                                    <a:lnTo>
                                      <a:pt x="1200371" y="939113"/>
                                    </a:lnTo>
                                    <a:lnTo>
                                      <a:pt x="1023846" y="808485"/>
                                    </a:lnTo>
                                    <a:lnTo>
                                      <a:pt x="999132" y="787302"/>
                                    </a:lnTo>
                                    <a:lnTo>
                                      <a:pt x="935583" y="716692"/>
                                    </a:lnTo>
                                    <a:lnTo>
                                      <a:pt x="868504" y="589593"/>
                                    </a:lnTo>
                                    <a:lnTo>
                                      <a:pt x="787302" y="550758"/>
                                    </a:lnTo>
                                    <a:lnTo>
                                      <a:pt x="649612" y="444843"/>
                                    </a:lnTo>
                                    <a:lnTo>
                                      <a:pt x="515453" y="338928"/>
                                    </a:lnTo>
                                    <a:lnTo>
                                      <a:pt x="338928" y="215360"/>
                                    </a:lnTo>
                                    <a:lnTo>
                                      <a:pt x="345989" y="95323"/>
                                    </a:lnTo>
                                    <a:lnTo>
                                      <a:pt x="434252" y="49427"/>
                                    </a:ln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20" o:spid="_x0000_s1026" o:spt="100" style="position:absolute;left:0pt;margin-left:52.9pt;margin-top:19.2pt;height:95.65pt;width:110.1pt;z-index:251678720;v-text-anchor:middle;mso-width-relative:page;mso-height-relative:page;" filled="f" stroked="t" coordsize="1398079,1214492" o:gfxdata="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" path="m434252,49427l434252,49427c383977,28479,406596,35977,367172,24713l180056,0,148281,3530,0,127098,74141,183586,218891,208299,444843,363641,480148,413068,646082,487209,776710,621368,797893,649612,797893,812015,812015,847320,1048559,1023845,1299225,1214492,1398079,1200370,1348652,1158004,1256859,1083864,1235676,1041498,1200371,939113,1023846,808485,999132,787302,935583,716692,868504,589593,787302,550758,649612,444843,515453,338928,338928,215360,345989,95323,434252,49427xe">
                      <v:path o:connectlocs="434252,49427;434252,49427;367172,24713;180056,0;148281,3530;0,127098;74141,183586;218891,208299;444843,363641;480148,413068;646082,487209;776710,621368;797893,649612;797893,812015;812015,847320;1048559,1023845;1299225,1214492;1398079,1200370;1348652,1158004;1256859,1083864;1235676,1041498;1200371,939113;1023846,808485;999132,787302;935583,716692;868504,589593;787302,550758;649612,444843;515453,338928;338928,215360;345989,95323;434252,49427" o:connectangles="0,0,0,0,0,0,0,0,0,0,0,0,0,0,0,0,0,0,0,0,0,0,0,0,0,0,0,0,0,0,0,0"/>
                      <v:fill on="f" focussize="0,0"/>
                      <v:stroke weight="1pt" color="#EE0000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77696" behindDoc="0" locked="0" layoutInCell="1" allowOverlap="1">
                      <wp:simplePos x="0" y="0"/>
                      <wp:positionH relativeFrom="column">
                        <wp:posOffset>1096010</wp:posOffset>
                      </wp:positionH>
                      <wp:positionV relativeFrom="paragraph">
                        <wp:posOffset>293370</wp:posOffset>
                      </wp:positionV>
                      <wp:extent cx="0" cy="0"/>
                      <wp:effectExtent l="0" t="0" r="0" b="0"/>
                      <wp:wrapNone/>
                      <wp:docPr id="1948979226" name="任意多边形: 形状 19"/>
                      <wp:cNvGraphicFramePr/>
                      <a:graphic xmlns:a="http://schemas.openxmlformats.org/drawingml/2006/main">
                        <a:graphicData uri="http://schemas.microsoft.com/office/word/2010/wordprocessingShape">
                          <wps:wsp>
                            <wps:cNvSpPr/>
                            <wps:spPr>
                              <a:xfrm>
                                <a:off x="0" y="0"/>
                                <a:ext cx="0" cy="0"/>
                              </a:xfrm>
                              <a:custGeom>
                                <a:avLst/>
                                <a:gdLst>
                                  <a:gd name="csX0" fmla="*/ 0 w 0"/>
                                  <a:gd name="csY0" fmla="*/ 0 h 0"/>
                                  <a:gd name="csX1" fmla="*/ 0 w 0"/>
                                  <a:gd name="csY1" fmla="*/ 0 h 0"/>
                                  <a:gd name="csX2" fmla="*/ 0 w 0"/>
                                  <a:gd name="csY2" fmla="*/ 0 h 0"/>
                                </a:gdLst>
                                <a:ahLst/>
                                <a:cxnLst>
                                  <a:cxn ang="0">
                                    <a:pos x="csX0" y="csY0"/>
                                  </a:cxn>
                                  <a:cxn ang="0">
                                    <a:pos x="csX1" y="csY1"/>
                                  </a:cxn>
                                  <a:cxn ang="0">
                                    <a:pos x="csX2" y="csY2"/>
                                  </a:cxn>
                                </a:cxnLst>
                                <a:rect l="l" t="t" r="r" b="b"/>
                                <a:pathLst>
                                  <a:path>
                                    <a:moveTo>
                                      <a:pt x="0" y="0"/>
                                    </a:moveTo>
                                    <a:lnTo>
                                      <a:pt x="0" y="0"/>
                                    </a:lnTo>
                                    <a:lnTo>
                                      <a:pt x="0" y="0"/>
                                    </a:lnTo>
                                    <a:close/>
                                  </a:path>
                                </a:pathLst>
                              </a:cu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9" o:spid="_x0000_s1026" o:spt="100" style="position:absolute;left:0pt;margin-left:86.3pt;margin-top:23.1pt;height:0pt;width:0pt;z-index:251677696;v-text-anchor:middle;mso-width-relative:page;mso-height-relative:page;" fillcolor="#5B9BD5 [3204]" filled="t" stroked="t" coordsize="0,0" o:gfxdata="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DnxOLzXAAAACQEAAA8AAAAAAAAAAQAgAAAAIgAAAGRycy9kb3ducmV2LnhtbFBLAQIUABQAAAAI&#10;AIdO4kC4BmoDRAMAAHMHAAAOAAAAAAAAAAEAIAAAACYBAABkcnMvZTJvRG9jLnhtbFBLBQYAAAAA&#10;BgAGAFkBAADcBgAAAAA=&#10;" path="m0,0l0,0,0,0xe">
                      <v:path o:connectlocs="@0,@0;@0,@0;@0,@0" o:connectangles="0,0,0"/>
                      <v:fill on="t" focussize="0,0"/>
                      <v:stroke weight="1pt" color="#223F59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76672" behindDoc="0" locked="0" layoutInCell="1" allowOverlap="1">
                      <wp:simplePos x="0" y="0"/>
                      <wp:positionH relativeFrom="column">
                        <wp:posOffset>1187450</wp:posOffset>
                      </wp:positionH>
                      <wp:positionV relativeFrom="paragraph">
                        <wp:posOffset>325120</wp:posOffset>
                      </wp:positionV>
                      <wp:extent cx="1334770" cy="670560"/>
                      <wp:effectExtent l="19050" t="19050" r="37465" b="15240"/>
                      <wp:wrapNone/>
                      <wp:docPr id="606796404" name="任意多边形: 形状 18"/>
                      <wp:cNvGraphicFramePr/>
                      <a:graphic xmlns:a="http://schemas.openxmlformats.org/drawingml/2006/main">
                        <a:graphicData uri="http://schemas.microsoft.com/office/word/2010/wordprocessingShape">
                          <wps:wsp>
                            <wps:cNvSpPr/>
                            <wps:spPr>
                              <a:xfrm>
                                <a:off x="0" y="0"/>
                                <a:ext cx="1334530" cy="670796"/>
                              </a:xfrm>
                              <a:custGeom>
                                <a:avLst/>
                                <a:gdLst>
                                  <a:gd name="csX0" fmla="*/ 1334530 w 1334530"/>
                                  <a:gd name="csY0" fmla="*/ 653143 h 670796"/>
                                  <a:gd name="csX1" fmla="*/ 1295695 w 1334530"/>
                                  <a:gd name="csY1" fmla="*/ 536636 h 670796"/>
                                  <a:gd name="csX2" fmla="*/ 1059151 w 1334530"/>
                                  <a:gd name="csY2" fmla="*/ 526045 h 670796"/>
                                  <a:gd name="csX3" fmla="*/ 995602 w 1334530"/>
                                  <a:gd name="csY3" fmla="*/ 564880 h 670796"/>
                                  <a:gd name="csX4" fmla="*/ 907339 w 1334530"/>
                                  <a:gd name="csY4" fmla="*/ 596655 h 670796"/>
                                  <a:gd name="csX5" fmla="*/ 857912 w 1334530"/>
                                  <a:gd name="csY5" fmla="*/ 579002 h 670796"/>
                                  <a:gd name="csX6" fmla="*/ 759058 w 1334530"/>
                                  <a:gd name="csY6" fmla="*/ 497801 h 670796"/>
                                  <a:gd name="csX7" fmla="*/ 748467 w 1334530"/>
                                  <a:gd name="csY7" fmla="*/ 441313 h 670796"/>
                                  <a:gd name="csX8" fmla="*/ 709631 w 1334530"/>
                                  <a:gd name="csY8" fmla="*/ 353050 h 670796"/>
                                  <a:gd name="csX9" fmla="*/ 593125 w 1334530"/>
                                  <a:gd name="csY9" fmla="*/ 321276 h 670796"/>
                                  <a:gd name="csX10" fmla="*/ 543698 w 1334530"/>
                                  <a:gd name="csY10" fmla="*/ 307154 h 670796"/>
                                  <a:gd name="csX11" fmla="*/ 388356 w 1334530"/>
                                  <a:gd name="csY11" fmla="*/ 282440 h 670796"/>
                                  <a:gd name="csX12" fmla="*/ 356581 w 1334530"/>
                                  <a:gd name="csY12" fmla="*/ 211830 h 670796"/>
                                  <a:gd name="csX13" fmla="*/ 225952 w 1334530"/>
                                  <a:gd name="csY13" fmla="*/ 116507 h 670796"/>
                                  <a:gd name="csX14" fmla="*/ 24714 w 1334530"/>
                                  <a:gd name="csY14" fmla="*/ 0 h 670796"/>
                                  <a:gd name="csX15" fmla="*/ 0 w 1334530"/>
                                  <a:gd name="csY15" fmla="*/ 21183 h 670796"/>
                                  <a:gd name="csX16" fmla="*/ 21183 w 1334530"/>
                                  <a:gd name="csY16" fmla="*/ 151812 h 670796"/>
                                  <a:gd name="csX17" fmla="*/ 105915 w 1334530"/>
                                  <a:gd name="csY17" fmla="*/ 222422 h 670796"/>
                                  <a:gd name="csX18" fmla="*/ 169464 w 1334530"/>
                                  <a:gd name="csY18" fmla="*/ 240074 h 670796"/>
                                  <a:gd name="csX19" fmla="*/ 324806 w 1334530"/>
                                  <a:gd name="csY19" fmla="*/ 285971 h 670796"/>
                                  <a:gd name="csX20" fmla="*/ 540167 w 1334530"/>
                                  <a:gd name="csY20" fmla="*/ 480148 h 670796"/>
                                  <a:gd name="csX21" fmla="*/ 663735 w 1334530"/>
                                  <a:gd name="csY21" fmla="*/ 557819 h 670796"/>
                                  <a:gd name="csX22" fmla="*/ 812016 w 1334530"/>
                                  <a:gd name="csY22" fmla="*/ 561350 h 670796"/>
                                  <a:gd name="csX23" fmla="*/ 914400 w 1334530"/>
                                  <a:gd name="csY23" fmla="*/ 670796 h 670796"/>
                                  <a:gd name="csX24" fmla="*/ 1150944 w 1334530"/>
                                  <a:gd name="csY24" fmla="*/ 670796 h 670796"/>
                                  <a:gd name="csX25" fmla="*/ 1182718 w 1334530"/>
                                  <a:gd name="csY25" fmla="*/ 663735 h 670796"/>
                                  <a:gd name="csX26" fmla="*/ 1334530 w 1334530"/>
                                  <a:gd name="csY26" fmla="*/ 653143 h 67079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1334530" h="670796">
                                    <a:moveTo>
                                      <a:pt x="1334530" y="653143"/>
                                    </a:moveTo>
                                    <a:lnTo>
                                      <a:pt x="1295695" y="536636"/>
                                    </a:lnTo>
                                    <a:lnTo>
                                      <a:pt x="1059151" y="526045"/>
                                    </a:lnTo>
                                    <a:lnTo>
                                      <a:pt x="995602" y="564880"/>
                                    </a:lnTo>
                                    <a:lnTo>
                                      <a:pt x="907339" y="596655"/>
                                    </a:lnTo>
                                    <a:lnTo>
                                      <a:pt x="857912" y="579002"/>
                                    </a:lnTo>
                                    <a:lnTo>
                                      <a:pt x="759058" y="497801"/>
                                    </a:lnTo>
                                    <a:cubicBezTo>
                                      <a:pt x="750593" y="455477"/>
                                      <a:pt x="753970" y="474334"/>
                                      <a:pt x="748467" y="441313"/>
                                    </a:cubicBezTo>
                                    <a:lnTo>
                                      <a:pt x="709631" y="353050"/>
                                    </a:lnTo>
                                    <a:lnTo>
                                      <a:pt x="593125" y="321276"/>
                                    </a:lnTo>
                                    <a:cubicBezTo>
                                      <a:pt x="548206" y="310046"/>
                                      <a:pt x="563779" y="317193"/>
                                      <a:pt x="543698" y="307154"/>
                                    </a:cubicBezTo>
                                    <a:lnTo>
                                      <a:pt x="388356" y="282440"/>
                                    </a:lnTo>
                                    <a:lnTo>
                                      <a:pt x="356581" y="211830"/>
                                    </a:lnTo>
                                    <a:lnTo>
                                      <a:pt x="225952" y="116507"/>
                                    </a:lnTo>
                                    <a:lnTo>
                                      <a:pt x="24714" y="0"/>
                                    </a:lnTo>
                                    <a:lnTo>
                                      <a:pt x="0" y="21183"/>
                                    </a:lnTo>
                                    <a:lnTo>
                                      <a:pt x="21183" y="151812"/>
                                    </a:lnTo>
                                    <a:lnTo>
                                      <a:pt x="105915" y="222422"/>
                                    </a:lnTo>
                                    <a:cubicBezTo>
                                      <a:pt x="155072" y="238808"/>
                                      <a:pt x="133598" y="234097"/>
                                      <a:pt x="169464" y="240074"/>
                                    </a:cubicBezTo>
                                    <a:lnTo>
                                      <a:pt x="324806" y="285971"/>
                                    </a:lnTo>
                                    <a:lnTo>
                                      <a:pt x="540167" y="480148"/>
                                    </a:lnTo>
                                    <a:lnTo>
                                      <a:pt x="663735" y="557819"/>
                                    </a:lnTo>
                                    <a:lnTo>
                                      <a:pt x="812016" y="561350"/>
                                    </a:lnTo>
                                    <a:lnTo>
                                      <a:pt x="914400" y="670796"/>
                                    </a:lnTo>
                                    <a:lnTo>
                                      <a:pt x="1150944" y="670796"/>
                                    </a:lnTo>
                                    <a:lnTo>
                                      <a:pt x="1182718" y="663735"/>
                                    </a:lnTo>
                                    <a:lnTo>
                                      <a:pt x="1334530" y="653143"/>
                                    </a:ln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8" o:spid="_x0000_s1026" o:spt="100" style="position:absolute;left:0pt;margin-left:93.5pt;margin-top:25.6pt;height:52.8pt;width:105.1pt;z-index:251676672;v-text-anchor:middle;mso-width-relative:page;mso-height-relative:page;" filled="f" stroked="t" coordsize="1334530,670796" o:gfxdata="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" path="m1334530,653143l1295695,536636,1059151,526045,995602,564880,907339,596655,857912,579002,759058,497801c750593,455477,753970,474334,748467,441313l709631,353050,593125,321276c548206,310046,563779,317193,543698,307154l388356,282440,356581,211830,225952,116507,24714,0,0,21183,21183,151812,105915,222422c155072,238808,133598,234097,169464,240074l324806,285971,540167,480148,663735,557819,812016,561350,914400,670796,1150944,670796,1182718,663735,1334530,653143xe">
                      <v:path o:connectlocs="1334530,653143;1295695,536636;1059151,526045;995602,564880;907339,596655;857912,579002;759058,497801;748467,441313;709631,353050;593125,321276;543698,307154;388356,282440;356581,211830;225952,116507;24714,0;0,21183;21183,151812;105915,222422;169464,240074;324806,285971;540167,480148;663735,557819;812016,561350;914400,670796;1150944,670796;1182718,663735;1334530,653143" o:connectangles="0,0,0,0,0,0,0,0,0,0,0,0,0,0,0,0,0,0,0,0,0,0,0,0,0,0,0"/>
                      <v:fill on="f" focussize="0,0"/>
                      <v:stroke weight="1pt" color="#EE0000 [3204]" miterlimit="8" joinstyle="miter"/>
                      <v:imagedata o:title=""/>
                      <o:lock v:ext="edit" aspectratio="f"/>
                    </v:shape>
                  </w:pict>
                </mc:Fallback>
              </mc:AlternateContent>
            </w:r>
            <w:r>
              <w:rPr>
                <w:rFonts w:cs="Times New Roman"/>
                <w:kern w:val="0"/>
                <w:szCs w:val="20"/>
              </w:rPr>
              <w:drawing>
                <wp:inline distT="0" distB="0" distL="0" distR="0">
                  <wp:extent cx="2519680" cy="1679575"/>
                  <wp:effectExtent l="0" t="0" r="13970" b="15875"/>
                  <wp:docPr id="19290040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04017" name="图片 17"/>
                          <pic:cNvPicPr>
                            <a:picLocks noChangeAspect="1" noChangeArrowheads="1"/>
                          </pic:cNvPicPr>
                        </pic:nvPicPr>
                        <pic:blipFill>
                          <a:blip r:embed="rId29"/>
                          <a:srcRect/>
                          <a:stretch>
                            <a:fillRect/>
                          </a:stretch>
                        </pic:blipFill>
                        <pic:spPr>
                          <a:xfrm>
                            <a:off x="0" y="0"/>
                            <a:ext cx="2519680" cy="1680202"/>
                          </a:xfrm>
                          <a:prstGeom prst="rect">
                            <a:avLst/>
                          </a:prstGeom>
                          <a:noFill/>
                          <a:ln>
                            <a:noFill/>
                          </a:ln>
                        </pic:spPr>
                      </pic:pic>
                    </a:graphicData>
                  </a:graphic>
                </wp:inline>
              </w:drawing>
            </w:r>
          </w:p>
        </w:tc>
        <w:tc>
          <w:tcPr>
            <w:tcW w:w="4151" w:type="dxa"/>
            <w:vAlign w:val="center"/>
          </w:tcPr>
          <w:p w14:paraId="269E1742">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17632" behindDoc="0" locked="0" layoutInCell="1" allowOverlap="1">
                      <wp:simplePos x="0" y="0"/>
                      <wp:positionH relativeFrom="column">
                        <wp:posOffset>1783080</wp:posOffset>
                      </wp:positionH>
                      <wp:positionV relativeFrom="paragraph">
                        <wp:posOffset>1453515</wp:posOffset>
                      </wp:positionV>
                      <wp:extent cx="706120" cy="249555"/>
                      <wp:effectExtent l="0" t="0" r="17780" b="17145"/>
                      <wp:wrapNone/>
                      <wp:docPr id="503964765"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23E8CDF3">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0.4pt;margin-top:114.45pt;height:19.65pt;width:55.6pt;z-index:251717632;mso-width-relative:page;mso-height-relative:page;" fillcolor="#FFFFFF [3201]" filled="t" stroked="t" coordsize="21600,21600" o:gfxdata="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JAB9jXAAAACwEAAA8AAAAAAAAAAQAgAAAAIgAAAGRycy9kb3ducmV2LnhtbFBLAQIUABQAAAAI&#10;AIdO4kDH2W5yYAIAAL8EAAAOAAAAAAAAAAEAIAAAACYBAABkcnMvZTJvRG9jLnhtbFBLBQYAAAAA&#10;BgAGAFkBAAD4BQAAAAA=&#10;">
                      <v:fill on="t" focussize="0,0"/>
                      <v:stroke weight="0.5pt" color="#000000" joinstyle="round"/>
                      <v:imagedata o:title=""/>
                      <o:lock v:ext="edit" aspectratio="f"/>
                      <v:textbox>
                        <w:txbxContent>
                          <w:p w14:paraId="23E8CDF3">
                            <w:pPr>
                              <w:spacing w:line="240" w:lineRule="auto"/>
                              <w:ind w:firstLine="0" w:firstLineChars="0"/>
                            </w:pPr>
                            <w:r>
                              <w:rPr>
                                <w:rFonts w:hint="eastAsia"/>
                              </w:rPr>
                              <w:t>2025.12</w:t>
                            </w:r>
                          </w:p>
                        </w:txbxContent>
                      </v:textbox>
                    </v:shape>
                  </w:pict>
                </mc:Fallback>
              </mc:AlternateContent>
            </w:r>
            <w:r>
              <w:rPr>
                <w:rFonts w:cs="Times New Roman"/>
                <w:kern w:val="0"/>
                <w:szCs w:val="20"/>
              </w:rPr>
              <mc:AlternateContent>
                <mc:Choice Requires="wps">
                  <w:drawing>
                    <wp:anchor distT="0" distB="0" distL="114300" distR="114300" simplePos="0" relativeHeight="251698176" behindDoc="0" locked="0" layoutInCell="1" allowOverlap="1">
                      <wp:simplePos x="0" y="0"/>
                      <wp:positionH relativeFrom="column">
                        <wp:posOffset>149860</wp:posOffset>
                      </wp:positionH>
                      <wp:positionV relativeFrom="paragraph">
                        <wp:posOffset>389255</wp:posOffset>
                      </wp:positionV>
                      <wp:extent cx="2156460" cy="1043940"/>
                      <wp:effectExtent l="0" t="0" r="15875" b="22860"/>
                      <wp:wrapNone/>
                      <wp:docPr id="1718118534" name="椭圆 39"/>
                      <wp:cNvGraphicFramePr/>
                      <a:graphic xmlns:a="http://schemas.openxmlformats.org/drawingml/2006/main">
                        <a:graphicData uri="http://schemas.microsoft.com/office/word/2010/wordprocessingShape">
                          <wps:wsp>
                            <wps:cNvSpPr/>
                            <wps:spPr>
                              <a:xfrm>
                                <a:off x="0" y="0"/>
                                <a:ext cx="2156346" cy="1044054"/>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39" o:spid="_x0000_s1026" o:spt="3" type="#_x0000_t3" style="position:absolute;left:0pt;margin-left:11.8pt;margin-top:30.65pt;height:82.2pt;width:169.8pt;z-index:251698176;v-text-anchor:middle;mso-width-relative:page;mso-height-relative:page;" filled="f" stroked="t" coordsize="21600,21600" o:gfxdata="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&#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bY2lZ2AAAAAkBAAAPAAAAAAAAAAEAIAAAACIAAABk&#10;cnMvZG93bnJldi54bWxQSwECFAAUAAAACACHTuJA78ipOngCAADZBAAADgAAAAAAAAABACAAAAAn&#10;AQAAZHJzL2Uyb0RvYy54bWxQSwUGAAAAAAYABgBZAQAAEQYAAAAA&#10;">
                      <v:fill on="f" focussize="0,0"/>
                      <v:stroke weight="1pt" color="#EE0000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81792" behindDoc="0" locked="0" layoutInCell="1" allowOverlap="1">
                      <wp:simplePos x="0" y="0"/>
                      <wp:positionH relativeFrom="column">
                        <wp:posOffset>469265</wp:posOffset>
                      </wp:positionH>
                      <wp:positionV relativeFrom="paragraph">
                        <wp:posOffset>652780</wp:posOffset>
                      </wp:positionV>
                      <wp:extent cx="909320" cy="262890"/>
                      <wp:effectExtent l="0" t="0" r="0" b="3810"/>
                      <wp:wrapNone/>
                      <wp:docPr id="105488927"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74E28BB9">
                                  <w:pPr>
                                    <w:ind w:firstLine="480"/>
                                    <w:rPr>
                                      <w:color w:val="FF0000"/>
                                    </w:rPr>
                                  </w:pPr>
                                  <w:r>
                                    <w:rPr>
                                      <w:rFonts w:hint="eastAsia"/>
                                      <w:color w:val="FF0000"/>
                                    </w:rPr>
                                    <w:t>S13</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36.95pt;margin-top:51.4pt;height:20.7pt;width:71.6pt;z-index:251681792;mso-width-relative:page;mso-height-relative:page;" filled="f" stroked="f" coordsize="21600,21600" o:gfxdata="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SmatYAAAAK&#10;AQAADwAAAAAAAAABACAAAAAiAAAAZHJzL2Rvd25yZXYueG1sUEsBAhQAFAAAAAgAh07iQNgcft0e&#10;AgAAHQQAAA4AAAAAAAAAAQAgAAAAJQEAAGRycy9lMm9Eb2MueG1sUEsFBgAAAAAGAAYAWQEAALUF&#10;AAAAAA==&#10;">
                      <v:fill on="f" focussize="0,0"/>
                      <v:stroke on="f"/>
                      <v:imagedata o:title=""/>
                      <o:lock v:ext="edit" aspectratio="f"/>
                      <v:textbox>
                        <w:txbxContent>
                          <w:p w14:paraId="74E28BB9">
                            <w:pPr>
                              <w:ind w:firstLine="480"/>
                              <w:rPr>
                                <w:color w:val="FF0000"/>
                              </w:rPr>
                            </w:pPr>
                            <w:r>
                              <w:rPr>
                                <w:rFonts w:hint="eastAsia"/>
                                <w:color w:val="FF0000"/>
                              </w:rPr>
                              <w:t>S13</w:t>
                            </w:r>
                          </w:p>
                        </w:txbxContent>
                      </v:textbox>
                    </v:shape>
                  </w:pict>
                </mc:Fallback>
              </mc:AlternateContent>
            </w:r>
            <w:r>
              <w:rPr>
                <w:rFonts w:cs="Times New Roman"/>
                <w:kern w:val="0"/>
                <w:szCs w:val="20"/>
              </w:rPr>
              <w:drawing>
                <wp:inline distT="0" distB="0" distL="0" distR="0">
                  <wp:extent cx="2519680" cy="1679575"/>
                  <wp:effectExtent l="0" t="0" r="13970" b="15875"/>
                  <wp:docPr id="11396028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02854" name="图片 22"/>
                          <pic:cNvPicPr>
                            <a:picLocks noChangeAspect="1" noChangeArrowheads="1"/>
                          </pic:cNvPicPr>
                        </pic:nvPicPr>
                        <pic:blipFill>
                          <a:blip r:embed="rId30"/>
                          <a:srcRect/>
                          <a:stretch>
                            <a:fillRect/>
                          </a:stretch>
                        </pic:blipFill>
                        <pic:spPr>
                          <a:xfrm>
                            <a:off x="0" y="0"/>
                            <a:ext cx="2519680" cy="1680202"/>
                          </a:xfrm>
                          <a:prstGeom prst="rect">
                            <a:avLst/>
                          </a:prstGeom>
                          <a:noFill/>
                          <a:ln>
                            <a:noFill/>
                          </a:ln>
                        </pic:spPr>
                      </pic:pic>
                    </a:graphicData>
                  </a:graphic>
                </wp:inline>
              </w:drawing>
            </w:r>
          </w:p>
        </w:tc>
      </w:tr>
      <w:tr w14:paraId="7B0F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51" w:type="dxa"/>
            <w:vAlign w:val="center"/>
          </w:tcPr>
          <w:p w14:paraId="5159FBB5">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686912" behindDoc="0" locked="0" layoutInCell="1" allowOverlap="1">
                      <wp:simplePos x="0" y="0"/>
                      <wp:positionH relativeFrom="column">
                        <wp:posOffset>1738630</wp:posOffset>
                      </wp:positionH>
                      <wp:positionV relativeFrom="paragraph">
                        <wp:posOffset>390525</wp:posOffset>
                      </wp:positionV>
                      <wp:extent cx="688340" cy="281305"/>
                      <wp:effectExtent l="0" t="76200" r="0" b="80645"/>
                      <wp:wrapNone/>
                      <wp:docPr id="1398455939" name="椭圆 27"/>
                      <wp:cNvGraphicFramePr/>
                      <a:graphic xmlns:a="http://schemas.openxmlformats.org/drawingml/2006/main">
                        <a:graphicData uri="http://schemas.microsoft.com/office/word/2010/wordprocessingShape">
                          <wps:wsp>
                            <wps:cNvSpPr/>
                            <wps:spPr>
                              <a:xfrm rot="1701821">
                                <a:off x="0" y="0"/>
                                <a:ext cx="688340" cy="28130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7" o:spid="_x0000_s1026" o:spt="3" type="#_x0000_t3" style="position:absolute;left:0pt;margin-left:136.9pt;margin-top:30.75pt;height:22.15pt;width:54.2pt;rotation:1858842f;z-index:251686912;v-text-anchor:middle;mso-width-relative:page;mso-height-relative:page;" filled="f" stroked="t" coordsize="21600,21600" o:gfxdata="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kEwX/ZAAAACgEAAA8AAAAAAAAAAQAg&#10;AAAAIgAAAGRycy9kb3ducmV2LnhtbFBLAQIUABQAAAAIAIdO4kDoSq1mfwIAAOUEAAAOAAAAAAAA&#10;AAEAIAAAACgBAABkcnMvZTJvRG9jLnhtbFBLBQYAAAAABgAGAFkBAAAZBgAAAAA=&#10;">
                      <v:fill on="f" focussize="0,0"/>
                      <v:stroke weight="1pt" color="#EE0000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82816" behindDoc="0" locked="0" layoutInCell="1" allowOverlap="1">
                      <wp:simplePos x="0" y="0"/>
                      <wp:positionH relativeFrom="column">
                        <wp:posOffset>358775</wp:posOffset>
                      </wp:positionH>
                      <wp:positionV relativeFrom="paragraph">
                        <wp:posOffset>431165</wp:posOffset>
                      </wp:positionV>
                      <wp:extent cx="909320" cy="262890"/>
                      <wp:effectExtent l="0" t="0" r="0" b="3810"/>
                      <wp:wrapNone/>
                      <wp:docPr id="2072666754"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6E58AD56">
                                  <w:pPr>
                                    <w:ind w:firstLine="480"/>
                                    <w:rPr>
                                      <w:color w:val="FF0000"/>
                                    </w:rPr>
                                  </w:pPr>
                                  <w:r>
                                    <w:rPr>
                                      <w:rFonts w:hint="eastAsia"/>
                                      <w:color w:val="FF0000"/>
                                    </w:rPr>
                                    <w:t>S14</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28.25pt;margin-top:33.95pt;height:20.7pt;width:71.6pt;z-index:251682816;mso-width-relative:page;mso-height-relative:page;" filled="f" stroked="f" coordsize="21600,21600" o:gfxdata="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sm0jWAAAA&#10;CQEAAA8AAAAAAAAAAQAgAAAAIgAAAGRycy9kb3ducmV2LnhtbFBLAQIUABQAAAAIAIdO4kCw1cxg&#10;HwIAAB4EAAAOAAAAAAAAAAEAIAAAACUBAABkcnMvZTJvRG9jLnhtbFBLBQYAAAAABgAGAFkBAAC2&#10;BQAAAAA=&#10;">
                      <v:fill on="f" focussize="0,0"/>
                      <v:stroke on="f"/>
                      <v:imagedata o:title=""/>
                      <o:lock v:ext="edit" aspectratio="f"/>
                      <v:textbox>
                        <w:txbxContent>
                          <w:p w14:paraId="6E58AD56">
                            <w:pPr>
                              <w:ind w:firstLine="480"/>
                              <w:rPr>
                                <w:color w:val="FF0000"/>
                              </w:rPr>
                            </w:pPr>
                            <w:r>
                              <w:rPr>
                                <w:rFonts w:hint="eastAsia"/>
                                <w:color w:val="FF0000"/>
                              </w:rPr>
                              <w:t>S14</w:t>
                            </w:r>
                          </w:p>
                        </w:txbxContent>
                      </v:textbox>
                    </v:shape>
                  </w:pict>
                </mc:Fallback>
              </mc:AlternateContent>
            </w:r>
            <w:r>
              <w:rPr>
                <w:rFonts w:cs="Times New Roman"/>
                <w:kern w:val="0"/>
                <w:szCs w:val="20"/>
              </w:rPr>
              <mc:AlternateContent>
                <mc:Choice Requires="wps">
                  <w:drawing>
                    <wp:anchor distT="0" distB="0" distL="114300" distR="114300" simplePos="0" relativeHeight="251714560" behindDoc="0" locked="0" layoutInCell="1" allowOverlap="1">
                      <wp:simplePos x="0" y="0"/>
                      <wp:positionH relativeFrom="column">
                        <wp:posOffset>1790065</wp:posOffset>
                      </wp:positionH>
                      <wp:positionV relativeFrom="paragraph">
                        <wp:posOffset>1499235</wp:posOffset>
                      </wp:positionV>
                      <wp:extent cx="706120" cy="249555"/>
                      <wp:effectExtent l="0" t="0" r="17780" b="17145"/>
                      <wp:wrapNone/>
                      <wp:docPr id="2049235928"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0ECAB646">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0.95pt;margin-top:118.05pt;height:19.65pt;width:55.6pt;z-index:251714560;mso-width-relative:page;mso-height-relative:page;" fillcolor="#FFFFFF [3201]" filled="t" stroked="t" coordsize="21600,21600" o:gfxdata="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ImzKbXAAAACwEAAA8AAAAAAAAAAQAgAAAAIgAAAGRycy9kb3ducmV2LnhtbFBLAQIUABQAAAAI&#10;AIdO4kA1wW1nYAIAAMAEAAAOAAAAAAAAAAEAIAAAACYBAABkcnMvZTJvRG9jLnhtbFBLBQYAAAAA&#10;BgAGAFkBAAD4BQAAAAA=&#10;">
                      <v:fill on="t" focussize="0,0"/>
                      <v:stroke weight="0.5pt" color="#000000" joinstyle="round"/>
                      <v:imagedata o:title=""/>
                      <o:lock v:ext="edit" aspectratio="f"/>
                      <v:textbox>
                        <w:txbxContent>
                          <w:p w14:paraId="0ECAB646">
                            <w:pPr>
                              <w:spacing w:line="240" w:lineRule="auto"/>
                              <w:ind w:firstLine="0" w:firstLineChars="0"/>
                            </w:pPr>
                            <w:r>
                              <w:rPr>
                                <w:rFonts w:hint="eastAsia"/>
                              </w:rPr>
                              <w:t>2025.12</w:t>
                            </w:r>
                          </w:p>
                        </w:txbxContent>
                      </v:textbox>
                    </v:shape>
                  </w:pict>
                </mc:Fallback>
              </mc:AlternateContent>
            </w:r>
            <w:r>
              <w:rPr>
                <w:rFonts w:cs="Times New Roman"/>
                <w:kern w:val="0"/>
                <w:szCs w:val="20"/>
              </w:rPr>
              <mc:AlternateContent>
                <mc:Choice Requires="wps">
                  <w:drawing>
                    <wp:anchor distT="0" distB="0" distL="114300" distR="114300" simplePos="0" relativeHeight="251685888" behindDoc="0" locked="0" layoutInCell="1" allowOverlap="1">
                      <wp:simplePos x="0" y="0"/>
                      <wp:positionH relativeFrom="column">
                        <wp:posOffset>213360</wp:posOffset>
                      </wp:positionH>
                      <wp:positionV relativeFrom="paragraph">
                        <wp:posOffset>387350</wp:posOffset>
                      </wp:positionV>
                      <wp:extent cx="1316990" cy="283845"/>
                      <wp:effectExtent l="38100" t="0" r="0" b="21590"/>
                      <wp:wrapNone/>
                      <wp:docPr id="2142229244" name="任意多边形: 形状 26"/>
                      <wp:cNvGraphicFramePr/>
                      <a:graphic xmlns:a="http://schemas.openxmlformats.org/drawingml/2006/main">
                        <a:graphicData uri="http://schemas.microsoft.com/office/word/2010/wordprocessingShape">
                          <wps:wsp>
                            <wps:cNvSpPr/>
                            <wps:spPr>
                              <a:xfrm>
                                <a:off x="0" y="0"/>
                                <a:ext cx="1316877" cy="283688"/>
                              </a:xfrm>
                              <a:custGeom>
                                <a:avLst/>
                                <a:gdLst>
                                  <a:gd name="csX0" fmla="*/ 1316877 w 1316877"/>
                                  <a:gd name="csY0" fmla="*/ 127098 h 283688"/>
                                  <a:gd name="csX1" fmla="*/ 1316877 w 1316877"/>
                                  <a:gd name="csY1" fmla="*/ 127098 h 283688"/>
                                  <a:gd name="csX2" fmla="*/ 1285102 w 1316877"/>
                                  <a:gd name="csY2" fmla="*/ 144751 h 283688"/>
                                  <a:gd name="csX3" fmla="*/ 1278041 w 1316877"/>
                                  <a:gd name="csY3" fmla="*/ 155342 h 283688"/>
                                  <a:gd name="csX4" fmla="*/ 1263919 w 1316877"/>
                                  <a:gd name="csY4" fmla="*/ 165934 h 283688"/>
                                  <a:gd name="csX5" fmla="*/ 1256858 w 1316877"/>
                                  <a:gd name="csY5" fmla="*/ 172995 h 283688"/>
                                  <a:gd name="csX6" fmla="*/ 1196840 w 1316877"/>
                                  <a:gd name="csY6" fmla="*/ 187117 h 283688"/>
                                  <a:gd name="csX7" fmla="*/ 1140352 w 1316877"/>
                                  <a:gd name="csY7" fmla="*/ 211830 h 283688"/>
                                  <a:gd name="csX8" fmla="*/ 1066211 w 1316877"/>
                                  <a:gd name="csY8" fmla="*/ 233013 h 283688"/>
                                  <a:gd name="csX9" fmla="*/ 995601 w 1316877"/>
                                  <a:gd name="csY9" fmla="*/ 243605 h 283688"/>
                                  <a:gd name="csX10" fmla="*/ 857912 w 1316877"/>
                                  <a:gd name="csY10" fmla="*/ 247135 h 283688"/>
                                  <a:gd name="csX11" fmla="*/ 720222 w 1316877"/>
                                  <a:gd name="csY11" fmla="*/ 271849 h 283688"/>
                                  <a:gd name="csX12" fmla="*/ 635490 w 1316877"/>
                                  <a:gd name="csY12" fmla="*/ 282440 h 283688"/>
                                  <a:gd name="csX13" fmla="*/ 497801 w 1316877"/>
                                  <a:gd name="csY13" fmla="*/ 282440 h 283688"/>
                                  <a:gd name="csX14" fmla="*/ 437782 w 1316877"/>
                                  <a:gd name="csY14" fmla="*/ 268318 h 283688"/>
                                  <a:gd name="csX15" fmla="*/ 225952 w 1316877"/>
                                  <a:gd name="csY15" fmla="*/ 215361 h 283688"/>
                                  <a:gd name="csX16" fmla="*/ 353050 w 1316877"/>
                                  <a:gd name="csY16" fmla="*/ 155342 h 283688"/>
                                  <a:gd name="csX17" fmla="*/ 310684 w 1316877"/>
                                  <a:gd name="csY17" fmla="*/ 67080 h 283688"/>
                                  <a:gd name="csX18" fmla="*/ 229482 w 1316877"/>
                                  <a:gd name="csY18" fmla="*/ 52958 h 283688"/>
                                  <a:gd name="csX19" fmla="*/ 0 w 1316877"/>
                                  <a:gd name="csY19" fmla="*/ 0 h 283688"/>
                                  <a:gd name="csX20" fmla="*/ 52957 w 1316877"/>
                                  <a:gd name="csY20" fmla="*/ 0 h 283688"/>
                                  <a:gd name="csX21" fmla="*/ 317745 w 1316877"/>
                                  <a:gd name="csY21" fmla="*/ 21183 h 283688"/>
                                  <a:gd name="csX22" fmla="*/ 356580 w 1316877"/>
                                  <a:gd name="csY22" fmla="*/ 28244 h 283688"/>
                                  <a:gd name="csX23" fmla="*/ 543697 w 1316877"/>
                                  <a:gd name="csY23" fmla="*/ 56488 h 283688"/>
                                  <a:gd name="csX24" fmla="*/ 681387 w 1316877"/>
                                  <a:gd name="csY24" fmla="*/ 56488 h 283688"/>
                                  <a:gd name="csX25" fmla="*/ 854381 w 1316877"/>
                                  <a:gd name="csY25" fmla="*/ 63549 h 283688"/>
                                  <a:gd name="csX26" fmla="*/ 917930 w 1316877"/>
                                  <a:gd name="csY26" fmla="*/ 74141 h 283688"/>
                                  <a:gd name="csX27" fmla="*/ 1179187 w 1316877"/>
                                  <a:gd name="csY27" fmla="*/ 77671 h 283688"/>
                                  <a:gd name="csX28" fmla="*/ 1239206 w 1316877"/>
                                  <a:gd name="csY28" fmla="*/ 77671 h 283688"/>
                                  <a:gd name="csX29" fmla="*/ 1316877 w 1316877"/>
                                  <a:gd name="csY29" fmla="*/ 127098 h 28368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Lst>
                                <a:rect l="l" t="t" r="r" b="b"/>
                                <a:pathLst>
                                  <a:path w="1316877" h="283688">
                                    <a:moveTo>
                                      <a:pt x="1316877" y="127098"/>
                                    </a:moveTo>
                                    <a:lnTo>
                                      <a:pt x="1316877" y="127098"/>
                                    </a:lnTo>
                                    <a:cubicBezTo>
                                      <a:pt x="1306285" y="132982"/>
                                      <a:pt x="1294901" y="137624"/>
                                      <a:pt x="1285102" y="144751"/>
                                    </a:cubicBezTo>
                                    <a:cubicBezTo>
                                      <a:pt x="1281671" y="147247"/>
                                      <a:pt x="1281041" y="152342"/>
                                      <a:pt x="1278041" y="155342"/>
                                    </a:cubicBezTo>
                                    <a:cubicBezTo>
                                      <a:pt x="1273880" y="159503"/>
                                      <a:pt x="1268439" y="162167"/>
                                      <a:pt x="1263919" y="165934"/>
                                    </a:cubicBezTo>
                                    <a:cubicBezTo>
                                      <a:pt x="1261362" y="168065"/>
                                      <a:pt x="1259212" y="170641"/>
                                      <a:pt x="1256858" y="172995"/>
                                    </a:cubicBezTo>
                                    <a:lnTo>
                                      <a:pt x="1196840" y="187117"/>
                                    </a:lnTo>
                                    <a:cubicBezTo>
                                      <a:pt x="1154878" y="208098"/>
                                      <a:pt x="1174017" y="200608"/>
                                      <a:pt x="1140352" y="211830"/>
                                    </a:cubicBezTo>
                                    <a:lnTo>
                                      <a:pt x="1066211" y="233013"/>
                                    </a:lnTo>
                                    <a:lnTo>
                                      <a:pt x="995601" y="243605"/>
                                    </a:lnTo>
                                    <a:lnTo>
                                      <a:pt x="857912" y="247135"/>
                                    </a:lnTo>
                                    <a:lnTo>
                                      <a:pt x="720222" y="271849"/>
                                    </a:lnTo>
                                    <a:cubicBezTo>
                                      <a:pt x="674347" y="289051"/>
                                      <a:pt x="702033" y="282440"/>
                                      <a:pt x="635490" y="282440"/>
                                    </a:cubicBezTo>
                                    <a:lnTo>
                                      <a:pt x="497801" y="282440"/>
                                    </a:lnTo>
                                    <a:lnTo>
                                      <a:pt x="437782" y="268318"/>
                                    </a:lnTo>
                                    <a:lnTo>
                                      <a:pt x="225952" y="215361"/>
                                    </a:lnTo>
                                    <a:lnTo>
                                      <a:pt x="353050" y="155342"/>
                                    </a:lnTo>
                                    <a:lnTo>
                                      <a:pt x="310684" y="67080"/>
                                    </a:lnTo>
                                    <a:cubicBezTo>
                                      <a:pt x="260682" y="52079"/>
                                      <a:pt x="287629" y="57430"/>
                                      <a:pt x="229482" y="52958"/>
                                    </a:cubicBezTo>
                                    <a:lnTo>
                                      <a:pt x="0" y="0"/>
                                    </a:lnTo>
                                    <a:lnTo>
                                      <a:pt x="52957" y="0"/>
                                    </a:lnTo>
                                    <a:lnTo>
                                      <a:pt x="317745" y="21183"/>
                                    </a:lnTo>
                                    <a:lnTo>
                                      <a:pt x="356580" y="28244"/>
                                    </a:lnTo>
                                    <a:lnTo>
                                      <a:pt x="543697" y="56488"/>
                                    </a:lnTo>
                                    <a:lnTo>
                                      <a:pt x="681387" y="56488"/>
                                    </a:lnTo>
                                    <a:lnTo>
                                      <a:pt x="854381" y="63549"/>
                                    </a:lnTo>
                                    <a:cubicBezTo>
                                      <a:pt x="910801" y="74833"/>
                                      <a:pt x="889337" y="74141"/>
                                      <a:pt x="917930" y="74141"/>
                                    </a:cubicBezTo>
                                    <a:lnTo>
                                      <a:pt x="1179187" y="77671"/>
                                    </a:lnTo>
                                    <a:lnTo>
                                      <a:pt x="1239206" y="77671"/>
                                    </a:lnTo>
                                    <a:lnTo>
                                      <a:pt x="1316877" y="127098"/>
                                    </a:ln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26" o:spid="_x0000_s1026" o:spt="100" style="position:absolute;left:0pt;margin-left:16.8pt;margin-top:30.5pt;height:22.35pt;width:103.7pt;z-index:251685888;v-text-anchor:middle;mso-width-relative:page;mso-height-relative:page;" filled="f" stroked="t" coordsize="1316877,283688" o:gfxdata="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" path="m1316877,127098l1316877,127098c1306285,132982,1294901,137624,1285102,144751c1281671,147247,1281041,152342,1278041,155342c1273880,159503,1268439,162167,1263919,165934c1261362,168065,1259212,170641,1256858,172995l1196840,187117c1154878,208098,1174017,200608,1140352,211830l1066211,233013,995601,243605,857912,247135,720222,271849c674347,289051,702033,282440,635490,282440l497801,282440,437782,268318,225952,215361,353050,155342,310684,67080c260682,52079,287629,57430,229482,52958l0,0,52957,0,317745,21183,356580,28244,543697,56488,681387,56488,854381,63549c910801,74833,889337,74141,917930,74141l1179187,77671,1239206,77671,1316877,127098xe">
                      <v:path o:connectlocs="1316877,127098;1316877,127098;1285102,144751;1278041,155342;1263919,165934;1256858,172995;1196840,187117;1140352,211830;1066211,233013;995601,243605;857912,247135;720222,271849;635490,282440;497801,282440;437782,268318;225952,215361;353050,155342;310684,67080;229482,52958;0,0;52957,0;317745,21183;356580,28244;543697,56488;681387,56488;854381,63549;917930,74141;1179187,77671;1239206,77671;1316877,127098" o:connectangles="0,0,0,0,0,0,0,0,0,0,0,0,0,0,0,0,0,0,0,0,0,0,0,0,0,0,0,0,0,0"/>
                      <v:fill on="f" focussize="0,0"/>
                      <v:stroke weight="1pt" color="#EE0000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84864" behindDoc="0" locked="0" layoutInCell="1" allowOverlap="1">
                      <wp:simplePos x="0" y="0"/>
                      <wp:positionH relativeFrom="column">
                        <wp:posOffset>1512570</wp:posOffset>
                      </wp:positionH>
                      <wp:positionV relativeFrom="paragraph">
                        <wp:posOffset>493395</wp:posOffset>
                      </wp:positionV>
                      <wp:extent cx="0" cy="0"/>
                      <wp:effectExtent l="0" t="0" r="0" b="0"/>
                      <wp:wrapNone/>
                      <wp:docPr id="145928305" name="任意多边形: 形状 25"/>
                      <wp:cNvGraphicFramePr/>
                      <a:graphic xmlns:a="http://schemas.openxmlformats.org/drawingml/2006/main">
                        <a:graphicData uri="http://schemas.microsoft.com/office/word/2010/wordprocessingShape">
                          <wps:wsp>
                            <wps:cNvSpPr/>
                            <wps:spPr>
                              <a:xfrm>
                                <a:off x="0" y="0"/>
                                <a:ext cx="0" cy="0"/>
                              </a:xfrm>
                              <a:custGeom>
                                <a:avLst/>
                                <a:gdLst>
                                  <a:gd name="csX0" fmla="*/ 0 w 0"/>
                                  <a:gd name="csY0" fmla="*/ 0 h 0"/>
                                  <a:gd name="csX1" fmla="*/ 0 w 0"/>
                                  <a:gd name="csY1" fmla="*/ 0 h 0"/>
                                  <a:gd name="csX2" fmla="*/ 0 w 0"/>
                                  <a:gd name="csY2" fmla="*/ 0 h 0"/>
                                </a:gdLst>
                                <a:ahLst/>
                                <a:cxnLst>
                                  <a:cxn ang="0">
                                    <a:pos x="csX0" y="csY0"/>
                                  </a:cxn>
                                  <a:cxn ang="0">
                                    <a:pos x="csX1" y="csY1"/>
                                  </a:cxn>
                                  <a:cxn ang="0">
                                    <a:pos x="csX2" y="csY2"/>
                                  </a:cxn>
                                </a:cxnLst>
                                <a:rect l="l" t="t" r="r" b="b"/>
                                <a:pathLst>
                                  <a:path>
                                    <a:moveTo>
                                      <a:pt x="0" y="0"/>
                                    </a:moveTo>
                                    <a:lnTo>
                                      <a:pt x="0" y="0"/>
                                    </a:lnTo>
                                    <a:lnTo>
                                      <a:pt x="0" y="0"/>
                                    </a:lnTo>
                                    <a:close/>
                                  </a:path>
                                </a:pathLst>
                              </a:cu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25" o:spid="_x0000_s1026" o:spt="100" style="position:absolute;left:0pt;margin-left:119.1pt;margin-top:38.85pt;height:0pt;width:0pt;z-index:251684864;v-text-anchor:middle;mso-width-relative:page;mso-height-relative:page;" fillcolor="#5B9BD5 [3204]" filled="t" stroked="t" coordsize="0,0" o:gfxdata="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VvN+N9cAAAAJAQAADwAAAAAAAAABACAAAAAiAAAAZHJzL2Rvd25yZXYueG1sUEsBAhQAFAAAAAgA&#10;h07iQKpr7k5DAwAAcgcAAA4AAAAAAAAAAQAgAAAAJgEAAGRycy9lMm9Eb2MueG1sUEsFBgAAAAAG&#10;AAYAWQEAANsGAAAAAA==&#10;" path="m0,0l0,0,0,0xe">
                      <v:path o:connectlocs="@0,@0;@0,@0;@0,@0" o:connectangles="0,0,0"/>
                      <v:fill on="t" focussize="0,0"/>
                      <v:stroke weight="1pt" color="#223F59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83840" behindDoc="0" locked="0" layoutInCell="1" allowOverlap="1">
                      <wp:simplePos x="0" y="0"/>
                      <wp:positionH relativeFrom="column">
                        <wp:posOffset>1570355</wp:posOffset>
                      </wp:positionH>
                      <wp:positionV relativeFrom="paragraph">
                        <wp:posOffset>433705</wp:posOffset>
                      </wp:positionV>
                      <wp:extent cx="909320" cy="262890"/>
                      <wp:effectExtent l="0" t="0" r="0" b="3810"/>
                      <wp:wrapNone/>
                      <wp:docPr id="103806376"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72FA97E2">
                                  <w:pPr>
                                    <w:ind w:firstLine="480"/>
                                    <w:rPr>
                                      <w:color w:val="FF0000"/>
                                    </w:rPr>
                                  </w:pPr>
                                  <w:r>
                                    <w:rPr>
                                      <w:rFonts w:hint="eastAsia"/>
                                      <w:color w:val="FF0000"/>
                                    </w:rPr>
                                    <w:t>S15</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123.65pt;margin-top:34.15pt;height:20.7pt;width:71.6pt;z-index:251683840;mso-width-relative:page;mso-height-relative:page;" filled="f" stroked="f" coordsize="21600,21600" o:gfxdata="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xpoPzXAAAA&#10;CgEAAA8AAAAAAAAAAQAgAAAAIgAAAGRycy9kb3ducmV2LnhtbFBLAQIUABQAAAAIAIdO4kBDs0PW&#10;HgIAAB0EAAAOAAAAAAAAAAEAIAAAACYBAABkcnMvZTJvRG9jLnhtbFBLBQYAAAAABgAGAFkBAAC2&#10;BQAAAAA=&#10;">
                      <v:fill on="f" focussize="0,0"/>
                      <v:stroke on="f"/>
                      <v:imagedata o:title=""/>
                      <o:lock v:ext="edit" aspectratio="f"/>
                      <v:textbox>
                        <w:txbxContent>
                          <w:p w14:paraId="72FA97E2">
                            <w:pPr>
                              <w:ind w:firstLine="480"/>
                              <w:rPr>
                                <w:color w:val="FF0000"/>
                              </w:rPr>
                            </w:pPr>
                            <w:r>
                              <w:rPr>
                                <w:rFonts w:hint="eastAsia"/>
                                <w:color w:val="FF0000"/>
                              </w:rPr>
                              <w:t>S15</w:t>
                            </w:r>
                          </w:p>
                        </w:txbxContent>
                      </v:textbox>
                    </v:shape>
                  </w:pict>
                </mc:Fallback>
              </mc:AlternateContent>
            </w:r>
            <w:r>
              <w:rPr>
                <w:rFonts w:cs="Times New Roman"/>
                <w:kern w:val="0"/>
                <w:szCs w:val="20"/>
              </w:rPr>
              <w:drawing>
                <wp:inline distT="0" distB="0" distL="0" distR="0">
                  <wp:extent cx="2519680" cy="1679575"/>
                  <wp:effectExtent l="0" t="0" r="13970" b="15875"/>
                  <wp:docPr id="1620743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4347" name="图片 24"/>
                          <pic:cNvPicPr>
                            <a:picLocks noChangeAspect="1" noChangeArrowheads="1"/>
                          </pic:cNvPicPr>
                        </pic:nvPicPr>
                        <pic:blipFill>
                          <a:blip r:embed="rId31"/>
                          <a:srcRect/>
                          <a:stretch>
                            <a:fillRect/>
                          </a:stretch>
                        </pic:blipFill>
                        <pic:spPr>
                          <a:xfrm>
                            <a:off x="0" y="0"/>
                            <a:ext cx="2519680" cy="1680202"/>
                          </a:xfrm>
                          <a:prstGeom prst="rect">
                            <a:avLst/>
                          </a:prstGeom>
                          <a:noFill/>
                          <a:ln>
                            <a:noFill/>
                          </a:ln>
                        </pic:spPr>
                      </pic:pic>
                    </a:graphicData>
                  </a:graphic>
                </wp:inline>
              </w:drawing>
            </w:r>
          </w:p>
        </w:tc>
        <w:tc>
          <w:tcPr>
            <w:tcW w:w="4151" w:type="dxa"/>
            <w:vAlign w:val="center"/>
          </w:tcPr>
          <w:p w14:paraId="041A2BD2">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15584" behindDoc="0" locked="0" layoutInCell="1" allowOverlap="1">
                      <wp:simplePos x="0" y="0"/>
                      <wp:positionH relativeFrom="column">
                        <wp:posOffset>1787525</wp:posOffset>
                      </wp:positionH>
                      <wp:positionV relativeFrom="paragraph">
                        <wp:posOffset>1664970</wp:posOffset>
                      </wp:positionV>
                      <wp:extent cx="706120" cy="249555"/>
                      <wp:effectExtent l="0" t="0" r="17780" b="17145"/>
                      <wp:wrapNone/>
                      <wp:docPr id="1813346531"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076BCEA3">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40.75pt;margin-top:131.1pt;height:19.65pt;width:55.6pt;z-index:251715584;mso-width-relative:page;mso-height-relative:page;" fillcolor="#FFFFFF [3201]" filled="t" stroked="t" coordsize="21600,21600" o:gfxdata="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Eh&#10;Q+XWAAAACwEAAA8AAAAAAAAAAQAgAAAAIgAAAGRycy9kb3ducmV2LnhtbFBLAQIUABQAAAAIAIdO&#10;4kAHJ2MSXgIAAMAEAAAOAAAAAAAAAAEAIAAAACUBAABkcnMvZTJvRG9jLnhtbFBLBQYAAAAABgAG&#10;AFkBAAD1BQAAAAA=&#10;">
                      <v:fill on="t" focussize="0,0"/>
                      <v:stroke weight="0.5pt" color="#000000" joinstyle="round"/>
                      <v:imagedata o:title=""/>
                      <o:lock v:ext="edit" aspectratio="f"/>
                      <v:textbox>
                        <w:txbxContent>
                          <w:p w14:paraId="076BCEA3">
                            <w:pPr>
                              <w:spacing w:line="240" w:lineRule="auto"/>
                              <w:ind w:firstLine="0" w:firstLineChars="0"/>
                            </w:pPr>
                            <w:r>
                              <w:rPr>
                                <w:rFonts w:hint="eastAsia"/>
                              </w:rPr>
                              <w:t>2025.12</w:t>
                            </w:r>
                          </w:p>
                        </w:txbxContent>
                      </v:textbox>
                    </v:shape>
                  </w:pict>
                </mc:Fallback>
              </mc:AlternateContent>
            </w:r>
            <w:r>
              <w:rPr>
                <w:rFonts w:cs="Times New Roman"/>
                <w:kern w:val="0"/>
                <w:szCs w:val="20"/>
              </w:rPr>
              <mc:AlternateContent>
                <mc:Choice Requires="wps">
                  <w:drawing>
                    <wp:anchor distT="0" distB="0" distL="114300" distR="114300" simplePos="0" relativeHeight="251689984" behindDoc="0" locked="0" layoutInCell="1" allowOverlap="1">
                      <wp:simplePos x="0" y="0"/>
                      <wp:positionH relativeFrom="column">
                        <wp:posOffset>1689735</wp:posOffset>
                      </wp:positionH>
                      <wp:positionV relativeFrom="paragraph">
                        <wp:posOffset>991235</wp:posOffset>
                      </wp:positionV>
                      <wp:extent cx="601345" cy="340360"/>
                      <wp:effectExtent l="0" t="57150" r="0" b="59690"/>
                      <wp:wrapNone/>
                      <wp:docPr id="1915644752" name="椭圆 30"/>
                      <wp:cNvGraphicFramePr/>
                      <a:graphic xmlns:a="http://schemas.openxmlformats.org/drawingml/2006/main">
                        <a:graphicData uri="http://schemas.microsoft.com/office/word/2010/wordprocessingShape">
                          <wps:wsp>
                            <wps:cNvSpPr/>
                            <wps:spPr>
                              <a:xfrm rot="20030317">
                                <a:off x="0" y="0"/>
                                <a:ext cx="601345" cy="34036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30" o:spid="_x0000_s1026" o:spt="3" type="#_x0000_t3" style="position:absolute;left:0pt;margin-left:133.05pt;margin-top:78.05pt;height:26.8pt;width:47.35pt;rotation:-1714512f;z-index:251689984;v-text-anchor:middle;mso-width-relative:page;mso-height-relative:page;" filled="f" stroked="t" coordsize="21600,21600" o:gfxdata="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3Lq6rYAAAACwEAAA8AAAAAAAAAAQAg&#10;AAAAIgAAAGRycy9kb3ducmV2LnhtbFBLAQIUABQAAAAIAIdO4kDaBUefgAIAAOYEAAAOAAAAAAAA&#10;AAEAIAAAACcBAABkcnMvZTJvRG9jLnhtbFBLBQYAAAAABgAGAFkBAAAZBgAAAAA=&#10;">
                      <v:fill on="f" focussize="0,0"/>
                      <v:stroke weight="1pt" color="#EE0000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88960" behindDoc="0" locked="0" layoutInCell="1" allowOverlap="1">
                      <wp:simplePos x="0" y="0"/>
                      <wp:positionH relativeFrom="column">
                        <wp:posOffset>115570</wp:posOffset>
                      </wp:positionH>
                      <wp:positionV relativeFrom="paragraph">
                        <wp:posOffset>1047750</wp:posOffset>
                      </wp:positionV>
                      <wp:extent cx="1126490" cy="257810"/>
                      <wp:effectExtent l="0" t="76200" r="0" b="85725"/>
                      <wp:wrapNone/>
                      <wp:docPr id="1566985048" name="椭圆 29"/>
                      <wp:cNvGraphicFramePr/>
                      <a:graphic xmlns:a="http://schemas.openxmlformats.org/drawingml/2006/main">
                        <a:graphicData uri="http://schemas.microsoft.com/office/word/2010/wordprocessingShape">
                          <wps:wsp>
                            <wps:cNvSpPr/>
                            <wps:spPr>
                              <a:xfrm rot="889672">
                                <a:off x="0" y="0"/>
                                <a:ext cx="1126230" cy="257727"/>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9" o:spid="_x0000_s1026" o:spt="3" type="#_x0000_t3" style="position:absolute;left:0pt;margin-left:9.1pt;margin-top:82.5pt;height:20.3pt;width:88.7pt;rotation:971759f;z-index:251688960;v-text-anchor:middle;mso-width-relative:page;mso-height-relative:page;" filled="f" stroked="t" coordsize="21600,21600" o:gfxdata="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Y6PeHWAAAACgEAAA8AAAAAAAAAAQAgAAAAIgAA&#10;AGRycy9kb3ducmV2LnhtbFBLAQIUABQAAAAIAIdO4kA/2u+2fAIAAOUEAAAOAAAAAAAAAAEAIAAA&#10;ACUBAABkcnMvZTJvRG9jLnhtbFBLBQYAAAAABgAGAFkBAAATBgAAAAA=&#10;">
                      <v:fill on="f" focussize="0,0"/>
                      <v:stroke weight="1pt" color="#EE0000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87936" behindDoc="0" locked="0" layoutInCell="1" allowOverlap="1">
                      <wp:simplePos x="0" y="0"/>
                      <wp:positionH relativeFrom="column">
                        <wp:posOffset>1475740</wp:posOffset>
                      </wp:positionH>
                      <wp:positionV relativeFrom="paragraph">
                        <wp:posOffset>1037590</wp:posOffset>
                      </wp:positionV>
                      <wp:extent cx="909320" cy="262890"/>
                      <wp:effectExtent l="0" t="0" r="0" b="3810"/>
                      <wp:wrapNone/>
                      <wp:docPr id="548402262"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7CACB8E4">
                                  <w:pPr>
                                    <w:ind w:firstLine="480"/>
                                    <w:rPr>
                                      <w:color w:val="FF0000"/>
                                    </w:rPr>
                                  </w:pPr>
                                  <w:r>
                                    <w:rPr>
                                      <w:rFonts w:hint="eastAsia"/>
                                      <w:color w:val="FF0000"/>
                                    </w:rPr>
                                    <w:t>S16</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116.2pt;margin-top:81.7pt;height:20.7pt;width:71.6pt;z-index:251687936;mso-width-relative:page;mso-height-relative:page;" filled="f" stroked="f" coordsize="21600,21600" o:gfxdata="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i5qTNcAAAAL&#10;AQAADwAAAAAAAAABACAAAAAiAAAAZHJzL2Rvd25yZXYueG1sUEsBAhQAFAAAAAgAh07iQKtMk5Qd&#10;AgAAHQQAAA4AAAAAAAAAAQAgAAAAJgEAAGRycy9lMm9Eb2MueG1sUEsFBgAAAAAGAAYAWQEAALUF&#10;AAAAAA==&#10;">
                      <v:fill on="f" focussize="0,0"/>
                      <v:stroke on="f"/>
                      <v:imagedata o:title=""/>
                      <o:lock v:ext="edit" aspectratio="f"/>
                      <v:textbox>
                        <w:txbxContent>
                          <w:p w14:paraId="7CACB8E4">
                            <w:pPr>
                              <w:ind w:firstLine="480"/>
                              <w:rPr>
                                <w:color w:val="FF0000"/>
                              </w:rPr>
                            </w:pPr>
                            <w:r>
                              <w:rPr>
                                <w:rFonts w:hint="eastAsia"/>
                                <w:color w:val="FF0000"/>
                              </w:rPr>
                              <w:t>S16</w:t>
                            </w:r>
                          </w:p>
                        </w:txbxContent>
                      </v:textbox>
                    </v:shape>
                  </w:pict>
                </mc:Fallback>
              </mc:AlternateContent>
            </w:r>
            <w:r>
              <w:rPr>
                <w:rFonts w:cs="Times New Roman"/>
                <w:kern w:val="0"/>
                <w:szCs w:val="20"/>
              </w:rPr>
              <w:drawing>
                <wp:inline distT="0" distB="0" distL="0" distR="0">
                  <wp:extent cx="2519680" cy="1889125"/>
                  <wp:effectExtent l="0" t="0" r="13970" b="15875"/>
                  <wp:docPr id="3243267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26752" name="图片 28"/>
                          <pic:cNvPicPr>
                            <a:picLocks noChangeAspect="1" noChangeArrowheads="1"/>
                          </pic:cNvPicPr>
                        </pic:nvPicPr>
                        <pic:blipFill>
                          <a:blip r:embed="rId32"/>
                          <a:srcRect/>
                          <a:stretch>
                            <a:fillRect/>
                          </a:stretch>
                        </pic:blipFill>
                        <pic:spPr>
                          <a:xfrm>
                            <a:off x="0" y="0"/>
                            <a:ext cx="2519680" cy="1889394"/>
                          </a:xfrm>
                          <a:prstGeom prst="rect">
                            <a:avLst/>
                          </a:prstGeom>
                          <a:noFill/>
                          <a:ln>
                            <a:noFill/>
                          </a:ln>
                        </pic:spPr>
                      </pic:pic>
                    </a:graphicData>
                  </a:graphic>
                </wp:inline>
              </w:drawing>
            </w:r>
          </w:p>
        </w:tc>
      </w:tr>
      <w:tr w14:paraId="01EE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51" w:type="dxa"/>
            <w:vAlign w:val="center"/>
          </w:tcPr>
          <w:p w14:paraId="65D4B7E4">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712512" behindDoc="0" locked="0" layoutInCell="1" allowOverlap="1">
                      <wp:simplePos x="0" y="0"/>
                      <wp:positionH relativeFrom="column">
                        <wp:posOffset>1776095</wp:posOffset>
                      </wp:positionH>
                      <wp:positionV relativeFrom="paragraph">
                        <wp:posOffset>1470660</wp:posOffset>
                      </wp:positionV>
                      <wp:extent cx="706120" cy="249555"/>
                      <wp:effectExtent l="0" t="0" r="17780" b="17145"/>
                      <wp:wrapNone/>
                      <wp:docPr id="2025804744"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25F300D5">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39.85pt;margin-top:115.8pt;height:19.65pt;width:55.6pt;z-index:251712512;mso-width-relative:page;mso-height-relative:page;" fillcolor="#FFFFFF [3201]" filled="t" stroked="t" coordsize="21600,21600" o:gfxdata="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08L2NYAAAALAQAADwAAAAAAAAABACAAAAAiAAAAZHJzL2Rvd25yZXYueG1sUEsBAhQAFAAAAAgA&#10;h07iQC4yOQVgAgAAwAQAAA4AAAAAAAAAAQAgAAAAJQEAAGRycy9lMm9Eb2MueG1sUEsFBgAAAAAG&#10;AAYAWQEAAPcFAAAAAA==&#10;">
                      <v:fill on="t" focussize="0,0"/>
                      <v:stroke weight="0.5pt" color="#000000" joinstyle="round"/>
                      <v:imagedata o:title=""/>
                      <o:lock v:ext="edit" aspectratio="f"/>
                      <v:textbox>
                        <w:txbxContent>
                          <w:p w14:paraId="25F300D5">
                            <w:pPr>
                              <w:spacing w:line="240" w:lineRule="auto"/>
                              <w:ind w:firstLine="0" w:firstLineChars="0"/>
                            </w:pPr>
                            <w:r>
                              <w:rPr>
                                <w:rFonts w:hint="eastAsia"/>
                              </w:rPr>
                              <w:t>2025.12</w:t>
                            </w:r>
                          </w:p>
                        </w:txbxContent>
                      </v:textbox>
                    </v:shape>
                  </w:pict>
                </mc:Fallback>
              </mc:AlternateContent>
            </w:r>
            <w:r>
              <w:rPr>
                <w:rFonts w:cs="Times New Roman"/>
                <w:kern w:val="0"/>
                <w:szCs w:val="20"/>
              </w:rPr>
              <mc:AlternateContent>
                <mc:Choice Requires="wps">
                  <w:drawing>
                    <wp:anchor distT="0" distB="0" distL="114300" distR="114300" simplePos="0" relativeHeight="251695104" behindDoc="0" locked="0" layoutInCell="1" allowOverlap="1">
                      <wp:simplePos x="0" y="0"/>
                      <wp:positionH relativeFrom="column">
                        <wp:posOffset>792480</wp:posOffset>
                      </wp:positionH>
                      <wp:positionV relativeFrom="paragraph">
                        <wp:posOffset>1055370</wp:posOffset>
                      </wp:positionV>
                      <wp:extent cx="909320" cy="262890"/>
                      <wp:effectExtent l="0" t="0" r="0" b="3810"/>
                      <wp:wrapNone/>
                      <wp:docPr id="559515624"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6417EC87">
                                  <w:pPr>
                                    <w:ind w:firstLine="480"/>
                                    <w:rPr>
                                      <w:color w:val="FF0000"/>
                                    </w:rPr>
                                  </w:pPr>
                                  <w:r>
                                    <w:rPr>
                                      <w:rFonts w:hint="eastAsia"/>
                                      <w:color w:val="FF0000"/>
                                    </w:rPr>
                                    <w:t>S17</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62.4pt;margin-top:83.1pt;height:20.7pt;width:71.6pt;z-index:251695104;mso-width-relative:page;mso-height-relative:page;" filled="f" stroked="f" coordsize="21600,21600" o:gfxdata="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NufA/WAAAA&#10;CwEAAA8AAAAAAAAAAQAgAAAAIgAAAGRycy9kb3ducmV2LnhtbFBLAQIUABQAAAAIAIdO4kD2ZyFD&#10;HwIAAB0EAAAOAAAAAAAAAAEAIAAAACUBAABkcnMvZTJvRG9jLnhtbFBLBQYAAAAABgAGAFkBAAC2&#10;BQAAAAA=&#10;">
                      <v:fill on="f" focussize="0,0"/>
                      <v:stroke on="f"/>
                      <v:imagedata o:title=""/>
                      <o:lock v:ext="edit" aspectratio="f"/>
                      <v:textbox>
                        <w:txbxContent>
                          <w:p w14:paraId="6417EC87">
                            <w:pPr>
                              <w:ind w:firstLine="480"/>
                              <w:rPr>
                                <w:color w:val="FF0000"/>
                              </w:rPr>
                            </w:pPr>
                            <w:r>
                              <w:rPr>
                                <w:rFonts w:hint="eastAsia"/>
                                <w:color w:val="FF0000"/>
                              </w:rPr>
                              <w:t>S17</w:t>
                            </w:r>
                          </w:p>
                        </w:txbxContent>
                      </v:textbox>
                    </v:shape>
                  </w:pict>
                </mc:Fallback>
              </mc:AlternateContent>
            </w:r>
            <w:r>
              <w:rPr>
                <w:rFonts w:cs="Times New Roman"/>
                <w:kern w:val="0"/>
                <w:szCs w:val="20"/>
              </w:rPr>
              <mc:AlternateContent>
                <mc:Choice Requires="wps">
                  <w:drawing>
                    <wp:anchor distT="0" distB="0" distL="114300" distR="114300" simplePos="0" relativeHeight="251694080" behindDoc="0" locked="0" layoutInCell="1" allowOverlap="1">
                      <wp:simplePos x="0" y="0"/>
                      <wp:positionH relativeFrom="column">
                        <wp:posOffset>953770</wp:posOffset>
                      </wp:positionH>
                      <wp:positionV relativeFrom="paragraph">
                        <wp:posOffset>944245</wp:posOffset>
                      </wp:positionV>
                      <wp:extent cx="617220" cy="737870"/>
                      <wp:effectExtent l="0" t="0" r="30480" b="24130"/>
                      <wp:wrapNone/>
                      <wp:docPr id="78506973" name="直接连接符 35"/>
                      <wp:cNvGraphicFramePr/>
                      <a:graphic xmlns:a="http://schemas.openxmlformats.org/drawingml/2006/main">
                        <a:graphicData uri="http://schemas.microsoft.com/office/word/2010/wordprocessingShape">
                          <wps:wsp>
                            <wps:cNvCnPr/>
                            <wps:spPr>
                              <a:xfrm>
                                <a:off x="0" y="0"/>
                                <a:ext cx="617220" cy="73787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5" o:spid="_x0000_s1026" o:spt="20" style="position:absolute;left:0pt;margin-left:75.1pt;margin-top:74.35pt;height:58.1pt;width:48.6pt;z-index:251694080;mso-width-relative:page;mso-height-relative:page;" filled="f" stroked="t" coordsize="21600,21600" o:gfxdata="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KF/y2gAAAAsBAAAPAAAAAAAAAAEAIAAAACIAAABkcnMvZG93bnJldi54bWxQSwEC&#10;FAAUAAAACACHTuJAtQBTjPIBAAC9AwAADgAAAAAAAAABACAAAAApAQAAZHJzL2Uyb0RvYy54bWxQ&#10;SwUGAAAAAAYABgBZAQAAjQUAAAAA&#10;">
                      <v:fill on="f" focussize="0,0"/>
                      <v:stroke weight="0.5pt" color="#EE0000 [3204]" miterlimit="8" joinstyle="miter"/>
                      <v:imagedata o:title=""/>
                      <o:lock v:ext="edit" aspectratio="f"/>
                    </v:line>
                  </w:pict>
                </mc:Fallback>
              </mc:AlternateContent>
            </w:r>
            <w:r>
              <w:rPr>
                <w:rFonts w:cs="Times New Roman"/>
                <w:kern w:val="0"/>
                <w:szCs w:val="20"/>
              </w:rPr>
              <mc:AlternateContent>
                <mc:Choice Requires="wps">
                  <w:drawing>
                    <wp:anchor distT="0" distB="0" distL="114300" distR="114300" simplePos="0" relativeHeight="251693056" behindDoc="0" locked="0" layoutInCell="1" allowOverlap="1">
                      <wp:simplePos x="0" y="0"/>
                      <wp:positionH relativeFrom="column">
                        <wp:posOffset>343535</wp:posOffset>
                      </wp:positionH>
                      <wp:positionV relativeFrom="paragraph">
                        <wp:posOffset>949960</wp:posOffset>
                      </wp:positionV>
                      <wp:extent cx="582295" cy="702310"/>
                      <wp:effectExtent l="0" t="0" r="27305" b="21590"/>
                      <wp:wrapNone/>
                      <wp:docPr id="760983345" name="任意多边形: 形状 34"/>
                      <wp:cNvGraphicFramePr/>
                      <a:graphic xmlns:a="http://schemas.openxmlformats.org/drawingml/2006/main">
                        <a:graphicData uri="http://schemas.microsoft.com/office/word/2010/wordprocessingShape">
                          <wps:wsp>
                            <wps:cNvSpPr/>
                            <wps:spPr>
                              <a:xfrm>
                                <a:off x="0" y="0"/>
                                <a:ext cx="582533" cy="702570"/>
                              </a:xfrm>
                              <a:custGeom>
                                <a:avLst/>
                                <a:gdLst>
                                  <a:gd name="csX0" fmla="*/ 582533 w 582533"/>
                                  <a:gd name="csY0" fmla="*/ 0 h 702570"/>
                                  <a:gd name="csX1" fmla="*/ 381295 w 582533"/>
                                  <a:gd name="csY1" fmla="*/ 187117 h 702570"/>
                                  <a:gd name="csX2" fmla="*/ 360112 w 582533"/>
                                  <a:gd name="csY2" fmla="*/ 218891 h 702570"/>
                                  <a:gd name="csX3" fmla="*/ 250666 w 582533"/>
                                  <a:gd name="csY3" fmla="*/ 278910 h 702570"/>
                                  <a:gd name="csX4" fmla="*/ 204769 w 582533"/>
                                  <a:gd name="csY4" fmla="*/ 289501 h 702570"/>
                                  <a:gd name="csX5" fmla="*/ 144751 w 582533"/>
                                  <a:gd name="csY5" fmla="*/ 314215 h 702570"/>
                                  <a:gd name="csX6" fmla="*/ 134159 w 582533"/>
                                  <a:gd name="csY6" fmla="*/ 363642 h 702570"/>
                                  <a:gd name="csX7" fmla="*/ 45897 w 582533"/>
                                  <a:gd name="csY7" fmla="*/ 561350 h 702570"/>
                                  <a:gd name="csX8" fmla="*/ 24714 w 582533"/>
                                  <a:gd name="csY8" fmla="*/ 624899 h 702570"/>
                                  <a:gd name="csX9" fmla="*/ 0 w 582533"/>
                                  <a:gd name="csY9" fmla="*/ 702570 h 70257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582533" h="702570">
                                    <a:moveTo>
                                      <a:pt x="582533" y="0"/>
                                    </a:moveTo>
                                    <a:lnTo>
                                      <a:pt x="381295" y="187117"/>
                                    </a:lnTo>
                                    <a:lnTo>
                                      <a:pt x="360112" y="218891"/>
                                    </a:lnTo>
                                    <a:lnTo>
                                      <a:pt x="250666" y="278910"/>
                                    </a:lnTo>
                                    <a:lnTo>
                                      <a:pt x="204769" y="289501"/>
                                    </a:lnTo>
                                    <a:lnTo>
                                      <a:pt x="144751" y="314215"/>
                                    </a:lnTo>
                                    <a:cubicBezTo>
                                      <a:pt x="137257" y="359177"/>
                                      <a:pt x="144093" y="343776"/>
                                      <a:pt x="134159" y="363642"/>
                                    </a:cubicBezTo>
                                    <a:lnTo>
                                      <a:pt x="45897" y="561350"/>
                                    </a:lnTo>
                                    <a:cubicBezTo>
                                      <a:pt x="29911" y="613303"/>
                                      <a:pt x="37720" y="592384"/>
                                      <a:pt x="24714" y="624899"/>
                                    </a:cubicBezTo>
                                    <a:lnTo>
                                      <a:pt x="0" y="702570"/>
                                    </a:lnTo>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34" o:spid="_x0000_s1026" o:spt="100" style="position:absolute;left:0pt;margin-left:27.05pt;margin-top:74.8pt;height:55.3pt;width:45.85pt;z-index:251693056;v-text-anchor:middle;mso-width-relative:page;mso-height-relative:page;" filled="f" stroked="t" coordsize="582533,702570" o:gfxdata="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" path="m582533,0l381295,187117,360112,218891,250666,278910,204769,289501,144751,314215c137257,359177,144093,343776,134159,363642l45897,561350c29911,613303,37720,592384,24714,624899l0,702570e">
                      <v:path o:connectlocs="582533,0;381295,187117;360112,218891;250666,278910;204769,289501;144751,314215;134159,363642;45897,561350;24714,624899;0,702570" o:connectangles="0,0,0,0,0,0,0,0,0,0"/>
                      <v:fill on="f" focussize="0,0"/>
                      <v:stroke weight="1pt" color="#EE0000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92032" behindDoc="0" locked="0" layoutInCell="1" allowOverlap="1">
                      <wp:simplePos x="0" y="0"/>
                      <wp:positionH relativeFrom="column">
                        <wp:posOffset>982980</wp:posOffset>
                      </wp:positionH>
                      <wp:positionV relativeFrom="paragraph">
                        <wp:posOffset>942975</wp:posOffset>
                      </wp:positionV>
                      <wp:extent cx="0" cy="0"/>
                      <wp:effectExtent l="0" t="0" r="0" b="0"/>
                      <wp:wrapNone/>
                      <wp:docPr id="60158401" name="任意多边形: 形状 33"/>
                      <wp:cNvGraphicFramePr/>
                      <a:graphic xmlns:a="http://schemas.openxmlformats.org/drawingml/2006/main">
                        <a:graphicData uri="http://schemas.microsoft.com/office/word/2010/wordprocessingShape">
                          <wps:wsp>
                            <wps:cNvSpPr/>
                            <wps:spPr>
                              <a:xfrm>
                                <a:off x="0" y="0"/>
                                <a:ext cx="0" cy="0"/>
                              </a:xfrm>
                              <a:custGeom>
                                <a:avLst/>
                                <a:gdLst>
                                  <a:gd name="csX0" fmla="*/ 0 w 0"/>
                                  <a:gd name="csY0" fmla="*/ 0 h 0"/>
                                  <a:gd name="csX1" fmla="*/ 0 w 0"/>
                                  <a:gd name="csY1" fmla="*/ 0 h 0"/>
                                  <a:gd name="csX2" fmla="*/ 0 w 0"/>
                                  <a:gd name="csY2" fmla="*/ 0 h 0"/>
                                </a:gdLst>
                                <a:ahLst/>
                                <a:cxnLst>
                                  <a:cxn ang="0">
                                    <a:pos x="csX0" y="csY0"/>
                                  </a:cxn>
                                  <a:cxn ang="0">
                                    <a:pos x="csX1" y="csY1"/>
                                  </a:cxn>
                                  <a:cxn ang="0">
                                    <a:pos x="csX2" y="csY2"/>
                                  </a:cxn>
                                </a:cxnLst>
                                <a:rect l="l" t="t" r="r" b="b"/>
                                <a:pathLst>
                                  <a:path>
                                    <a:moveTo>
                                      <a:pt x="0" y="0"/>
                                    </a:moveTo>
                                    <a:lnTo>
                                      <a:pt x="0" y="0"/>
                                    </a:lnTo>
                                    <a:lnTo>
                                      <a:pt x="0" y="0"/>
                                    </a:lnTo>
                                    <a:close/>
                                  </a:path>
                                </a:pathLst>
                              </a:cu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33" o:spid="_x0000_s1026" o:spt="100" style="position:absolute;left:0pt;margin-left:77.4pt;margin-top:74.25pt;height:0pt;width:0pt;z-index:251692032;v-text-anchor:middle;mso-width-relative:page;mso-height-relative:page;" fillcolor="#5B9BD5 [3204]" filled="t" stroked="t" coordsize="0,0" o:gfxdata="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EA9OzzYAAAACwEAAA8AAAAAAAAAAQAgAAAAIgAAAGRycy9kb3ducmV2LnhtbFBLAQIUABQAAAAI&#10;AIdO4kAFr0YEQwMAAHEHAAAOAAAAAAAAAAEAIAAAACcBAABkcnMvZTJvRG9jLnhtbFBLBQYAAAAA&#10;BgAGAFkBAADcBgAAAAA=&#10;" path="m0,0l0,0,0,0xe">
                      <v:path o:connectlocs="@0,@0;@0,@0;@0,@0" o:connectangles="0,0,0"/>
                      <v:fill on="t" focussize="0,0"/>
                      <v:stroke weight="1pt" color="#223F59 [3204]" miterlimit="8" joinstyle="miter"/>
                      <v:imagedata o:title=""/>
                      <o:lock v:ext="edit" aspectratio="f"/>
                    </v:shape>
                  </w:pict>
                </mc:Fallback>
              </mc:AlternateContent>
            </w:r>
            <w:r>
              <w:rPr>
                <w:rFonts w:cs="Times New Roman"/>
                <w:kern w:val="0"/>
                <w:szCs w:val="20"/>
              </w:rPr>
              <mc:AlternateContent>
                <mc:Choice Requires="wps">
                  <w:drawing>
                    <wp:anchor distT="0" distB="0" distL="114300" distR="114300" simplePos="0" relativeHeight="251691008" behindDoc="0" locked="0" layoutInCell="1" allowOverlap="1">
                      <wp:simplePos x="0" y="0"/>
                      <wp:positionH relativeFrom="column">
                        <wp:posOffset>520065</wp:posOffset>
                      </wp:positionH>
                      <wp:positionV relativeFrom="paragraph">
                        <wp:posOffset>17780</wp:posOffset>
                      </wp:positionV>
                      <wp:extent cx="1207135" cy="1168400"/>
                      <wp:effectExtent l="19050" t="0" r="12065" b="31750"/>
                      <wp:wrapNone/>
                      <wp:docPr id="18704509" name="任意多边形: 形状 32"/>
                      <wp:cNvGraphicFramePr/>
                      <a:graphic xmlns:a="http://schemas.openxmlformats.org/drawingml/2006/main">
                        <a:graphicData uri="http://schemas.microsoft.com/office/word/2010/wordprocessingShape">
                          <wps:wsp>
                            <wps:cNvSpPr/>
                            <wps:spPr>
                              <a:xfrm>
                                <a:off x="0" y="0"/>
                                <a:ext cx="1207432" cy="1168596"/>
                              </a:xfrm>
                              <a:custGeom>
                                <a:avLst/>
                                <a:gdLst>
                                  <a:gd name="csX0" fmla="*/ 547228 w 1207432"/>
                                  <a:gd name="csY0" fmla="*/ 282440 h 1168596"/>
                                  <a:gd name="csX1" fmla="*/ 727284 w 1207432"/>
                                  <a:gd name="csY1" fmla="*/ 427190 h 1168596"/>
                                  <a:gd name="csX2" fmla="*/ 737875 w 1207432"/>
                                  <a:gd name="csY2" fmla="*/ 455434 h 1168596"/>
                                  <a:gd name="csX3" fmla="*/ 932053 w 1207432"/>
                                  <a:gd name="csY3" fmla="*/ 730813 h 1168596"/>
                                  <a:gd name="csX4" fmla="*/ 953236 w 1207432"/>
                                  <a:gd name="csY4" fmla="*/ 759057 h 1168596"/>
                                  <a:gd name="csX5" fmla="*/ 1207432 w 1207432"/>
                                  <a:gd name="csY5" fmla="*/ 1030906 h 1168596"/>
                                  <a:gd name="csX6" fmla="*/ 1020316 w 1207432"/>
                                  <a:gd name="csY6" fmla="*/ 1168596 h 1168596"/>
                                  <a:gd name="csX7" fmla="*/ 988541 w 1207432"/>
                                  <a:gd name="csY7" fmla="*/ 1165065 h 1168596"/>
                                  <a:gd name="csX8" fmla="*/ 773180 w 1207432"/>
                                  <a:gd name="csY8" fmla="*/ 1013254 h 1168596"/>
                                  <a:gd name="csX9" fmla="*/ 706101 w 1207432"/>
                                  <a:gd name="csY9" fmla="*/ 942644 h 1168596"/>
                                  <a:gd name="csX10" fmla="*/ 473088 w 1207432"/>
                                  <a:gd name="csY10" fmla="*/ 660203 h 1168596"/>
                                  <a:gd name="csX11" fmla="*/ 554289 w 1207432"/>
                                  <a:gd name="csY11" fmla="*/ 448373 h 1168596"/>
                                  <a:gd name="csX12" fmla="*/ 349520 w 1207432"/>
                                  <a:gd name="csY12" fmla="*/ 370702 h 1168596"/>
                                  <a:gd name="csX13" fmla="*/ 268319 w 1207432"/>
                                  <a:gd name="csY13" fmla="*/ 377763 h 1168596"/>
                                  <a:gd name="csX14" fmla="*/ 116507 w 1207432"/>
                                  <a:gd name="csY14" fmla="*/ 367172 h 1168596"/>
                                  <a:gd name="csX15" fmla="*/ 81202 w 1207432"/>
                                  <a:gd name="csY15" fmla="*/ 356580 h 1168596"/>
                                  <a:gd name="csX16" fmla="*/ 74141 w 1207432"/>
                                  <a:gd name="csY16" fmla="*/ 345989 h 1168596"/>
                                  <a:gd name="csX17" fmla="*/ 52958 w 1207432"/>
                                  <a:gd name="csY17" fmla="*/ 303623 h 1168596"/>
                                  <a:gd name="csX18" fmla="*/ 0 w 1207432"/>
                                  <a:gd name="csY18" fmla="*/ 112976 h 1168596"/>
                                  <a:gd name="csX19" fmla="*/ 45897 w 1207432"/>
                                  <a:gd name="csY19" fmla="*/ 0 h 1168596"/>
                                  <a:gd name="csX20" fmla="*/ 88263 w 1207432"/>
                                  <a:gd name="csY20" fmla="*/ 0 h 1168596"/>
                                  <a:gd name="csX21" fmla="*/ 275380 w 1207432"/>
                                  <a:gd name="csY21" fmla="*/ 14122 h 1168596"/>
                                  <a:gd name="csX22" fmla="*/ 296563 w 1207432"/>
                                  <a:gd name="csY22" fmla="*/ 60018 h 1168596"/>
                                  <a:gd name="csX23" fmla="*/ 395417 w 1207432"/>
                                  <a:gd name="csY23" fmla="*/ 141220 h 1168596"/>
                                  <a:gd name="csX24" fmla="*/ 434252 w 1207432"/>
                                  <a:gd name="csY24" fmla="*/ 187116 h 1168596"/>
                                  <a:gd name="csX25" fmla="*/ 547228 w 1207432"/>
                                  <a:gd name="csY25" fmla="*/ 282440 h 116859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1207432" h="1168596">
                                    <a:moveTo>
                                      <a:pt x="547228" y="282440"/>
                                    </a:moveTo>
                                    <a:lnTo>
                                      <a:pt x="727284" y="427190"/>
                                    </a:lnTo>
                                    <a:lnTo>
                                      <a:pt x="737875" y="455434"/>
                                    </a:lnTo>
                                    <a:lnTo>
                                      <a:pt x="932053" y="730813"/>
                                    </a:lnTo>
                                    <a:lnTo>
                                      <a:pt x="953236" y="759057"/>
                                    </a:lnTo>
                                    <a:lnTo>
                                      <a:pt x="1207432" y="1030906"/>
                                    </a:lnTo>
                                    <a:lnTo>
                                      <a:pt x="1020316" y="1168596"/>
                                    </a:lnTo>
                                    <a:lnTo>
                                      <a:pt x="988541" y="1165065"/>
                                    </a:lnTo>
                                    <a:lnTo>
                                      <a:pt x="773180" y="1013254"/>
                                    </a:lnTo>
                                    <a:lnTo>
                                      <a:pt x="706101" y="942644"/>
                                    </a:lnTo>
                                    <a:lnTo>
                                      <a:pt x="473088" y="660203"/>
                                    </a:lnTo>
                                    <a:lnTo>
                                      <a:pt x="554289" y="448373"/>
                                    </a:lnTo>
                                    <a:lnTo>
                                      <a:pt x="349520" y="370702"/>
                                    </a:lnTo>
                                    <a:cubicBezTo>
                                      <a:pt x="299213" y="380763"/>
                                      <a:pt x="326216" y="377763"/>
                                      <a:pt x="268319" y="377763"/>
                                    </a:cubicBezTo>
                                    <a:lnTo>
                                      <a:pt x="116507" y="367172"/>
                                    </a:lnTo>
                                    <a:cubicBezTo>
                                      <a:pt x="104739" y="363641"/>
                                      <a:pt x="92191" y="362075"/>
                                      <a:pt x="81202" y="356580"/>
                                    </a:cubicBezTo>
                                    <a:cubicBezTo>
                                      <a:pt x="77407" y="354682"/>
                                      <a:pt x="76138" y="349733"/>
                                      <a:pt x="74141" y="345989"/>
                                    </a:cubicBezTo>
                                    <a:cubicBezTo>
                                      <a:pt x="66711" y="332058"/>
                                      <a:pt x="60019" y="317745"/>
                                      <a:pt x="52958" y="303623"/>
                                    </a:cubicBezTo>
                                    <a:lnTo>
                                      <a:pt x="0" y="112976"/>
                                    </a:lnTo>
                                    <a:lnTo>
                                      <a:pt x="45897" y="0"/>
                                    </a:lnTo>
                                    <a:lnTo>
                                      <a:pt x="88263" y="0"/>
                                    </a:lnTo>
                                    <a:lnTo>
                                      <a:pt x="275380" y="14122"/>
                                    </a:lnTo>
                                    <a:lnTo>
                                      <a:pt x="296563" y="60018"/>
                                    </a:lnTo>
                                    <a:lnTo>
                                      <a:pt x="395417" y="141220"/>
                                    </a:lnTo>
                                    <a:cubicBezTo>
                                      <a:pt x="424217" y="178249"/>
                                      <a:pt x="410642" y="163506"/>
                                      <a:pt x="434252" y="187116"/>
                                    </a:cubicBezTo>
                                    <a:lnTo>
                                      <a:pt x="547228" y="282440"/>
                                    </a:ln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32" o:spid="_x0000_s1026" o:spt="100" style="position:absolute;left:0pt;margin-left:40.95pt;margin-top:1.4pt;height:92pt;width:95.05pt;z-index:251691008;v-text-anchor:middle;mso-width-relative:page;mso-height-relative:page;" filled="f" stroked="t" coordsize="1207432,1168596" o:gfxdata="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NPhiVNYAAAAIAQAADwAAAAAAAAABACAA&#10;AAAiAAAAZHJzL2Rvd25yZXYueG1sUEsBAhQAFAAAAAgAh07iQHVGkNj1BgAA8RkAAA4AAAAAAAAA&#10;AQAgAAAAJQEAAGRycy9lMm9Eb2MueG1sUEsFBgAAAAAGAAYAWQEAAIwKAAAAAA==&#10;" path="m547228,282440l727284,427190,737875,455434,932053,730813,953236,759057,1207432,1030906,1020316,1168596,988541,1165065,773180,1013254,706101,942644,473088,660203,554289,448373,349520,370702c299213,380763,326216,377763,268319,377763l116507,367172c104739,363641,92191,362075,81202,356580c77407,354682,76138,349733,74141,345989c66711,332058,60019,317745,52958,303623l0,112976,45897,0,88263,0,275380,14122,296563,60018,395417,141220c424217,178249,410642,163506,434252,187116l547228,282440xe">
                      <v:path o:connectlocs="547228,282440;727284,427190;737875,455434;932053,730813;953236,759057;1207432,1030906;1020316,1168596;988541,1165065;773180,1013254;706101,942644;473088,660203;554289,448373;349520,370702;268319,377763;116507,367172;81202,356580;74141,345989;52958,303623;0,112976;45897,0;88263,0;275380,14122;296563,60018;395417,141220;434252,187116;547228,282440" o:connectangles="0,0,0,0,0,0,0,0,0,0,0,0,0,0,0,0,0,0,0,0,0,0,0,0,0,0"/>
                      <v:fill on="f" focussize="0,0"/>
                      <v:stroke weight="1pt" color="#EE0000 [3204]" miterlimit="8" joinstyle="miter"/>
                      <v:imagedata o:title=""/>
                      <o:lock v:ext="edit" aspectratio="f"/>
                    </v:shape>
                  </w:pict>
                </mc:Fallback>
              </mc:AlternateContent>
            </w:r>
            <w:r>
              <w:rPr>
                <w:rFonts w:cs="Times New Roman"/>
                <w:kern w:val="0"/>
                <w:szCs w:val="20"/>
              </w:rPr>
              <w:drawing>
                <wp:inline distT="0" distB="0" distL="0" distR="0">
                  <wp:extent cx="2519680" cy="1679575"/>
                  <wp:effectExtent l="0" t="0" r="13970" b="15875"/>
                  <wp:docPr id="18596148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14883" name="图片 31"/>
                          <pic:cNvPicPr>
                            <a:picLocks noChangeAspect="1" noChangeArrowheads="1"/>
                          </pic:cNvPicPr>
                        </pic:nvPicPr>
                        <pic:blipFill>
                          <a:blip r:embed="rId33"/>
                          <a:srcRect/>
                          <a:stretch>
                            <a:fillRect/>
                          </a:stretch>
                        </pic:blipFill>
                        <pic:spPr>
                          <a:xfrm>
                            <a:off x="0" y="0"/>
                            <a:ext cx="2519680" cy="1680202"/>
                          </a:xfrm>
                          <a:prstGeom prst="rect">
                            <a:avLst/>
                          </a:prstGeom>
                          <a:noFill/>
                          <a:ln>
                            <a:noFill/>
                          </a:ln>
                        </pic:spPr>
                      </pic:pic>
                    </a:graphicData>
                  </a:graphic>
                </wp:inline>
              </w:drawing>
            </w:r>
          </w:p>
        </w:tc>
        <w:tc>
          <w:tcPr>
            <w:tcW w:w="4151" w:type="dxa"/>
            <w:vAlign w:val="center"/>
          </w:tcPr>
          <w:p w14:paraId="2C9F9A45">
            <w:pPr>
              <w:ind w:firstLine="0" w:firstLineChars="0"/>
              <w:jc w:val="center"/>
              <w:rPr>
                <w:rFonts w:cs="Times New Roman"/>
                <w:kern w:val="0"/>
                <w:szCs w:val="20"/>
              </w:rPr>
            </w:pPr>
            <w:r>
              <w:rPr>
                <w:rFonts w:cs="Times New Roman"/>
                <w:kern w:val="0"/>
                <w:szCs w:val="20"/>
              </w:rPr>
              <mc:AlternateContent>
                <mc:Choice Requires="wps">
                  <w:drawing>
                    <wp:anchor distT="0" distB="0" distL="114300" distR="114300" simplePos="0" relativeHeight="251697152" behindDoc="0" locked="0" layoutInCell="1" allowOverlap="1">
                      <wp:simplePos x="0" y="0"/>
                      <wp:positionH relativeFrom="column">
                        <wp:posOffset>1590040</wp:posOffset>
                      </wp:positionH>
                      <wp:positionV relativeFrom="paragraph">
                        <wp:posOffset>393700</wp:posOffset>
                      </wp:positionV>
                      <wp:extent cx="909320" cy="262890"/>
                      <wp:effectExtent l="0" t="0" r="0" b="3810"/>
                      <wp:wrapNone/>
                      <wp:docPr id="1947476652"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909320" cy="262890"/>
                              </a:xfrm>
                              <a:prstGeom prst="rect">
                                <a:avLst/>
                              </a:prstGeom>
                              <a:noFill/>
                              <a:ln>
                                <a:noFill/>
                              </a:ln>
                            </wps:spPr>
                            <wps:txbx>
                              <w:txbxContent>
                                <w:p w14:paraId="58A60325">
                                  <w:pPr>
                                    <w:ind w:firstLine="480"/>
                                    <w:rPr>
                                      <w:color w:val="FF0000"/>
                                    </w:rPr>
                                  </w:pPr>
                                  <w:r>
                                    <w:rPr>
                                      <w:rFonts w:hint="eastAsia"/>
                                      <w:color w:val="FF0000"/>
                                    </w:rPr>
                                    <w:t>S18</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125.2pt;margin-top:31pt;height:20.7pt;width:71.6pt;z-index:251697152;mso-width-relative:page;mso-height-relative:page;" filled="f" stroked="f" coordsize="21600,21600" o:gfxdata="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ASGT1wAA&#10;AAoBAAAPAAAAAAAAAAEAIAAAACIAAABkcnMvZG93bnJldi54bWxQSwECFAAUAAAACACHTuJAsEiR&#10;6h8CAAAeBAAADgAAAAAAAAABACAAAAAmAQAAZHJzL2Uyb0RvYy54bWxQSwUGAAAAAAYABgBZAQAA&#10;twUAAAAA&#10;">
                      <v:fill on="f" focussize="0,0"/>
                      <v:stroke on="f"/>
                      <v:imagedata o:title=""/>
                      <o:lock v:ext="edit" aspectratio="f"/>
                      <v:textbox>
                        <w:txbxContent>
                          <w:p w14:paraId="58A60325">
                            <w:pPr>
                              <w:ind w:firstLine="480"/>
                              <w:rPr>
                                <w:color w:val="FF0000"/>
                              </w:rPr>
                            </w:pPr>
                            <w:r>
                              <w:rPr>
                                <w:rFonts w:hint="eastAsia"/>
                                <w:color w:val="FF0000"/>
                              </w:rPr>
                              <w:t>S18</w:t>
                            </w:r>
                          </w:p>
                        </w:txbxContent>
                      </v:textbox>
                    </v:shape>
                  </w:pict>
                </mc:Fallback>
              </mc:AlternateContent>
            </w:r>
            <w:r>
              <w:rPr>
                <w:rFonts w:cs="Times New Roman"/>
                <w:kern w:val="0"/>
                <w:szCs w:val="20"/>
              </w:rPr>
              <mc:AlternateContent>
                <mc:Choice Requires="wps">
                  <w:drawing>
                    <wp:anchor distT="0" distB="0" distL="114300" distR="114300" simplePos="0" relativeHeight="251713536" behindDoc="0" locked="0" layoutInCell="1" allowOverlap="1">
                      <wp:simplePos x="0" y="0"/>
                      <wp:positionH relativeFrom="column">
                        <wp:posOffset>1760220</wp:posOffset>
                      </wp:positionH>
                      <wp:positionV relativeFrom="paragraph">
                        <wp:posOffset>1475105</wp:posOffset>
                      </wp:positionV>
                      <wp:extent cx="706120" cy="249555"/>
                      <wp:effectExtent l="0" t="0" r="17780" b="17145"/>
                      <wp:wrapNone/>
                      <wp:docPr id="943063788" name="文本框 37"/>
                      <wp:cNvGraphicFramePr/>
                      <a:graphic xmlns:a="http://schemas.openxmlformats.org/drawingml/2006/main">
                        <a:graphicData uri="http://schemas.microsoft.com/office/word/2010/wordprocessingShape">
                          <wps:wsp>
                            <wps:cNvSpPr txBox="1"/>
                            <wps:spPr>
                              <a:xfrm>
                                <a:off x="0" y="0"/>
                                <a:ext cx="706120" cy="249555"/>
                              </a:xfrm>
                              <a:prstGeom prst="rect">
                                <a:avLst/>
                              </a:prstGeom>
                              <a:solidFill>
                                <a:schemeClr val="lt1"/>
                              </a:solidFill>
                              <a:ln w="6350">
                                <a:solidFill>
                                  <a:prstClr val="black"/>
                                </a:solidFill>
                              </a:ln>
                            </wps:spPr>
                            <wps:txbx>
                              <w:txbxContent>
                                <w:p w14:paraId="7270584F">
                                  <w:pPr>
                                    <w:spacing w:line="240" w:lineRule="auto"/>
                                    <w:ind w:firstLine="0" w:firstLineChars="0"/>
                                  </w:pPr>
                                  <w:r>
                                    <w:rPr>
                                      <w:rFonts w:hint="eastAsia"/>
                                    </w:rPr>
                                    <w:t>2025.12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26" o:spt="202" type="#_x0000_t202" style="position:absolute;left:0pt;margin-left:138.6pt;margin-top:116.15pt;height:19.65pt;width:55.6pt;z-index:251713536;mso-width-relative:page;mso-height-relative:page;" fillcolor="#FFFFFF [3201]" filled="t" stroked="t" coordsize="21600,21600" o:gfxdata="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T9&#10;Gs/WAAAACwEAAA8AAAAAAAAAAQAgAAAAIgAAAGRycy9kb3ducmV2LnhtbFBLAQIUABQAAAAIAIdO&#10;4kAReVtAXgIAAL8EAAAOAAAAAAAAAAEAIAAAACUBAABkcnMvZTJvRG9jLnhtbFBLBQYAAAAABgAG&#10;AFkBAAD1BQAAAAA=&#10;">
                      <v:fill on="t" focussize="0,0"/>
                      <v:stroke weight="0.5pt" color="#000000" joinstyle="round"/>
                      <v:imagedata o:title=""/>
                      <o:lock v:ext="edit" aspectratio="f"/>
                      <v:textbox>
                        <w:txbxContent>
                          <w:p w14:paraId="7270584F">
                            <w:pPr>
                              <w:spacing w:line="240" w:lineRule="auto"/>
                              <w:ind w:firstLine="0" w:firstLineChars="0"/>
                            </w:pPr>
                            <w:r>
                              <w:rPr>
                                <w:rFonts w:hint="eastAsia"/>
                              </w:rPr>
                              <w:t>2025.12</w:t>
                            </w:r>
                          </w:p>
                        </w:txbxContent>
                      </v:textbox>
                    </v:shape>
                  </w:pict>
                </mc:Fallback>
              </mc:AlternateContent>
            </w:r>
            <w:r>
              <w:rPr>
                <w:rFonts w:cs="Times New Roman"/>
                <w:kern w:val="0"/>
                <w:szCs w:val="20"/>
              </w:rPr>
              <mc:AlternateContent>
                <mc:Choice Requires="wps">
                  <w:drawing>
                    <wp:anchor distT="0" distB="0" distL="114300" distR="114300" simplePos="0" relativeHeight="251696128" behindDoc="0" locked="0" layoutInCell="1" allowOverlap="1">
                      <wp:simplePos x="0" y="0"/>
                      <wp:positionH relativeFrom="column">
                        <wp:posOffset>1710055</wp:posOffset>
                      </wp:positionH>
                      <wp:positionV relativeFrom="paragraph">
                        <wp:posOffset>242570</wp:posOffset>
                      </wp:positionV>
                      <wp:extent cx="676275" cy="562610"/>
                      <wp:effectExtent l="0" t="0" r="10160" b="27940"/>
                      <wp:wrapNone/>
                      <wp:docPr id="344389333" name="任意多边形: 形状 38"/>
                      <wp:cNvGraphicFramePr/>
                      <a:graphic xmlns:a="http://schemas.openxmlformats.org/drawingml/2006/main">
                        <a:graphicData uri="http://schemas.microsoft.com/office/word/2010/wordprocessingShape">
                          <wps:wsp>
                            <wps:cNvSpPr/>
                            <wps:spPr>
                              <a:xfrm>
                                <a:off x="0" y="0"/>
                                <a:ext cx="676037" cy="562861"/>
                              </a:xfrm>
                              <a:custGeom>
                                <a:avLst/>
                                <a:gdLst>
                                  <a:gd name="csX0" fmla="*/ 8710 w 676037"/>
                                  <a:gd name="csY0" fmla="*/ 304775 h 562861"/>
                                  <a:gd name="csX1" fmla="*/ 213479 w 676037"/>
                                  <a:gd name="csY1" fmla="*/ 470708 h 562861"/>
                                  <a:gd name="csX2" fmla="*/ 379412 w 676037"/>
                                  <a:gd name="csY2" fmla="*/ 562501 h 562861"/>
                                  <a:gd name="csX3" fmla="*/ 474736 w 676037"/>
                                  <a:gd name="csY3" fmla="*/ 438934 h 562861"/>
                                  <a:gd name="csX4" fmla="*/ 559468 w 676037"/>
                                  <a:gd name="csY4" fmla="*/ 453056 h 562861"/>
                                  <a:gd name="csX5" fmla="*/ 623017 w 676037"/>
                                  <a:gd name="csY5" fmla="*/ 463647 h 562861"/>
                                  <a:gd name="csX6" fmla="*/ 675974 w 676037"/>
                                  <a:gd name="csY6" fmla="*/ 354202 h 562861"/>
                                  <a:gd name="csX7" fmla="*/ 612425 w 676037"/>
                                  <a:gd name="csY7" fmla="*/ 181207 h 562861"/>
                                  <a:gd name="csX8" fmla="*/ 513571 w 676037"/>
                                  <a:gd name="csY8" fmla="*/ 50579 h 562861"/>
                                  <a:gd name="csX9" fmla="*/ 351168 w 676037"/>
                                  <a:gd name="csY9" fmla="*/ 1152 h 562861"/>
                                  <a:gd name="csX10" fmla="*/ 280558 w 676037"/>
                                  <a:gd name="csY10" fmla="*/ 92945 h 562861"/>
                                  <a:gd name="csX11" fmla="*/ 213479 w 676037"/>
                                  <a:gd name="csY11" fmla="*/ 177677 h 562861"/>
                                  <a:gd name="csX12" fmla="*/ 104033 w 676037"/>
                                  <a:gd name="csY12" fmla="*/ 202390 h 562861"/>
                                  <a:gd name="csX13" fmla="*/ 40484 w 676037"/>
                                  <a:gd name="csY13" fmla="*/ 244756 h 562861"/>
                                  <a:gd name="csX14" fmla="*/ 8710 w 676037"/>
                                  <a:gd name="csY14" fmla="*/ 304775 h 56286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676037" h="562861">
                                    <a:moveTo>
                                      <a:pt x="8710" y="304775"/>
                                    </a:moveTo>
                                    <a:cubicBezTo>
                                      <a:pt x="37543" y="342434"/>
                                      <a:pt x="151695" y="427754"/>
                                      <a:pt x="213479" y="470708"/>
                                    </a:cubicBezTo>
                                    <a:cubicBezTo>
                                      <a:pt x="275263" y="513662"/>
                                      <a:pt x="335869" y="567797"/>
                                      <a:pt x="379412" y="562501"/>
                                    </a:cubicBezTo>
                                    <a:cubicBezTo>
                                      <a:pt x="422955" y="557205"/>
                                      <a:pt x="444727" y="457175"/>
                                      <a:pt x="474736" y="438934"/>
                                    </a:cubicBezTo>
                                    <a:cubicBezTo>
                                      <a:pt x="504745" y="420693"/>
                                      <a:pt x="559468" y="453056"/>
                                      <a:pt x="559468" y="453056"/>
                                    </a:cubicBezTo>
                                    <a:cubicBezTo>
                                      <a:pt x="584181" y="457175"/>
                                      <a:pt x="603599" y="480123"/>
                                      <a:pt x="623017" y="463647"/>
                                    </a:cubicBezTo>
                                    <a:cubicBezTo>
                                      <a:pt x="642435" y="447171"/>
                                      <a:pt x="677739" y="401275"/>
                                      <a:pt x="675974" y="354202"/>
                                    </a:cubicBezTo>
                                    <a:cubicBezTo>
                                      <a:pt x="674209" y="307129"/>
                                      <a:pt x="639492" y="231811"/>
                                      <a:pt x="612425" y="181207"/>
                                    </a:cubicBezTo>
                                    <a:cubicBezTo>
                                      <a:pt x="585358" y="130603"/>
                                      <a:pt x="557114" y="80588"/>
                                      <a:pt x="513571" y="50579"/>
                                    </a:cubicBezTo>
                                    <a:cubicBezTo>
                                      <a:pt x="470028" y="20570"/>
                                      <a:pt x="390004" y="-5909"/>
                                      <a:pt x="351168" y="1152"/>
                                    </a:cubicBezTo>
                                    <a:cubicBezTo>
                                      <a:pt x="312332" y="8213"/>
                                      <a:pt x="303506" y="63524"/>
                                      <a:pt x="280558" y="92945"/>
                                    </a:cubicBezTo>
                                    <a:cubicBezTo>
                                      <a:pt x="257610" y="122366"/>
                                      <a:pt x="242900" y="159436"/>
                                      <a:pt x="213479" y="177677"/>
                                    </a:cubicBezTo>
                                    <a:cubicBezTo>
                                      <a:pt x="184058" y="195918"/>
                                      <a:pt x="132865" y="191210"/>
                                      <a:pt x="104033" y="202390"/>
                                    </a:cubicBezTo>
                                    <a:cubicBezTo>
                                      <a:pt x="75201" y="213570"/>
                                      <a:pt x="49899" y="225927"/>
                                      <a:pt x="40484" y="244756"/>
                                    </a:cubicBezTo>
                                    <a:cubicBezTo>
                                      <a:pt x="31069" y="263585"/>
                                      <a:pt x="-20123" y="267116"/>
                                      <a:pt x="8710" y="304775"/>
                                    </a:cubicBez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38" o:spid="_x0000_s1026" o:spt="100" style="position:absolute;left:0pt;margin-left:134.65pt;margin-top:19.1pt;height:44.3pt;width:53.25pt;z-index:251696128;v-text-anchor:middle;mso-width-relative:page;mso-height-relative:page;" filled="f" stroked="t" coordsize="676037,562861" o:gfxdata="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ArOPg92AAAAAoBAAAPAAAAAAAAAAEAIAAA&#10;ACIAAABkcnMvZG93bnJldi54bWxQSwECFAAUAAAACACHTuJA9xqhSkcGAAAaFAAADgAAAAAAAAAB&#10;ACAAAAAnAQAAZHJzL2Uyb0RvYy54bWxQSwUGAAAAAAYABgBZAQAA4AkAAAAA&#10;" path="m8710,304775c37543,342434,151695,427754,213479,470708c275263,513662,335869,567797,379412,562501c422955,557205,444727,457175,474736,438934c504745,420693,559468,453056,559468,453056c584181,457175,603599,480123,623017,463647c642435,447171,677739,401275,675974,354202c674209,307129,639492,231811,612425,181207c585358,130603,557114,80588,513571,50579c470028,20570,390004,-5909,351168,1152c312332,8213,303506,63524,280558,92945c257610,122366,242900,159436,213479,177677c184058,195918,132865,191210,104033,202390c75201,213570,49899,225927,40484,244756c31069,263585,-20123,267116,8710,304775xe">
                      <v:path o:connectlocs="8710,304775;213479,470708;379412,562501;474736,438934;559468,453056;623017,463647;675974,354202;612425,181207;513571,50579;351168,1152;280558,92945;213479,177677;104033,202390;40484,244756;8710,304775" o:connectangles="0,0,0,0,0,0,0,0,0,0,0,0,0,0,0"/>
                      <v:fill on="f" focussize="0,0"/>
                      <v:stroke weight="1pt" color="#EE0000 [3204]" miterlimit="8" joinstyle="miter"/>
                      <v:imagedata o:title=""/>
                      <o:lock v:ext="edit" aspectratio="f"/>
                    </v:shape>
                  </w:pict>
                </mc:Fallback>
              </mc:AlternateContent>
            </w:r>
            <w:r>
              <w:rPr>
                <w:rFonts w:cs="Times New Roman"/>
                <w:kern w:val="0"/>
                <w:szCs w:val="20"/>
              </w:rPr>
              <w:drawing>
                <wp:inline distT="0" distB="0" distL="0" distR="0">
                  <wp:extent cx="2519680" cy="1679575"/>
                  <wp:effectExtent l="0" t="0" r="13970" b="15875"/>
                  <wp:docPr id="20753434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43410" name="图片 37"/>
                          <pic:cNvPicPr>
                            <a:picLocks noChangeAspect="1" noChangeArrowheads="1"/>
                          </pic:cNvPicPr>
                        </pic:nvPicPr>
                        <pic:blipFill>
                          <a:blip r:embed="rId34"/>
                          <a:srcRect/>
                          <a:stretch>
                            <a:fillRect/>
                          </a:stretch>
                        </pic:blipFill>
                        <pic:spPr>
                          <a:xfrm>
                            <a:off x="0" y="0"/>
                            <a:ext cx="2519680" cy="1680202"/>
                          </a:xfrm>
                          <a:prstGeom prst="rect">
                            <a:avLst/>
                          </a:prstGeom>
                          <a:noFill/>
                          <a:ln>
                            <a:noFill/>
                          </a:ln>
                        </pic:spPr>
                      </pic:pic>
                    </a:graphicData>
                  </a:graphic>
                </wp:inline>
              </w:drawing>
            </w:r>
          </w:p>
        </w:tc>
      </w:tr>
      <w:tr w14:paraId="58C9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302" w:type="dxa"/>
            <w:gridSpan w:val="2"/>
            <w:vAlign w:val="center"/>
          </w:tcPr>
          <w:p w14:paraId="04054232">
            <w:pPr>
              <w:ind w:firstLine="0" w:firstLineChars="0"/>
              <w:jc w:val="center"/>
              <w:rPr>
                <w:rFonts w:cs="Times New Roman"/>
                <w:kern w:val="0"/>
                <w:szCs w:val="20"/>
              </w:rPr>
            </w:pPr>
            <w:r>
              <w:rPr>
                <w:rFonts w:hint="eastAsia" w:cs="Times New Roman"/>
                <w:kern w:val="0"/>
                <w:szCs w:val="20"/>
              </w:rPr>
              <w:t>板区范围</w:t>
            </w:r>
          </w:p>
        </w:tc>
      </w:tr>
    </w:tbl>
    <w:p w14:paraId="7AA62C45">
      <w:pPr>
        <w:ind w:firstLine="0" w:firstLineChars="0"/>
      </w:pPr>
    </w:p>
    <w:p w14:paraId="5BCF2AF9">
      <w:pPr>
        <w:pStyle w:val="2"/>
        <w:numPr>
          <w:ilvl w:val="0"/>
          <w:numId w:val="0"/>
        </w:numPr>
        <w:spacing w:before="120" w:after="120"/>
        <w:rPr>
          <w:color w:val="auto"/>
        </w:rPr>
      </w:pPr>
      <w:bookmarkStart w:id="39" w:name="_Toc218698784"/>
      <w:bookmarkStart w:id="40" w:name="_Toc156137804"/>
      <w:bookmarkStart w:id="41" w:name="_Toc218597747"/>
      <w:bookmarkStart w:id="42" w:name="_Toc158491229"/>
      <w:bookmarkStart w:id="43" w:name="_Toc156144118"/>
      <w:bookmarkStart w:id="44" w:name="_Toc177488186"/>
      <w:bookmarkStart w:id="45" w:name="_Toc160730846"/>
      <w:bookmarkStart w:id="46" w:name="_Toc161415524"/>
      <w:bookmarkStart w:id="47" w:name="_Toc181293508"/>
      <w:bookmarkStart w:id="48" w:name="_Toc159348997"/>
      <w:bookmarkStart w:id="49" w:name="_Toc177072374"/>
      <w:bookmarkStart w:id="50" w:name="_Toc177482874"/>
      <w:bookmarkStart w:id="51" w:name="_Toc160473770"/>
      <w:bookmarkStart w:id="52" w:name="_Toc181738193"/>
      <w:bookmarkStart w:id="53" w:name="_Toc177072802"/>
      <w:bookmarkStart w:id="54" w:name="_Toc181732786"/>
      <w:bookmarkStart w:id="55" w:name="_Toc156144116"/>
      <w:bookmarkStart w:id="56" w:name="_Toc177072800"/>
      <w:bookmarkStart w:id="57" w:name="_Toc177482872"/>
      <w:bookmarkStart w:id="58" w:name="_Toc181293506"/>
      <w:bookmarkStart w:id="59" w:name="_Toc159348995"/>
      <w:bookmarkStart w:id="60" w:name="_Toc160730844"/>
      <w:bookmarkStart w:id="61" w:name="_Toc161415522"/>
      <w:bookmarkStart w:id="62" w:name="_Toc158491227"/>
      <w:bookmarkStart w:id="63" w:name="_Toc156137802"/>
      <w:bookmarkStart w:id="64" w:name="_Toc160473768"/>
      <w:bookmarkStart w:id="65" w:name="_Toc177072372"/>
      <w:bookmarkStart w:id="66" w:name="_Toc177488184"/>
      <w:bookmarkStart w:id="67" w:name="_Toc181732784"/>
      <w:bookmarkStart w:id="68" w:name="_Toc181738191"/>
      <w:r>
        <w:rPr>
          <w:rFonts w:hint="eastAsia"/>
          <w:color w:val="auto"/>
        </w:rPr>
        <w:t>附图</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F966F6F">
      <w:pPr>
        <w:pStyle w:val="13"/>
        <w:ind w:firstLine="480"/>
        <w:rPr>
          <w:color w:val="auto"/>
          <w:sz w:val="24"/>
          <w:szCs w:val="32"/>
        </w:rPr>
      </w:pPr>
      <w:bookmarkStart w:id="69" w:name="OLE_LINK33"/>
      <w:r>
        <w:rPr>
          <w:rFonts w:hint="eastAsia"/>
          <w:color w:val="auto"/>
          <w:sz w:val="24"/>
          <w:szCs w:val="32"/>
        </w:rPr>
        <w:t xml:space="preserve">附图 </w:t>
      </w:r>
      <w:r>
        <w:rPr>
          <w:color w:val="auto"/>
          <w:sz w:val="24"/>
          <w:szCs w:val="32"/>
        </w:rPr>
        <w:fldChar w:fldCharType="begin"/>
      </w:r>
      <w:r>
        <w:rPr>
          <w:color w:val="auto"/>
          <w:sz w:val="24"/>
          <w:szCs w:val="32"/>
        </w:rPr>
        <w:instrText xml:space="preserve"> </w:instrText>
      </w:r>
      <w:r>
        <w:rPr>
          <w:rFonts w:hint="eastAsia"/>
          <w:color w:val="auto"/>
          <w:sz w:val="24"/>
          <w:szCs w:val="32"/>
        </w:rPr>
        <w:instrText xml:space="preserve">SEQ 附图 \* ARABIC</w:instrText>
      </w:r>
      <w:r>
        <w:rPr>
          <w:color w:val="auto"/>
          <w:sz w:val="24"/>
          <w:szCs w:val="32"/>
        </w:rPr>
        <w:instrText xml:space="preserve"> </w:instrText>
      </w:r>
      <w:r>
        <w:rPr>
          <w:color w:val="auto"/>
          <w:sz w:val="24"/>
          <w:szCs w:val="32"/>
        </w:rPr>
        <w:fldChar w:fldCharType="separate"/>
      </w:r>
      <w:r>
        <w:rPr>
          <w:color w:val="auto"/>
          <w:sz w:val="24"/>
          <w:szCs w:val="32"/>
        </w:rPr>
        <w:t>1</w:t>
      </w:r>
      <w:r>
        <w:rPr>
          <w:color w:val="auto"/>
          <w:sz w:val="24"/>
          <w:szCs w:val="32"/>
        </w:rPr>
        <w:fldChar w:fldCharType="end"/>
      </w:r>
      <w:r>
        <w:rPr>
          <w:color w:val="auto"/>
          <w:sz w:val="24"/>
          <w:szCs w:val="32"/>
        </w:rPr>
        <w:t>：项目地理位置图</w:t>
      </w:r>
    </w:p>
    <w:bookmarkEnd w:id="69"/>
    <w:p w14:paraId="393DD443">
      <w:pPr>
        <w:adjustRightInd w:val="0"/>
        <w:snapToGrid w:val="0"/>
        <w:ind w:firstLine="480"/>
        <w:rPr>
          <w:color w:val="auto"/>
          <w:szCs w:val="36"/>
        </w:rPr>
      </w:pPr>
      <w:bookmarkStart w:id="70" w:name="OLE_LINK14"/>
      <w:r>
        <w:rPr>
          <w:rFonts w:hint="eastAsia"/>
          <w:color w:val="auto"/>
          <w:szCs w:val="32"/>
        </w:rPr>
        <w:t xml:space="preserve">附图 </w:t>
      </w:r>
      <w:r>
        <w:rPr>
          <w:color w:val="auto"/>
          <w:szCs w:val="32"/>
        </w:rPr>
        <w:fldChar w:fldCharType="begin"/>
      </w:r>
      <w:r>
        <w:rPr>
          <w:color w:val="auto"/>
          <w:szCs w:val="32"/>
        </w:rPr>
        <w:instrText xml:space="preserve"> </w:instrText>
      </w:r>
      <w:r>
        <w:rPr>
          <w:rFonts w:hint="eastAsia"/>
          <w:color w:val="auto"/>
          <w:szCs w:val="32"/>
        </w:rPr>
        <w:instrText xml:space="preserve">SEQ 附图 \* ARABIC</w:instrText>
      </w:r>
      <w:r>
        <w:rPr>
          <w:color w:val="auto"/>
          <w:szCs w:val="32"/>
        </w:rPr>
        <w:instrText xml:space="preserve"> </w:instrText>
      </w:r>
      <w:r>
        <w:rPr>
          <w:color w:val="auto"/>
          <w:szCs w:val="32"/>
        </w:rPr>
        <w:fldChar w:fldCharType="separate"/>
      </w:r>
      <w:r>
        <w:rPr>
          <w:color w:val="auto"/>
          <w:szCs w:val="32"/>
        </w:rPr>
        <w:t>2</w:t>
      </w:r>
      <w:r>
        <w:rPr>
          <w:color w:val="auto"/>
          <w:szCs w:val="32"/>
        </w:rPr>
        <w:fldChar w:fldCharType="end"/>
      </w:r>
      <w:r>
        <w:rPr>
          <w:color w:val="auto"/>
          <w:szCs w:val="32"/>
        </w:rPr>
        <w:t>：</w:t>
      </w:r>
      <w:r>
        <w:rPr>
          <w:color w:val="auto"/>
          <w:szCs w:val="36"/>
        </w:rPr>
        <w:t>项目区水系图</w:t>
      </w:r>
    </w:p>
    <w:bookmarkEnd w:id="70"/>
    <w:p w14:paraId="1404D586">
      <w:pPr>
        <w:adjustRightInd w:val="0"/>
        <w:snapToGrid w:val="0"/>
        <w:ind w:firstLine="480"/>
        <w:rPr>
          <w:color w:val="auto"/>
          <w:szCs w:val="36"/>
        </w:rPr>
      </w:pPr>
      <w:r>
        <w:rPr>
          <w:rFonts w:hint="eastAsia"/>
          <w:color w:val="auto"/>
          <w:szCs w:val="32"/>
        </w:rPr>
        <w:t xml:space="preserve">附图 </w:t>
      </w:r>
      <w:r>
        <w:rPr>
          <w:color w:val="auto"/>
          <w:szCs w:val="32"/>
        </w:rPr>
        <w:fldChar w:fldCharType="begin"/>
      </w:r>
      <w:r>
        <w:rPr>
          <w:color w:val="auto"/>
          <w:szCs w:val="32"/>
        </w:rPr>
        <w:instrText xml:space="preserve"> </w:instrText>
      </w:r>
      <w:r>
        <w:rPr>
          <w:rFonts w:hint="eastAsia"/>
          <w:color w:val="auto"/>
          <w:szCs w:val="32"/>
        </w:rPr>
        <w:instrText xml:space="preserve">SEQ 附图 \* ARABIC</w:instrText>
      </w:r>
      <w:r>
        <w:rPr>
          <w:color w:val="auto"/>
          <w:szCs w:val="32"/>
        </w:rPr>
        <w:instrText xml:space="preserve"> </w:instrText>
      </w:r>
      <w:r>
        <w:rPr>
          <w:color w:val="auto"/>
          <w:szCs w:val="32"/>
        </w:rPr>
        <w:fldChar w:fldCharType="separate"/>
      </w:r>
      <w:r>
        <w:rPr>
          <w:color w:val="auto"/>
          <w:szCs w:val="32"/>
        </w:rPr>
        <w:t>3</w:t>
      </w:r>
      <w:r>
        <w:rPr>
          <w:color w:val="auto"/>
          <w:szCs w:val="32"/>
        </w:rPr>
        <w:fldChar w:fldCharType="end"/>
      </w:r>
      <w:r>
        <w:rPr>
          <w:color w:val="auto"/>
          <w:szCs w:val="32"/>
        </w:rPr>
        <w:t>：</w:t>
      </w:r>
      <w:r>
        <w:rPr>
          <w:color w:val="auto"/>
          <w:szCs w:val="36"/>
        </w:rPr>
        <w:t>项目总平面布置图</w:t>
      </w:r>
      <w:r>
        <w:rPr>
          <w:rFonts w:hint="eastAsia"/>
          <w:color w:val="auto"/>
          <w:szCs w:val="36"/>
        </w:rPr>
        <w:t>g</w:t>
      </w:r>
    </w:p>
    <w:p w14:paraId="1D597492">
      <w:pPr>
        <w:adjustRightInd w:val="0"/>
        <w:snapToGrid w:val="0"/>
        <w:ind w:firstLine="480"/>
        <w:rPr>
          <w:color w:val="auto"/>
          <w:szCs w:val="24"/>
        </w:rPr>
      </w:pPr>
      <w:bookmarkStart w:id="71" w:name="_Ref177086183"/>
      <w:r>
        <w:rPr>
          <w:rFonts w:hint="eastAsia"/>
          <w:color w:val="auto"/>
          <w:szCs w:val="24"/>
        </w:rPr>
        <w:t xml:space="preserve">附图 </w:t>
      </w:r>
      <w:r>
        <w:rPr>
          <w:color w:val="auto"/>
          <w:szCs w:val="24"/>
        </w:rPr>
        <w:fldChar w:fldCharType="begin"/>
      </w:r>
      <w:r>
        <w:rPr>
          <w:color w:val="auto"/>
          <w:szCs w:val="24"/>
        </w:rPr>
        <w:instrText xml:space="preserve"> </w:instrText>
      </w:r>
      <w:r>
        <w:rPr>
          <w:rFonts w:hint="eastAsia"/>
          <w:color w:val="auto"/>
          <w:szCs w:val="24"/>
        </w:rPr>
        <w:instrText xml:space="preserve">SEQ 附图 \* ARABIC</w:instrText>
      </w:r>
      <w:r>
        <w:rPr>
          <w:color w:val="auto"/>
          <w:szCs w:val="24"/>
        </w:rPr>
        <w:instrText xml:space="preserve"> </w:instrText>
      </w:r>
      <w:r>
        <w:rPr>
          <w:color w:val="auto"/>
          <w:szCs w:val="24"/>
        </w:rPr>
        <w:fldChar w:fldCharType="separate"/>
      </w:r>
      <w:r>
        <w:rPr>
          <w:color w:val="auto"/>
          <w:szCs w:val="24"/>
        </w:rPr>
        <w:t>4</w:t>
      </w:r>
      <w:r>
        <w:rPr>
          <w:color w:val="auto"/>
          <w:szCs w:val="24"/>
        </w:rPr>
        <w:fldChar w:fldCharType="end"/>
      </w:r>
      <w:bookmarkEnd w:id="71"/>
      <w:r>
        <w:rPr>
          <w:color w:val="auto"/>
          <w:szCs w:val="24"/>
        </w:rPr>
        <w:t>：</w:t>
      </w:r>
      <w:r>
        <w:rPr>
          <w:rFonts w:hint="eastAsia"/>
          <w:color w:val="auto"/>
          <w:szCs w:val="24"/>
        </w:rPr>
        <w:t>项目依托升压站平面布置图</w:t>
      </w:r>
    </w:p>
    <w:p w14:paraId="18803E96">
      <w:pPr>
        <w:adjustRightInd w:val="0"/>
        <w:snapToGrid w:val="0"/>
        <w:ind w:firstLine="480"/>
        <w:rPr>
          <w:color w:val="auto"/>
          <w:szCs w:val="36"/>
        </w:rPr>
      </w:pPr>
      <w:r>
        <w:rPr>
          <w:rFonts w:hint="eastAsia"/>
          <w:color w:val="auto"/>
          <w:szCs w:val="32"/>
        </w:rPr>
        <w:t xml:space="preserve">附图 </w:t>
      </w:r>
      <w:r>
        <w:rPr>
          <w:color w:val="auto"/>
          <w:szCs w:val="32"/>
        </w:rPr>
        <w:fldChar w:fldCharType="begin"/>
      </w:r>
      <w:r>
        <w:rPr>
          <w:color w:val="auto"/>
          <w:szCs w:val="32"/>
        </w:rPr>
        <w:instrText xml:space="preserve"> </w:instrText>
      </w:r>
      <w:r>
        <w:rPr>
          <w:rFonts w:hint="eastAsia"/>
          <w:color w:val="auto"/>
          <w:szCs w:val="32"/>
        </w:rPr>
        <w:instrText xml:space="preserve">SEQ 附图 \* ARABIC</w:instrText>
      </w:r>
      <w:r>
        <w:rPr>
          <w:color w:val="auto"/>
          <w:szCs w:val="32"/>
        </w:rPr>
        <w:instrText xml:space="preserve"> </w:instrText>
      </w:r>
      <w:r>
        <w:rPr>
          <w:color w:val="auto"/>
          <w:szCs w:val="32"/>
        </w:rPr>
        <w:fldChar w:fldCharType="separate"/>
      </w:r>
      <w:r>
        <w:rPr>
          <w:color w:val="auto"/>
          <w:szCs w:val="32"/>
        </w:rPr>
        <w:t>5</w:t>
      </w:r>
      <w:r>
        <w:rPr>
          <w:color w:val="auto"/>
          <w:szCs w:val="32"/>
        </w:rPr>
        <w:fldChar w:fldCharType="end"/>
      </w:r>
      <w:r>
        <w:rPr>
          <w:color w:val="auto"/>
          <w:szCs w:val="32"/>
        </w:rPr>
        <w:t>：</w:t>
      </w:r>
      <w:r>
        <w:rPr>
          <w:color w:val="auto"/>
          <w:szCs w:val="36"/>
        </w:rPr>
        <w:t>光伏支架</w:t>
      </w:r>
      <w:r>
        <w:rPr>
          <w:rFonts w:hint="eastAsia"/>
          <w:color w:val="auto"/>
          <w:szCs w:val="36"/>
        </w:rPr>
        <w:t>及基础体型</w:t>
      </w:r>
      <w:r>
        <w:rPr>
          <w:color w:val="auto"/>
          <w:szCs w:val="36"/>
        </w:rPr>
        <w:t>图</w:t>
      </w:r>
    </w:p>
    <w:p w14:paraId="0AEDD038">
      <w:pPr>
        <w:adjustRightInd w:val="0"/>
        <w:snapToGrid w:val="0"/>
        <w:ind w:firstLine="480"/>
        <w:rPr>
          <w:color w:val="auto"/>
          <w:szCs w:val="36"/>
        </w:rPr>
      </w:pPr>
      <w:r>
        <w:rPr>
          <w:rFonts w:hint="eastAsia"/>
          <w:color w:val="auto"/>
          <w:szCs w:val="32"/>
        </w:rPr>
        <w:t xml:space="preserve">附图 </w:t>
      </w:r>
      <w:r>
        <w:rPr>
          <w:color w:val="auto"/>
          <w:szCs w:val="32"/>
        </w:rPr>
        <w:fldChar w:fldCharType="begin"/>
      </w:r>
      <w:r>
        <w:rPr>
          <w:color w:val="auto"/>
          <w:szCs w:val="32"/>
        </w:rPr>
        <w:instrText xml:space="preserve"> </w:instrText>
      </w:r>
      <w:r>
        <w:rPr>
          <w:rFonts w:hint="eastAsia"/>
          <w:color w:val="auto"/>
          <w:szCs w:val="32"/>
        </w:rPr>
        <w:instrText xml:space="preserve">SEQ 附图 \* ARABIC</w:instrText>
      </w:r>
      <w:r>
        <w:rPr>
          <w:color w:val="auto"/>
          <w:szCs w:val="32"/>
        </w:rPr>
        <w:instrText xml:space="preserve"> </w:instrText>
      </w:r>
      <w:r>
        <w:rPr>
          <w:color w:val="auto"/>
          <w:szCs w:val="32"/>
        </w:rPr>
        <w:fldChar w:fldCharType="separate"/>
      </w:r>
      <w:r>
        <w:rPr>
          <w:color w:val="auto"/>
          <w:szCs w:val="32"/>
        </w:rPr>
        <w:t>6</w:t>
      </w:r>
      <w:r>
        <w:rPr>
          <w:color w:val="auto"/>
          <w:szCs w:val="32"/>
        </w:rPr>
        <w:fldChar w:fldCharType="end"/>
      </w:r>
      <w:r>
        <w:rPr>
          <w:color w:val="auto"/>
          <w:szCs w:val="32"/>
        </w:rPr>
        <w:t>：</w:t>
      </w:r>
      <w:r>
        <w:rPr>
          <w:color w:val="auto"/>
          <w:szCs w:val="36"/>
        </w:rPr>
        <w:t>箱变基础</w:t>
      </w:r>
      <w:r>
        <w:rPr>
          <w:rFonts w:hint="eastAsia"/>
          <w:color w:val="auto"/>
          <w:szCs w:val="36"/>
        </w:rPr>
        <w:t>体型</w:t>
      </w:r>
      <w:r>
        <w:rPr>
          <w:color w:val="auto"/>
          <w:szCs w:val="36"/>
        </w:rPr>
        <w:t>图</w:t>
      </w:r>
    </w:p>
    <w:p w14:paraId="6059B202">
      <w:pPr>
        <w:adjustRightInd w:val="0"/>
        <w:snapToGrid w:val="0"/>
        <w:ind w:firstLine="480"/>
        <w:rPr>
          <w:color w:val="auto"/>
          <w:szCs w:val="36"/>
        </w:rPr>
      </w:pPr>
      <w:r>
        <w:rPr>
          <w:rFonts w:hint="eastAsia"/>
          <w:color w:val="auto"/>
          <w:szCs w:val="32"/>
        </w:rPr>
        <w:t xml:space="preserve">附图 </w:t>
      </w:r>
      <w:r>
        <w:rPr>
          <w:color w:val="auto"/>
          <w:szCs w:val="32"/>
        </w:rPr>
        <w:fldChar w:fldCharType="begin"/>
      </w:r>
      <w:r>
        <w:rPr>
          <w:color w:val="auto"/>
          <w:szCs w:val="32"/>
        </w:rPr>
        <w:instrText xml:space="preserve"> </w:instrText>
      </w:r>
      <w:r>
        <w:rPr>
          <w:rFonts w:hint="eastAsia"/>
          <w:color w:val="auto"/>
          <w:szCs w:val="32"/>
        </w:rPr>
        <w:instrText xml:space="preserve">SEQ 附图 \* ARABIC</w:instrText>
      </w:r>
      <w:r>
        <w:rPr>
          <w:color w:val="auto"/>
          <w:szCs w:val="32"/>
        </w:rPr>
        <w:instrText xml:space="preserve"> </w:instrText>
      </w:r>
      <w:r>
        <w:rPr>
          <w:color w:val="auto"/>
          <w:szCs w:val="32"/>
        </w:rPr>
        <w:fldChar w:fldCharType="separate"/>
      </w:r>
      <w:r>
        <w:rPr>
          <w:color w:val="auto"/>
          <w:szCs w:val="32"/>
        </w:rPr>
        <w:t>7</w:t>
      </w:r>
      <w:r>
        <w:rPr>
          <w:color w:val="auto"/>
          <w:szCs w:val="32"/>
        </w:rPr>
        <w:fldChar w:fldCharType="end"/>
      </w:r>
      <w:r>
        <w:rPr>
          <w:color w:val="auto"/>
          <w:szCs w:val="32"/>
        </w:rPr>
        <w:t>：</w:t>
      </w:r>
      <w:r>
        <w:rPr>
          <w:rFonts w:hint="eastAsia"/>
          <w:color w:val="auto"/>
          <w:szCs w:val="36"/>
        </w:rPr>
        <w:t>项目生态保护措施设计图</w:t>
      </w:r>
    </w:p>
    <w:p w14:paraId="6C0EE35F">
      <w:pPr>
        <w:adjustRightInd w:val="0"/>
        <w:snapToGrid w:val="0"/>
        <w:ind w:firstLine="480"/>
        <w:rPr>
          <w:color w:val="auto"/>
          <w:szCs w:val="36"/>
        </w:rPr>
      </w:pPr>
      <w:r>
        <w:rPr>
          <w:rFonts w:hint="eastAsia"/>
          <w:color w:val="auto"/>
          <w:szCs w:val="32"/>
        </w:rPr>
        <w:t xml:space="preserve">附图 </w:t>
      </w:r>
      <w:r>
        <w:rPr>
          <w:color w:val="auto"/>
          <w:szCs w:val="32"/>
        </w:rPr>
        <w:fldChar w:fldCharType="begin"/>
      </w:r>
      <w:r>
        <w:rPr>
          <w:color w:val="auto"/>
          <w:szCs w:val="32"/>
        </w:rPr>
        <w:instrText xml:space="preserve"> </w:instrText>
      </w:r>
      <w:r>
        <w:rPr>
          <w:rFonts w:hint="eastAsia"/>
          <w:color w:val="auto"/>
          <w:szCs w:val="32"/>
        </w:rPr>
        <w:instrText xml:space="preserve">SEQ 附图 \* ARABIC</w:instrText>
      </w:r>
      <w:r>
        <w:rPr>
          <w:color w:val="auto"/>
          <w:szCs w:val="32"/>
        </w:rPr>
        <w:instrText xml:space="preserve"> </w:instrText>
      </w:r>
      <w:r>
        <w:rPr>
          <w:color w:val="auto"/>
          <w:szCs w:val="32"/>
        </w:rPr>
        <w:fldChar w:fldCharType="separate"/>
      </w:r>
      <w:r>
        <w:rPr>
          <w:color w:val="auto"/>
          <w:szCs w:val="32"/>
        </w:rPr>
        <w:t>8</w:t>
      </w:r>
      <w:r>
        <w:rPr>
          <w:color w:val="auto"/>
          <w:szCs w:val="32"/>
        </w:rPr>
        <w:fldChar w:fldCharType="end"/>
      </w:r>
      <w:r>
        <w:rPr>
          <w:color w:val="auto"/>
          <w:szCs w:val="32"/>
        </w:rPr>
        <w:t>：</w:t>
      </w:r>
      <w:r>
        <w:rPr>
          <w:color w:val="auto"/>
          <w:szCs w:val="36"/>
        </w:rPr>
        <w:t>项目周边关系图</w:t>
      </w:r>
    </w:p>
    <w:p w14:paraId="12359BE4">
      <w:pPr>
        <w:adjustRightInd w:val="0"/>
        <w:snapToGrid w:val="0"/>
        <w:ind w:firstLine="480"/>
        <w:rPr>
          <w:color w:val="auto"/>
          <w:szCs w:val="36"/>
        </w:rPr>
      </w:pPr>
      <w:bookmarkStart w:id="72" w:name="OLE_LINK15"/>
      <w:r>
        <w:rPr>
          <w:rFonts w:hint="eastAsia"/>
          <w:color w:val="auto"/>
          <w:szCs w:val="32"/>
        </w:rPr>
        <w:t xml:space="preserve">附图 </w:t>
      </w:r>
      <w:r>
        <w:rPr>
          <w:color w:val="auto"/>
          <w:szCs w:val="32"/>
        </w:rPr>
        <w:fldChar w:fldCharType="begin"/>
      </w:r>
      <w:r>
        <w:rPr>
          <w:color w:val="auto"/>
          <w:szCs w:val="32"/>
        </w:rPr>
        <w:instrText xml:space="preserve"> </w:instrText>
      </w:r>
      <w:r>
        <w:rPr>
          <w:rFonts w:hint="eastAsia"/>
          <w:color w:val="auto"/>
          <w:szCs w:val="32"/>
        </w:rPr>
        <w:instrText xml:space="preserve">SEQ 附图 \* ARABIC</w:instrText>
      </w:r>
      <w:r>
        <w:rPr>
          <w:color w:val="auto"/>
          <w:szCs w:val="32"/>
        </w:rPr>
        <w:instrText xml:space="preserve"> </w:instrText>
      </w:r>
      <w:r>
        <w:rPr>
          <w:color w:val="auto"/>
          <w:szCs w:val="32"/>
        </w:rPr>
        <w:fldChar w:fldCharType="separate"/>
      </w:r>
      <w:r>
        <w:rPr>
          <w:color w:val="auto"/>
          <w:szCs w:val="32"/>
        </w:rPr>
        <w:t>9</w:t>
      </w:r>
      <w:r>
        <w:rPr>
          <w:color w:val="auto"/>
          <w:szCs w:val="32"/>
        </w:rPr>
        <w:fldChar w:fldCharType="end"/>
      </w:r>
      <w:r>
        <w:rPr>
          <w:color w:val="auto"/>
          <w:szCs w:val="32"/>
        </w:rPr>
        <w:t>：</w:t>
      </w:r>
      <w:r>
        <w:rPr>
          <w:color w:val="auto"/>
          <w:szCs w:val="36"/>
        </w:rPr>
        <w:t>光伏场区噪声监测点位图</w:t>
      </w:r>
    </w:p>
    <w:bookmarkEnd w:id="72"/>
    <w:p w14:paraId="2DAA2E5B">
      <w:pPr>
        <w:adjustRightInd w:val="0"/>
        <w:snapToGrid w:val="0"/>
        <w:ind w:firstLine="480"/>
        <w:rPr>
          <w:color w:val="auto"/>
          <w:szCs w:val="36"/>
        </w:rPr>
      </w:pPr>
      <w:bookmarkStart w:id="73" w:name="_Ref218625490"/>
      <w:bookmarkStart w:id="74" w:name="OLE_LINK6"/>
      <w:r>
        <w:rPr>
          <w:rFonts w:hint="eastAsia"/>
          <w:color w:val="auto"/>
          <w:szCs w:val="32"/>
        </w:rPr>
        <w:t xml:space="preserve">附图 </w:t>
      </w:r>
      <w:r>
        <w:rPr>
          <w:color w:val="auto"/>
          <w:szCs w:val="32"/>
        </w:rPr>
        <w:fldChar w:fldCharType="begin"/>
      </w:r>
      <w:r>
        <w:rPr>
          <w:color w:val="auto"/>
          <w:szCs w:val="32"/>
        </w:rPr>
        <w:instrText xml:space="preserve"> </w:instrText>
      </w:r>
      <w:r>
        <w:rPr>
          <w:rFonts w:hint="eastAsia"/>
          <w:color w:val="auto"/>
          <w:szCs w:val="32"/>
        </w:rPr>
        <w:instrText xml:space="preserve">SEQ 附图 \* ARABIC</w:instrText>
      </w:r>
      <w:r>
        <w:rPr>
          <w:color w:val="auto"/>
          <w:szCs w:val="32"/>
        </w:rPr>
        <w:instrText xml:space="preserve"> </w:instrText>
      </w:r>
      <w:r>
        <w:rPr>
          <w:color w:val="auto"/>
          <w:szCs w:val="32"/>
        </w:rPr>
        <w:fldChar w:fldCharType="separate"/>
      </w:r>
      <w:r>
        <w:rPr>
          <w:color w:val="auto"/>
          <w:szCs w:val="32"/>
        </w:rPr>
        <w:t>10</w:t>
      </w:r>
      <w:r>
        <w:rPr>
          <w:color w:val="auto"/>
          <w:szCs w:val="32"/>
        </w:rPr>
        <w:fldChar w:fldCharType="end"/>
      </w:r>
      <w:bookmarkEnd w:id="73"/>
      <w:r>
        <w:rPr>
          <w:color w:val="auto"/>
          <w:szCs w:val="32"/>
        </w:rPr>
        <w:t>：</w:t>
      </w:r>
      <w:r>
        <w:rPr>
          <w:rFonts w:hint="eastAsia"/>
          <w:color w:val="auto"/>
          <w:szCs w:val="36"/>
        </w:rPr>
        <w:t>项目与大理州生态环境管控单元位置关系图</w:t>
      </w:r>
    </w:p>
    <w:bookmarkEnd w:id="74"/>
    <w:p w14:paraId="74C11932">
      <w:pPr>
        <w:ind w:firstLine="480"/>
        <w:rPr>
          <w:color w:val="auto"/>
          <w:szCs w:val="24"/>
        </w:rPr>
      </w:pPr>
      <w:bookmarkStart w:id="75" w:name="_Hlk156066339"/>
      <w:r>
        <w:rPr>
          <w:rFonts w:hint="eastAsia"/>
          <w:color w:val="auto"/>
          <w:szCs w:val="24"/>
        </w:rPr>
        <w:t xml:space="preserve">附图 </w:t>
      </w:r>
      <w:r>
        <w:rPr>
          <w:color w:val="auto"/>
          <w:szCs w:val="24"/>
        </w:rPr>
        <w:fldChar w:fldCharType="begin"/>
      </w:r>
      <w:r>
        <w:rPr>
          <w:color w:val="auto"/>
          <w:szCs w:val="24"/>
        </w:rPr>
        <w:instrText xml:space="preserve"> </w:instrText>
      </w:r>
      <w:r>
        <w:rPr>
          <w:rFonts w:hint="eastAsia"/>
          <w:color w:val="auto"/>
          <w:szCs w:val="24"/>
        </w:rPr>
        <w:instrText xml:space="preserve">SEQ 附图 \* ARABIC</w:instrText>
      </w:r>
      <w:r>
        <w:rPr>
          <w:color w:val="auto"/>
          <w:szCs w:val="24"/>
        </w:rPr>
        <w:instrText xml:space="preserve"> </w:instrText>
      </w:r>
      <w:r>
        <w:rPr>
          <w:color w:val="auto"/>
          <w:szCs w:val="24"/>
        </w:rPr>
        <w:fldChar w:fldCharType="separate"/>
      </w:r>
      <w:r>
        <w:rPr>
          <w:color w:val="auto"/>
          <w:szCs w:val="24"/>
        </w:rPr>
        <w:t>11</w:t>
      </w:r>
      <w:r>
        <w:rPr>
          <w:color w:val="auto"/>
          <w:szCs w:val="24"/>
        </w:rPr>
        <w:fldChar w:fldCharType="end"/>
      </w:r>
      <w:r>
        <w:rPr>
          <w:color w:val="auto"/>
          <w:szCs w:val="24"/>
        </w:rPr>
        <w:t>：项目与云南省主体功能区划位置关系图</w:t>
      </w:r>
    </w:p>
    <w:bookmarkEnd w:id="75"/>
    <w:p w14:paraId="2EF07F96">
      <w:pPr>
        <w:adjustRightInd w:val="0"/>
        <w:snapToGrid w:val="0"/>
        <w:ind w:firstLine="480"/>
        <w:rPr>
          <w:color w:val="auto"/>
          <w:szCs w:val="24"/>
        </w:rPr>
      </w:pPr>
      <w:r>
        <w:rPr>
          <w:rFonts w:hint="eastAsia"/>
          <w:color w:val="auto"/>
          <w:szCs w:val="24"/>
        </w:rPr>
        <w:t xml:space="preserve">附图 </w:t>
      </w:r>
      <w:r>
        <w:rPr>
          <w:color w:val="auto"/>
          <w:szCs w:val="24"/>
        </w:rPr>
        <w:fldChar w:fldCharType="begin"/>
      </w:r>
      <w:r>
        <w:rPr>
          <w:color w:val="auto"/>
          <w:szCs w:val="24"/>
        </w:rPr>
        <w:instrText xml:space="preserve"> </w:instrText>
      </w:r>
      <w:r>
        <w:rPr>
          <w:rFonts w:hint="eastAsia"/>
          <w:color w:val="auto"/>
          <w:szCs w:val="24"/>
        </w:rPr>
        <w:instrText xml:space="preserve">SEQ 附图 \* ARABIC</w:instrText>
      </w:r>
      <w:r>
        <w:rPr>
          <w:color w:val="auto"/>
          <w:szCs w:val="24"/>
        </w:rPr>
        <w:instrText xml:space="preserve"> </w:instrText>
      </w:r>
      <w:r>
        <w:rPr>
          <w:color w:val="auto"/>
          <w:szCs w:val="24"/>
        </w:rPr>
        <w:fldChar w:fldCharType="separate"/>
      </w:r>
      <w:r>
        <w:rPr>
          <w:color w:val="auto"/>
          <w:szCs w:val="24"/>
        </w:rPr>
        <w:t>12</w:t>
      </w:r>
      <w:r>
        <w:rPr>
          <w:color w:val="auto"/>
          <w:szCs w:val="24"/>
        </w:rPr>
        <w:fldChar w:fldCharType="end"/>
      </w:r>
      <w:r>
        <w:rPr>
          <w:color w:val="auto"/>
          <w:szCs w:val="24"/>
        </w:rPr>
        <w:t>：项目与云南省生态功能区划位置关系图</w:t>
      </w:r>
    </w:p>
    <w:p w14:paraId="5B5B7109">
      <w:pPr>
        <w:ind w:firstLine="480"/>
        <w:rPr>
          <w:color w:val="auto"/>
          <w:szCs w:val="24"/>
        </w:rPr>
      </w:pPr>
      <w:bookmarkStart w:id="76" w:name="_Ref176198287"/>
      <w:r>
        <w:rPr>
          <w:rFonts w:hint="eastAsia"/>
          <w:color w:val="auto"/>
          <w:szCs w:val="24"/>
        </w:rPr>
        <w:t xml:space="preserve">附图 </w:t>
      </w:r>
      <w:r>
        <w:rPr>
          <w:color w:val="auto"/>
          <w:szCs w:val="24"/>
        </w:rPr>
        <w:fldChar w:fldCharType="begin"/>
      </w:r>
      <w:r>
        <w:rPr>
          <w:color w:val="auto"/>
          <w:szCs w:val="24"/>
        </w:rPr>
        <w:instrText xml:space="preserve"> </w:instrText>
      </w:r>
      <w:r>
        <w:rPr>
          <w:rFonts w:hint="eastAsia"/>
          <w:color w:val="auto"/>
          <w:szCs w:val="24"/>
        </w:rPr>
        <w:instrText xml:space="preserve">SEQ 附图 \* ARABIC</w:instrText>
      </w:r>
      <w:r>
        <w:rPr>
          <w:color w:val="auto"/>
          <w:szCs w:val="24"/>
        </w:rPr>
        <w:instrText xml:space="preserve"> </w:instrText>
      </w:r>
      <w:r>
        <w:rPr>
          <w:color w:val="auto"/>
          <w:szCs w:val="24"/>
        </w:rPr>
        <w:fldChar w:fldCharType="separate"/>
      </w:r>
      <w:r>
        <w:rPr>
          <w:color w:val="auto"/>
          <w:szCs w:val="24"/>
        </w:rPr>
        <w:t>13</w:t>
      </w:r>
      <w:r>
        <w:rPr>
          <w:color w:val="auto"/>
          <w:szCs w:val="24"/>
        </w:rPr>
        <w:fldChar w:fldCharType="end"/>
      </w:r>
      <w:bookmarkEnd w:id="76"/>
      <w:r>
        <w:rPr>
          <w:color w:val="auto"/>
          <w:szCs w:val="24"/>
        </w:rPr>
        <w:t>：项目与云南省生物多样性保护区位置关系图</w:t>
      </w:r>
    </w:p>
    <w:p w14:paraId="18463A77">
      <w:pPr>
        <w:adjustRightInd w:val="0"/>
        <w:snapToGrid w:val="0"/>
        <w:ind w:firstLine="480"/>
        <w:rPr>
          <w:color w:val="auto"/>
          <w:szCs w:val="36"/>
        </w:rPr>
      </w:pPr>
      <w:bookmarkStart w:id="77" w:name="_Ref218542330"/>
      <w:r>
        <w:rPr>
          <w:rFonts w:hint="eastAsia"/>
          <w:color w:val="auto"/>
          <w:szCs w:val="24"/>
        </w:rPr>
        <w:t xml:space="preserve">附图 </w:t>
      </w:r>
      <w:r>
        <w:rPr>
          <w:color w:val="auto"/>
          <w:szCs w:val="24"/>
        </w:rPr>
        <w:fldChar w:fldCharType="begin"/>
      </w:r>
      <w:r>
        <w:rPr>
          <w:color w:val="auto"/>
          <w:szCs w:val="24"/>
        </w:rPr>
        <w:instrText xml:space="preserve"> </w:instrText>
      </w:r>
      <w:r>
        <w:rPr>
          <w:rFonts w:hint="eastAsia"/>
          <w:color w:val="auto"/>
          <w:szCs w:val="24"/>
        </w:rPr>
        <w:instrText xml:space="preserve">SEQ 附图 \* ARABIC</w:instrText>
      </w:r>
      <w:r>
        <w:rPr>
          <w:color w:val="auto"/>
          <w:szCs w:val="24"/>
        </w:rPr>
        <w:instrText xml:space="preserve"> </w:instrText>
      </w:r>
      <w:r>
        <w:rPr>
          <w:color w:val="auto"/>
          <w:szCs w:val="24"/>
        </w:rPr>
        <w:fldChar w:fldCharType="separate"/>
      </w:r>
      <w:r>
        <w:rPr>
          <w:color w:val="auto"/>
          <w:szCs w:val="24"/>
        </w:rPr>
        <w:t>14</w:t>
      </w:r>
      <w:r>
        <w:rPr>
          <w:color w:val="auto"/>
          <w:szCs w:val="24"/>
        </w:rPr>
        <w:fldChar w:fldCharType="end"/>
      </w:r>
      <w:bookmarkEnd w:id="77"/>
      <w:r>
        <w:rPr>
          <w:rFonts w:hint="eastAsia"/>
          <w:color w:val="auto"/>
          <w:szCs w:val="24"/>
        </w:rPr>
        <w:t>：</w:t>
      </w:r>
      <w:r>
        <w:rPr>
          <w:rFonts w:hint="eastAsia"/>
          <w:color w:val="auto"/>
          <w:szCs w:val="36"/>
        </w:rPr>
        <w:t>项目与“三区三线”叠加分析图</w:t>
      </w:r>
    </w:p>
    <w:p w14:paraId="5E0C546A">
      <w:pPr>
        <w:adjustRightInd w:val="0"/>
        <w:snapToGrid w:val="0"/>
        <w:ind w:firstLine="480"/>
        <w:rPr>
          <w:color w:val="auto"/>
          <w:szCs w:val="36"/>
        </w:rPr>
      </w:pPr>
      <w:r>
        <w:rPr>
          <w:rFonts w:hint="eastAsia"/>
          <w:color w:val="auto"/>
          <w:szCs w:val="24"/>
        </w:rPr>
        <w:t xml:space="preserve">附图 </w:t>
      </w:r>
      <w:r>
        <w:rPr>
          <w:color w:val="auto"/>
          <w:szCs w:val="24"/>
        </w:rPr>
        <w:fldChar w:fldCharType="begin"/>
      </w:r>
      <w:r>
        <w:rPr>
          <w:color w:val="auto"/>
          <w:szCs w:val="24"/>
        </w:rPr>
        <w:instrText xml:space="preserve"> </w:instrText>
      </w:r>
      <w:r>
        <w:rPr>
          <w:rFonts w:hint="eastAsia"/>
          <w:color w:val="auto"/>
          <w:szCs w:val="24"/>
        </w:rPr>
        <w:instrText xml:space="preserve">SEQ 附图 \* ARABIC</w:instrText>
      </w:r>
      <w:r>
        <w:rPr>
          <w:color w:val="auto"/>
          <w:szCs w:val="24"/>
        </w:rPr>
        <w:instrText xml:space="preserve"> </w:instrText>
      </w:r>
      <w:r>
        <w:rPr>
          <w:color w:val="auto"/>
          <w:szCs w:val="24"/>
        </w:rPr>
        <w:fldChar w:fldCharType="separate"/>
      </w:r>
      <w:r>
        <w:rPr>
          <w:color w:val="auto"/>
          <w:szCs w:val="24"/>
        </w:rPr>
        <w:t>15</w:t>
      </w:r>
      <w:r>
        <w:rPr>
          <w:color w:val="auto"/>
          <w:szCs w:val="24"/>
        </w:rPr>
        <w:fldChar w:fldCharType="end"/>
      </w:r>
      <w:r>
        <w:rPr>
          <w:rFonts w:hint="eastAsia"/>
          <w:color w:val="auto"/>
          <w:szCs w:val="24"/>
        </w:rPr>
        <w:t>：</w:t>
      </w:r>
      <w:r>
        <w:rPr>
          <w:rFonts w:hint="eastAsia"/>
          <w:color w:val="auto"/>
          <w:szCs w:val="36"/>
        </w:rPr>
        <w:t>项目与云南省候鸟迁徙通道的位置关系示意图</w:t>
      </w:r>
    </w:p>
    <w:p w14:paraId="1A0F40CD">
      <w:pPr>
        <w:adjustRightInd w:val="0"/>
        <w:snapToGrid w:val="0"/>
        <w:ind w:firstLine="480"/>
        <w:rPr>
          <w:color w:val="auto"/>
          <w:szCs w:val="36"/>
        </w:rPr>
      </w:pPr>
      <w:bookmarkStart w:id="78" w:name="_Ref218541438"/>
      <w:bookmarkStart w:id="79" w:name="OLE_LINK22"/>
      <w:r>
        <w:rPr>
          <w:rFonts w:hint="eastAsia"/>
          <w:color w:val="auto"/>
          <w:szCs w:val="24"/>
        </w:rPr>
        <w:t xml:space="preserve">附图 </w:t>
      </w:r>
      <w:r>
        <w:rPr>
          <w:color w:val="auto"/>
          <w:szCs w:val="24"/>
        </w:rPr>
        <w:fldChar w:fldCharType="begin"/>
      </w:r>
      <w:r>
        <w:rPr>
          <w:color w:val="auto"/>
          <w:szCs w:val="24"/>
        </w:rPr>
        <w:instrText xml:space="preserve"> </w:instrText>
      </w:r>
      <w:r>
        <w:rPr>
          <w:rFonts w:hint="eastAsia"/>
          <w:color w:val="auto"/>
          <w:szCs w:val="24"/>
        </w:rPr>
        <w:instrText xml:space="preserve">SEQ 附图 \* ARABIC</w:instrText>
      </w:r>
      <w:r>
        <w:rPr>
          <w:color w:val="auto"/>
          <w:szCs w:val="24"/>
        </w:rPr>
        <w:instrText xml:space="preserve"> </w:instrText>
      </w:r>
      <w:r>
        <w:rPr>
          <w:color w:val="auto"/>
          <w:szCs w:val="24"/>
        </w:rPr>
        <w:fldChar w:fldCharType="separate"/>
      </w:r>
      <w:r>
        <w:rPr>
          <w:color w:val="auto"/>
          <w:szCs w:val="24"/>
        </w:rPr>
        <w:t>16</w:t>
      </w:r>
      <w:r>
        <w:rPr>
          <w:color w:val="auto"/>
          <w:szCs w:val="24"/>
        </w:rPr>
        <w:fldChar w:fldCharType="end"/>
      </w:r>
      <w:bookmarkEnd w:id="78"/>
      <w:r>
        <w:rPr>
          <w:rFonts w:hint="eastAsia"/>
          <w:color w:val="auto"/>
          <w:szCs w:val="24"/>
        </w:rPr>
        <w:t>：</w:t>
      </w:r>
      <w:r>
        <w:rPr>
          <w:rFonts w:hint="eastAsia"/>
          <w:color w:val="auto"/>
          <w:szCs w:val="36"/>
        </w:rPr>
        <w:t>项目与自然保护地（云南无量山国家级自然保护区和云南灵宝山国家级森林公园）的位置关系示意图</w:t>
      </w:r>
    </w:p>
    <w:bookmarkEnd w:id="79"/>
    <w:p w14:paraId="635D4318">
      <w:pPr>
        <w:adjustRightInd w:val="0"/>
        <w:snapToGrid w:val="0"/>
        <w:ind w:firstLine="480"/>
        <w:rPr>
          <w:color w:val="auto"/>
          <w:szCs w:val="36"/>
        </w:rPr>
      </w:pPr>
      <w:bookmarkStart w:id="80" w:name="_Ref212486929"/>
      <w:bookmarkStart w:id="81" w:name="OLE_LINK34"/>
      <w:r>
        <w:rPr>
          <w:rFonts w:hint="eastAsia"/>
          <w:color w:val="auto"/>
          <w:szCs w:val="24"/>
        </w:rPr>
        <w:t xml:space="preserve">附图 </w:t>
      </w:r>
      <w:r>
        <w:rPr>
          <w:color w:val="auto"/>
          <w:szCs w:val="24"/>
        </w:rPr>
        <w:fldChar w:fldCharType="begin"/>
      </w:r>
      <w:r>
        <w:rPr>
          <w:color w:val="auto"/>
          <w:szCs w:val="24"/>
        </w:rPr>
        <w:instrText xml:space="preserve"> </w:instrText>
      </w:r>
      <w:r>
        <w:rPr>
          <w:rFonts w:hint="eastAsia"/>
          <w:color w:val="auto"/>
          <w:szCs w:val="24"/>
        </w:rPr>
        <w:instrText xml:space="preserve">SEQ 附图 \* ARABIC</w:instrText>
      </w:r>
      <w:r>
        <w:rPr>
          <w:color w:val="auto"/>
          <w:szCs w:val="24"/>
        </w:rPr>
        <w:instrText xml:space="preserve"> </w:instrText>
      </w:r>
      <w:r>
        <w:rPr>
          <w:color w:val="auto"/>
          <w:szCs w:val="24"/>
        </w:rPr>
        <w:fldChar w:fldCharType="separate"/>
      </w:r>
      <w:r>
        <w:rPr>
          <w:color w:val="auto"/>
          <w:szCs w:val="24"/>
        </w:rPr>
        <w:t>17</w:t>
      </w:r>
      <w:r>
        <w:rPr>
          <w:color w:val="auto"/>
          <w:szCs w:val="24"/>
        </w:rPr>
        <w:fldChar w:fldCharType="end"/>
      </w:r>
      <w:bookmarkEnd w:id="80"/>
      <w:r>
        <w:rPr>
          <w:rFonts w:hint="eastAsia"/>
          <w:color w:val="auto"/>
          <w:szCs w:val="24"/>
        </w:rPr>
        <w:t>：</w:t>
      </w:r>
      <w:r>
        <w:rPr>
          <w:color w:val="auto"/>
          <w:szCs w:val="36"/>
        </w:rPr>
        <w:t>评价区土地利用</w:t>
      </w:r>
      <w:r>
        <w:rPr>
          <w:rFonts w:hint="eastAsia"/>
          <w:color w:val="auto"/>
          <w:szCs w:val="36"/>
        </w:rPr>
        <w:t>现状</w:t>
      </w:r>
      <w:r>
        <w:rPr>
          <w:color w:val="auto"/>
          <w:szCs w:val="36"/>
        </w:rPr>
        <w:t>图</w:t>
      </w:r>
    </w:p>
    <w:bookmarkEnd w:id="81"/>
    <w:p w14:paraId="0BE3E68F">
      <w:pPr>
        <w:adjustRightInd w:val="0"/>
        <w:snapToGrid w:val="0"/>
        <w:ind w:firstLine="480"/>
        <w:rPr>
          <w:color w:val="auto"/>
          <w:szCs w:val="36"/>
        </w:rPr>
      </w:pPr>
      <w:r>
        <w:rPr>
          <w:rFonts w:hint="eastAsia"/>
          <w:color w:val="auto"/>
          <w:szCs w:val="24"/>
        </w:rPr>
        <w:t xml:space="preserve">附图 </w:t>
      </w:r>
      <w:r>
        <w:rPr>
          <w:color w:val="auto"/>
          <w:szCs w:val="24"/>
        </w:rPr>
        <w:fldChar w:fldCharType="begin"/>
      </w:r>
      <w:r>
        <w:rPr>
          <w:color w:val="auto"/>
          <w:szCs w:val="24"/>
        </w:rPr>
        <w:instrText xml:space="preserve"> </w:instrText>
      </w:r>
      <w:r>
        <w:rPr>
          <w:rFonts w:hint="eastAsia"/>
          <w:color w:val="auto"/>
          <w:szCs w:val="24"/>
        </w:rPr>
        <w:instrText xml:space="preserve">SEQ 附图 \* ARABIC</w:instrText>
      </w:r>
      <w:r>
        <w:rPr>
          <w:color w:val="auto"/>
          <w:szCs w:val="24"/>
        </w:rPr>
        <w:instrText xml:space="preserve"> </w:instrText>
      </w:r>
      <w:r>
        <w:rPr>
          <w:color w:val="auto"/>
          <w:szCs w:val="24"/>
        </w:rPr>
        <w:fldChar w:fldCharType="separate"/>
      </w:r>
      <w:r>
        <w:rPr>
          <w:color w:val="auto"/>
          <w:szCs w:val="24"/>
        </w:rPr>
        <w:t>18</w:t>
      </w:r>
      <w:r>
        <w:rPr>
          <w:color w:val="auto"/>
          <w:szCs w:val="24"/>
        </w:rPr>
        <w:fldChar w:fldCharType="end"/>
      </w:r>
      <w:r>
        <w:rPr>
          <w:color w:val="auto"/>
          <w:szCs w:val="36"/>
        </w:rPr>
        <w:t>：评价区植被类型图</w:t>
      </w:r>
    </w:p>
    <w:p w14:paraId="1DB8BC0B">
      <w:pPr>
        <w:adjustRightInd w:val="0"/>
        <w:snapToGrid w:val="0"/>
        <w:ind w:firstLine="480"/>
        <w:rPr>
          <w:color w:val="auto"/>
          <w:szCs w:val="36"/>
        </w:rPr>
      </w:pPr>
      <w:r>
        <w:rPr>
          <w:rFonts w:hint="eastAsia"/>
          <w:color w:val="auto"/>
          <w:szCs w:val="24"/>
        </w:rPr>
        <w:t xml:space="preserve">附图 </w:t>
      </w:r>
      <w:r>
        <w:rPr>
          <w:color w:val="auto"/>
          <w:szCs w:val="24"/>
        </w:rPr>
        <w:fldChar w:fldCharType="begin"/>
      </w:r>
      <w:r>
        <w:rPr>
          <w:color w:val="auto"/>
          <w:szCs w:val="24"/>
        </w:rPr>
        <w:instrText xml:space="preserve"> </w:instrText>
      </w:r>
      <w:r>
        <w:rPr>
          <w:rFonts w:hint="eastAsia"/>
          <w:color w:val="auto"/>
          <w:szCs w:val="24"/>
        </w:rPr>
        <w:instrText xml:space="preserve">SEQ 附图 \* ARABIC</w:instrText>
      </w:r>
      <w:r>
        <w:rPr>
          <w:color w:val="auto"/>
          <w:szCs w:val="24"/>
        </w:rPr>
        <w:instrText xml:space="preserve"> </w:instrText>
      </w:r>
      <w:r>
        <w:rPr>
          <w:color w:val="auto"/>
          <w:szCs w:val="24"/>
        </w:rPr>
        <w:fldChar w:fldCharType="separate"/>
      </w:r>
      <w:r>
        <w:rPr>
          <w:color w:val="auto"/>
          <w:szCs w:val="24"/>
        </w:rPr>
        <w:t>19</w:t>
      </w:r>
      <w:r>
        <w:rPr>
          <w:color w:val="auto"/>
          <w:szCs w:val="24"/>
        </w:rPr>
        <w:fldChar w:fldCharType="end"/>
      </w:r>
      <w:r>
        <w:rPr>
          <w:color w:val="auto"/>
          <w:szCs w:val="36"/>
        </w:rPr>
        <w:t>：</w:t>
      </w:r>
      <w:r>
        <w:rPr>
          <w:rFonts w:hint="eastAsia"/>
          <w:color w:val="auto"/>
          <w:szCs w:val="36"/>
        </w:rPr>
        <w:t>环境空气现状监测采样点位图</w:t>
      </w:r>
    </w:p>
    <w:p w14:paraId="0067F7B4">
      <w:pPr>
        <w:ind w:firstLine="0" w:firstLineChars="0"/>
        <w:rPr>
          <w:color w:val="auto"/>
        </w:rPr>
      </w:pPr>
    </w:p>
    <w:p w14:paraId="4CA4AC5E">
      <w:pPr>
        <w:ind w:firstLine="0" w:firstLineChars="0"/>
        <w:rPr>
          <w:color w:val="auto"/>
        </w:rPr>
        <w:sectPr>
          <w:headerReference r:id="rId11" w:type="default"/>
          <w:footerReference r:id="rId12" w:type="default"/>
          <w:pgSz w:w="11906" w:h="16838"/>
          <w:pgMar w:top="1440" w:right="1797" w:bottom="1440" w:left="1797" w:header="737" w:footer="1134" w:gutter="0"/>
          <w:pgNumType w:fmt="upperRoman" w:start="1"/>
          <w:cols w:space="425" w:num="1"/>
          <w:docGrid w:linePitch="326" w:charSpace="0"/>
        </w:sectPr>
      </w:pPr>
    </w:p>
    <w:p w14:paraId="08D8A85C">
      <w:pPr>
        <w:pStyle w:val="2"/>
        <w:numPr>
          <w:ilvl w:val="0"/>
          <w:numId w:val="0"/>
        </w:numPr>
        <w:spacing w:before="120" w:after="120"/>
        <w:rPr>
          <w:color w:val="auto"/>
        </w:rPr>
      </w:pPr>
      <w:bookmarkStart w:id="82" w:name="_Toc218597748"/>
      <w:bookmarkStart w:id="83" w:name="_Toc218698785"/>
      <w:r>
        <w:rPr>
          <w:rFonts w:hint="eastAsia"/>
          <w:color w:val="auto"/>
        </w:rPr>
        <w:t>附件</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82"/>
      <w:bookmarkEnd w:id="83"/>
    </w:p>
    <w:p w14:paraId="2EF3E407">
      <w:pPr>
        <w:ind w:firstLine="480"/>
        <w:rPr>
          <w:color w:val="auto"/>
          <w:szCs w:val="28"/>
        </w:rPr>
      </w:pPr>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1</w:t>
      </w:r>
      <w:r>
        <w:rPr>
          <w:color w:val="auto"/>
          <w:szCs w:val="28"/>
        </w:rPr>
        <w:fldChar w:fldCharType="end"/>
      </w:r>
      <w:r>
        <w:rPr>
          <w:rFonts w:hint="eastAsia"/>
          <w:color w:val="auto"/>
          <w:szCs w:val="28"/>
        </w:rPr>
        <w:t>：</w:t>
      </w:r>
      <w:bookmarkStart w:id="84" w:name="_Ref195897750"/>
      <w:r>
        <w:rPr>
          <w:rFonts w:hint="eastAsia"/>
          <w:color w:val="auto"/>
          <w:szCs w:val="28"/>
        </w:rPr>
        <w:t>项目委托书</w:t>
      </w:r>
      <w:bookmarkEnd w:id="84"/>
    </w:p>
    <w:p w14:paraId="5D7FA613">
      <w:pPr>
        <w:ind w:firstLine="480"/>
        <w:rPr>
          <w:color w:val="auto"/>
        </w:rPr>
      </w:pPr>
      <w:bookmarkStart w:id="85" w:name="OLE_LINK7"/>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2</w:t>
      </w:r>
      <w:r>
        <w:rPr>
          <w:color w:val="auto"/>
          <w:szCs w:val="28"/>
        </w:rPr>
        <w:fldChar w:fldCharType="end"/>
      </w:r>
      <w:r>
        <w:rPr>
          <w:rFonts w:hint="eastAsia"/>
          <w:color w:val="auto"/>
          <w:szCs w:val="28"/>
        </w:rPr>
        <w:t>：投资项目备案证</w:t>
      </w:r>
    </w:p>
    <w:bookmarkEnd w:id="85"/>
    <w:p w14:paraId="05131653">
      <w:pPr>
        <w:ind w:firstLine="480"/>
        <w:rPr>
          <w:color w:val="auto"/>
          <w:szCs w:val="28"/>
        </w:rPr>
      </w:pPr>
      <w:bookmarkStart w:id="86" w:name="_Ref155898701"/>
      <w:bookmarkStart w:id="87" w:name="_Ref212538455"/>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3</w:t>
      </w:r>
      <w:r>
        <w:rPr>
          <w:color w:val="auto"/>
          <w:szCs w:val="28"/>
        </w:rPr>
        <w:fldChar w:fldCharType="end"/>
      </w:r>
      <w:bookmarkEnd w:id="86"/>
      <w:r>
        <w:rPr>
          <w:rFonts w:hint="eastAsia"/>
          <w:color w:val="auto"/>
          <w:szCs w:val="28"/>
        </w:rPr>
        <w:t>：</w:t>
      </w:r>
      <w:bookmarkEnd w:id="87"/>
      <w:bookmarkStart w:id="88" w:name="_Ref218539235"/>
      <w:r>
        <w:rPr>
          <w:rFonts w:hint="eastAsia"/>
          <w:color w:val="auto"/>
          <w:szCs w:val="28"/>
        </w:rPr>
        <w:t>南涧彝族自治县自然资源局关于沙乐光伏发电项目用地审查意见</w:t>
      </w:r>
      <w:bookmarkEnd w:id="88"/>
    </w:p>
    <w:p w14:paraId="484C2573">
      <w:pPr>
        <w:ind w:firstLine="480"/>
        <w:rPr>
          <w:color w:val="auto"/>
        </w:rPr>
      </w:pPr>
      <w:bookmarkStart w:id="89" w:name="_Ref212538497"/>
      <w:r>
        <w:rPr>
          <w:rFonts w:hint="eastAsia"/>
          <w:color w:val="auto"/>
        </w:rPr>
        <w:t>附件</w:t>
      </w:r>
      <w:r>
        <w:rPr>
          <w:color w:val="auto"/>
        </w:rPr>
        <w:t xml:space="preserve"> </w:t>
      </w:r>
      <w:r>
        <w:rPr>
          <w:color w:val="auto"/>
        </w:rPr>
        <w:fldChar w:fldCharType="begin"/>
      </w:r>
      <w:r>
        <w:rPr>
          <w:color w:val="auto"/>
        </w:rPr>
        <w:instrText xml:space="preserve"> SEQ </w:instrText>
      </w:r>
      <w:r>
        <w:rPr>
          <w:rFonts w:hint="eastAsia"/>
          <w:color w:val="auto"/>
        </w:rPr>
        <w:instrText xml:space="preserve">附件</w:instrText>
      </w:r>
      <w:r>
        <w:rPr>
          <w:color w:val="auto"/>
        </w:rPr>
        <w:instrText xml:space="preserve"> \* ARABIC </w:instrText>
      </w:r>
      <w:r>
        <w:rPr>
          <w:color w:val="auto"/>
        </w:rPr>
        <w:fldChar w:fldCharType="separate"/>
      </w:r>
      <w:r>
        <w:rPr>
          <w:color w:val="auto"/>
        </w:rPr>
        <w:t>4</w:t>
      </w:r>
      <w:r>
        <w:rPr>
          <w:color w:val="auto"/>
        </w:rPr>
        <w:fldChar w:fldCharType="end"/>
      </w:r>
      <w:r>
        <w:rPr>
          <w:rFonts w:hint="eastAsia"/>
          <w:color w:val="auto"/>
        </w:rPr>
        <w:t>：</w:t>
      </w:r>
      <w:bookmarkEnd w:id="89"/>
      <w:bookmarkStart w:id="90" w:name="_Ref218625276"/>
      <w:bookmarkStart w:id="91" w:name="_Ref195814245"/>
      <w:r>
        <w:rPr>
          <w:rFonts w:hint="eastAsia"/>
          <w:color w:val="auto"/>
        </w:rPr>
        <w:t>南涧彝族自治县林业和草原局关于沙乐光伏发电项目选址意见</w:t>
      </w:r>
      <w:bookmarkEnd w:id="90"/>
    </w:p>
    <w:p w14:paraId="092EE575">
      <w:pPr>
        <w:ind w:firstLine="480"/>
        <w:rPr>
          <w:color w:val="auto"/>
        </w:rPr>
      </w:pPr>
      <w:bookmarkStart w:id="92" w:name="_Ref211852029"/>
      <w:bookmarkStart w:id="93" w:name="_Ref212538513"/>
      <w:r>
        <w:rPr>
          <w:rFonts w:hint="eastAsia"/>
          <w:color w:val="auto"/>
        </w:rPr>
        <w:t>附件</w:t>
      </w:r>
      <w:r>
        <w:rPr>
          <w:color w:val="auto"/>
        </w:rPr>
        <w:t xml:space="preserve"> </w:t>
      </w:r>
      <w:r>
        <w:rPr>
          <w:color w:val="auto"/>
        </w:rPr>
        <w:fldChar w:fldCharType="begin"/>
      </w:r>
      <w:r>
        <w:rPr>
          <w:color w:val="auto"/>
        </w:rPr>
        <w:instrText xml:space="preserve"> SEQ </w:instrText>
      </w:r>
      <w:r>
        <w:rPr>
          <w:rFonts w:hint="eastAsia"/>
          <w:color w:val="auto"/>
        </w:rPr>
        <w:instrText xml:space="preserve">附件</w:instrText>
      </w:r>
      <w:r>
        <w:rPr>
          <w:color w:val="auto"/>
        </w:rPr>
        <w:instrText xml:space="preserve"> \* ARABIC </w:instrText>
      </w:r>
      <w:r>
        <w:rPr>
          <w:color w:val="auto"/>
        </w:rPr>
        <w:fldChar w:fldCharType="separate"/>
      </w:r>
      <w:r>
        <w:rPr>
          <w:color w:val="auto"/>
        </w:rPr>
        <w:t>5</w:t>
      </w:r>
      <w:r>
        <w:rPr>
          <w:color w:val="auto"/>
        </w:rPr>
        <w:fldChar w:fldCharType="end"/>
      </w:r>
      <w:bookmarkEnd w:id="91"/>
      <w:bookmarkEnd w:id="92"/>
      <w:r>
        <w:rPr>
          <w:rFonts w:hint="eastAsia"/>
          <w:color w:val="auto"/>
        </w:rPr>
        <w:t>：</w:t>
      </w:r>
      <w:bookmarkEnd w:id="93"/>
      <w:bookmarkStart w:id="94" w:name="_Ref218542484"/>
      <w:r>
        <w:rPr>
          <w:rFonts w:hint="eastAsia"/>
          <w:color w:val="auto"/>
        </w:rPr>
        <w:t>大理白族自治州生态环境局南涧分局关于沙乐光伏发电项目二次选址的意见</w:t>
      </w:r>
      <w:bookmarkEnd w:id="94"/>
    </w:p>
    <w:p w14:paraId="0294E9B6">
      <w:pPr>
        <w:ind w:firstLine="480"/>
        <w:rPr>
          <w:color w:val="auto"/>
          <w:szCs w:val="28"/>
        </w:rPr>
      </w:pPr>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6</w:t>
      </w:r>
      <w:r>
        <w:rPr>
          <w:color w:val="auto"/>
          <w:szCs w:val="28"/>
        </w:rPr>
        <w:fldChar w:fldCharType="end"/>
      </w:r>
      <w:r>
        <w:rPr>
          <w:rFonts w:hint="eastAsia"/>
          <w:color w:val="auto"/>
          <w:szCs w:val="28"/>
        </w:rPr>
        <w:t>：</w:t>
      </w:r>
      <w:bookmarkStart w:id="95" w:name="_Ref218696542"/>
      <w:r>
        <w:rPr>
          <w:rFonts w:hint="eastAsia"/>
          <w:color w:val="auto"/>
          <w:szCs w:val="28"/>
        </w:rPr>
        <w:t>南涧彝族自治县水务局关于对沙乐光伏发电项目二次选址意见的复函</w:t>
      </w:r>
      <w:bookmarkEnd w:id="95"/>
    </w:p>
    <w:p w14:paraId="02418E6C">
      <w:pPr>
        <w:ind w:firstLine="480"/>
        <w:rPr>
          <w:color w:val="auto"/>
        </w:rPr>
      </w:pPr>
      <w:bookmarkStart w:id="96" w:name="_Ref218541429"/>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7</w:t>
      </w:r>
      <w:r>
        <w:rPr>
          <w:color w:val="auto"/>
          <w:szCs w:val="28"/>
        </w:rPr>
        <w:fldChar w:fldCharType="end"/>
      </w:r>
      <w:bookmarkEnd w:id="96"/>
      <w:r>
        <w:rPr>
          <w:rFonts w:hint="eastAsia"/>
          <w:color w:val="auto"/>
          <w:szCs w:val="28"/>
        </w:rPr>
        <w:t>：</w:t>
      </w:r>
      <w:bookmarkStart w:id="97" w:name="_Ref218624242"/>
      <w:r>
        <w:rPr>
          <w:rFonts w:hint="eastAsia"/>
          <w:color w:val="auto"/>
        </w:rPr>
        <w:t>云南无量山国家级自然保护区南涧管护局关于沙乐光伏发电项目二次选址意见的复函</w:t>
      </w:r>
      <w:bookmarkEnd w:id="97"/>
    </w:p>
    <w:p w14:paraId="25D6A616">
      <w:pPr>
        <w:ind w:firstLine="480"/>
        <w:rPr>
          <w:color w:val="auto"/>
          <w:szCs w:val="28"/>
        </w:rPr>
      </w:pPr>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8</w:t>
      </w:r>
      <w:r>
        <w:rPr>
          <w:color w:val="auto"/>
          <w:szCs w:val="28"/>
        </w:rPr>
        <w:fldChar w:fldCharType="end"/>
      </w:r>
      <w:r>
        <w:rPr>
          <w:rFonts w:hint="eastAsia"/>
          <w:color w:val="auto"/>
          <w:szCs w:val="28"/>
        </w:rPr>
        <w:t>：声环境现状质量检测报告</w:t>
      </w:r>
    </w:p>
    <w:p w14:paraId="36AE71F6">
      <w:pPr>
        <w:ind w:firstLine="480"/>
        <w:rPr>
          <w:color w:val="auto"/>
          <w:szCs w:val="28"/>
        </w:rPr>
      </w:pPr>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9</w:t>
      </w:r>
      <w:r>
        <w:rPr>
          <w:color w:val="auto"/>
          <w:szCs w:val="28"/>
        </w:rPr>
        <w:fldChar w:fldCharType="end"/>
      </w:r>
      <w:r>
        <w:rPr>
          <w:rFonts w:hint="eastAsia"/>
          <w:color w:val="auto"/>
          <w:szCs w:val="28"/>
        </w:rPr>
        <w:t>：内部审核单</w:t>
      </w:r>
    </w:p>
    <w:p w14:paraId="5D56BE49">
      <w:pPr>
        <w:ind w:firstLine="480"/>
        <w:rPr>
          <w:color w:val="auto"/>
          <w:szCs w:val="28"/>
        </w:rPr>
      </w:pPr>
      <w:bookmarkStart w:id="98" w:name="_Hlk176979729"/>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10</w:t>
      </w:r>
      <w:r>
        <w:rPr>
          <w:color w:val="auto"/>
          <w:szCs w:val="28"/>
        </w:rPr>
        <w:fldChar w:fldCharType="end"/>
      </w:r>
      <w:r>
        <w:rPr>
          <w:rFonts w:hint="eastAsia"/>
          <w:color w:val="auto"/>
          <w:szCs w:val="28"/>
        </w:rPr>
        <w:t>：工作进度管理表</w:t>
      </w:r>
    </w:p>
    <w:bookmarkEnd w:id="98"/>
    <w:p w14:paraId="63CEE124">
      <w:pPr>
        <w:ind w:firstLine="480"/>
        <w:rPr>
          <w:color w:val="auto"/>
        </w:rPr>
      </w:pPr>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11</w:t>
      </w:r>
      <w:r>
        <w:rPr>
          <w:color w:val="auto"/>
          <w:szCs w:val="28"/>
        </w:rPr>
        <w:fldChar w:fldCharType="end"/>
      </w:r>
      <w:r>
        <w:rPr>
          <w:rFonts w:hint="eastAsia"/>
          <w:color w:val="auto"/>
          <w:szCs w:val="28"/>
        </w:rPr>
        <w:t>：</w:t>
      </w:r>
      <w:r>
        <w:rPr>
          <w:rFonts w:hint="eastAsia"/>
          <w:color w:val="auto"/>
        </w:rPr>
        <w:t>项目合同</w:t>
      </w:r>
    </w:p>
    <w:p w14:paraId="438DB8B6">
      <w:pPr>
        <w:ind w:firstLine="480"/>
        <w:rPr>
          <w:color w:val="auto"/>
          <w:szCs w:val="28"/>
        </w:rPr>
      </w:pPr>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12</w:t>
      </w:r>
      <w:r>
        <w:rPr>
          <w:color w:val="auto"/>
          <w:szCs w:val="28"/>
        </w:rPr>
        <w:fldChar w:fldCharType="end"/>
      </w:r>
      <w:r>
        <w:rPr>
          <w:rFonts w:hint="eastAsia"/>
          <w:color w:val="auto"/>
          <w:szCs w:val="28"/>
        </w:rPr>
        <w:t>：《大理白族自治州生态环境局关于沙乐光伏发电项目环境影响报告表的批复》（大环审〔2025〕58号）</w:t>
      </w:r>
    </w:p>
    <w:p w14:paraId="4AF15D38">
      <w:pPr>
        <w:ind w:firstLine="480"/>
        <w:rPr>
          <w:color w:val="auto"/>
        </w:rPr>
      </w:pPr>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13</w:t>
      </w:r>
      <w:r>
        <w:rPr>
          <w:color w:val="auto"/>
          <w:szCs w:val="28"/>
        </w:rPr>
        <w:fldChar w:fldCharType="end"/>
      </w:r>
      <w:r>
        <w:rPr>
          <w:rFonts w:hint="eastAsia"/>
          <w:color w:val="auto"/>
          <w:szCs w:val="28"/>
        </w:rPr>
        <w:t>：</w:t>
      </w:r>
      <w:bookmarkStart w:id="99" w:name="_Ref219124254"/>
      <w:r>
        <w:rPr>
          <w:rFonts w:hint="eastAsia"/>
          <w:color w:val="auto"/>
          <w:szCs w:val="28"/>
        </w:rPr>
        <w:t>《</w:t>
      </w:r>
      <w:r>
        <w:rPr>
          <w:rFonts w:hint="eastAsia"/>
          <w:color w:val="auto"/>
        </w:rPr>
        <w:t>大理白族自治州生态环境局关于德安光伏发电项目环境影响报告表的批复</w:t>
      </w:r>
      <w:r>
        <w:rPr>
          <w:rFonts w:hint="eastAsia"/>
          <w:color w:val="auto"/>
          <w:szCs w:val="28"/>
        </w:rPr>
        <w:t>》</w:t>
      </w:r>
      <w:r>
        <w:rPr>
          <w:rFonts w:hint="eastAsia"/>
          <w:color w:val="auto"/>
        </w:rPr>
        <w:t>（大环审〔2025〕55号）</w:t>
      </w:r>
      <w:bookmarkEnd w:id="99"/>
    </w:p>
    <w:p w14:paraId="19BAB905">
      <w:pPr>
        <w:ind w:firstLine="480"/>
        <w:rPr>
          <w:color w:val="auto"/>
          <w:szCs w:val="28"/>
        </w:rPr>
      </w:pPr>
      <w:bookmarkStart w:id="100" w:name="OLE_LINK18"/>
      <w:r>
        <w:rPr>
          <w:rFonts w:hint="eastAsia"/>
          <w:color w:val="auto"/>
          <w:szCs w:val="28"/>
        </w:rPr>
        <w:t>附件</w:t>
      </w:r>
      <w:r>
        <w:rPr>
          <w:color w:val="auto"/>
          <w:szCs w:val="28"/>
        </w:rPr>
        <w:t xml:space="preserve"> </w:t>
      </w:r>
      <w:r>
        <w:rPr>
          <w:color w:val="auto"/>
          <w:szCs w:val="28"/>
        </w:rPr>
        <w:fldChar w:fldCharType="begin"/>
      </w:r>
      <w:r>
        <w:rPr>
          <w:color w:val="auto"/>
          <w:szCs w:val="28"/>
        </w:rPr>
        <w:instrText xml:space="preserve"> SEQ </w:instrText>
      </w:r>
      <w:r>
        <w:rPr>
          <w:rFonts w:hint="eastAsia"/>
          <w:color w:val="auto"/>
          <w:szCs w:val="28"/>
        </w:rPr>
        <w:instrText xml:space="preserve">附件</w:instrText>
      </w:r>
      <w:r>
        <w:rPr>
          <w:color w:val="auto"/>
          <w:szCs w:val="28"/>
        </w:rPr>
        <w:instrText xml:space="preserve"> \* ARABIC </w:instrText>
      </w:r>
      <w:r>
        <w:rPr>
          <w:color w:val="auto"/>
          <w:szCs w:val="28"/>
        </w:rPr>
        <w:fldChar w:fldCharType="separate"/>
      </w:r>
      <w:r>
        <w:rPr>
          <w:color w:val="auto"/>
          <w:szCs w:val="28"/>
        </w:rPr>
        <w:t>14</w:t>
      </w:r>
      <w:r>
        <w:rPr>
          <w:color w:val="auto"/>
          <w:szCs w:val="28"/>
        </w:rPr>
        <w:fldChar w:fldCharType="end"/>
      </w:r>
      <w:r>
        <w:rPr>
          <w:rFonts w:hint="eastAsia"/>
          <w:color w:val="auto"/>
          <w:szCs w:val="28"/>
        </w:rPr>
        <w:t>：环境空气环境现状质量检测报告</w:t>
      </w:r>
    </w:p>
    <w:bookmarkEnd w:id="100"/>
    <w:p w14:paraId="29BF675F">
      <w:pPr>
        <w:pStyle w:val="2"/>
        <w:numPr>
          <w:ilvl w:val="0"/>
          <w:numId w:val="0"/>
        </w:numPr>
        <w:spacing w:before="120" w:after="120"/>
        <w:rPr>
          <w:color w:val="auto"/>
        </w:rPr>
      </w:pPr>
      <w:bookmarkStart w:id="101" w:name="_Toc218597749"/>
      <w:bookmarkStart w:id="102" w:name="_Toc218698786"/>
      <w:r>
        <w:rPr>
          <w:rFonts w:hint="eastAsia"/>
          <w:color w:val="auto"/>
        </w:rPr>
        <w:t>目录</w:t>
      </w:r>
      <w:bookmarkEnd w:id="101"/>
      <w:bookmarkEnd w:id="102"/>
    </w:p>
    <w:p w14:paraId="456B8850">
      <w:pPr>
        <w:pStyle w:val="27"/>
        <w:tabs>
          <w:tab w:val="right" w:leader="dot" w:pos="8302"/>
        </w:tabs>
        <w:rPr>
          <w:rFonts w:hint="eastAsia" w:asciiTheme="minorHAnsi" w:hAnsiTheme="minorHAnsi" w:eastAsiaTheme="minorEastAsia"/>
          <w:b w:val="0"/>
          <w:color w:val="auto"/>
          <w:sz w:val="22"/>
          <w:szCs w:val="24"/>
          <w14:ligatures w14:val="standardContextual"/>
        </w:rPr>
      </w:pPr>
      <w:r>
        <w:rPr>
          <w:color w:val="auto"/>
        </w:rPr>
        <w:fldChar w:fldCharType="begin"/>
      </w:r>
      <w:r>
        <w:rPr>
          <w:color w:val="auto"/>
        </w:rPr>
        <w:instrText xml:space="preserve"> TOC \o "1-1" \h \z \u </w:instrText>
      </w:r>
      <w:r>
        <w:rPr>
          <w:color w:val="auto"/>
        </w:rPr>
        <w:fldChar w:fldCharType="separate"/>
      </w:r>
      <w:r>
        <w:rPr>
          <w:color w:val="auto"/>
        </w:rPr>
        <w:fldChar w:fldCharType="begin"/>
      </w:r>
      <w:r>
        <w:rPr>
          <w:color w:val="auto"/>
        </w:rPr>
        <w:instrText xml:space="preserve"> HYPERLINK \l "_Toc218698788" </w:instrText>
      </w:r>
      <w:r>
        <w:rPr>
          <w:color w:val="auto"/>
        </w:rPr>
        <w:fldChar w:fldCharType="separate"/>
      </w:r>
      <w:r>
        <w:rPr>
          <w:rStyle w:val="46"/>
          <w:rFonts w:hint="eastAsia"/>
          <w:color w:val="auto"/>
        </w:rPr>
        <w:t>一 、建设项目基本情况</w:t>
      </w:r>
      <w:r>
        <w:rPr>
          <w:rFonts w:hint="eastAsia"/>
          <w:color w:val="auto"/>
        </w:rPr>
        <w:tab/>
      </w:r>
      <w:r>
        <w:rPr>
          <w:rFonts w:hint="eastAsia"/>
          <w:color w:val="auto"/>
        </w:rPr>
        <w:fldChar w:fldCharType="begin"/>
      </w:r>
      <w:r>
        <w:rPr>
          <w:rFonts w:hint="eastAsia"/>
          <w:color w:val="auto"/>
        </w:rPr>
        <w:instrText xml:space="preserve"> </w:instrText>
      </w:r>
      <w:r>
        <w:rPr>
          <w:color w:val="auto"/>
        </w:rPr>
        <w:instrText xml:space="preserve">PAGEREF _Toc218698788 \h</w:instrText>
      </w:r>
      <w:r>
        <w:rPr>
          <w:rFonts w:hint="eastAsia"/>
          <w:color w:val="auto"/>
        </w:rPr>
        <w:instrText xml:space="preserve"> </w:instrText>
      </w:r>
      <w:r>
        <w:rPr>
          <w:rFonts w:hint="eastAsia"/>
          <w:color w:val="auto"/>
        </w:rPr>
        <w:fldChar w:fldCharType="separate"/>
      </w:r>
      <w:r>
        <w:rPr>
          <w:color w:val="auto"/>
        </w:rPr>
        <w:t>1</w:t>
      </w:r>
      <w:r>
        <w:rPr>
          <w:rFonts w:hint="eastAsia"/>
          <w:color w:val="auto"/>
        </w:rPr>
        <w:fldChar w:fldCharType="end"/>
      </w:r>
      <w:r>
        <w:rPr>
          <w:rFonts w:hint="eastAsia"/>
          <w:color w:val="auto"/>
        </w:rPr>
        <w:fldChar w:fldCharType="end"/>
      </w:r>
    </w:p>
    <w:p w14:paraId="49594904">
      <w:pPr>
        <w:pStyle w:val="27"/>
        <w:tabs>
          <w:tab w:val="right" w:leader="dot" w:pos="8302"/>
        </w:tabs>
        <w:rPr>
          <w:rFonts w:hint="eastAsia" w:asciiTheme="minorHAnsi" w:hAnsiTheme="minorHAnsi" w:eastAsiaTheme="minorEastAsia"/>
          <w:b w:val="0"/>
          <w:color w:val="auto"/>
          <w:sz w:val="22"/>
          <w:szCs w:val="24"/>
          <w14:ligatures w14:val="standardContextual"/>
        </w:rPr>
      </w:pPr>
      <w:r>
        <w:rPr>
          <w:color w:val="auto"/>
        </w:rPr>
        <w:fldChar w:fldCharType="begin"/>
      </w:r>
      <w:r>
        <w:rPr>
          <w:color w:val="auto"/>
        </w:rPr>
        <w:instrText xml:space="preserve"> HYPERLINK \l "_Toc218698789" </w:instrText>
      </w:r>
      <w:r>
        <w:rPr>
          <w:color w:val="auto"/>
        </w:rPr>
        <w:fldChar w:fldCharType="separate"/>
      </w:r>
      <w:r>
        <w:rPr>
          <w:rStyle w:val="46"/>
          <w:rFonts w:hint="eastAsia"/>
          <w:color w:val="auto"/>
        </w:rPr>
        <w:t>二 、建设内容</w:t>
      </w:r>
      <w:r>
        <w:rPr>
          <w:rFonts w:hint="eastAsia"/>
          <w:color w:val="auto"/>
        </w:rPr>
        <w:tab/>
      </w:r>
      <w:r>
        <w:rPr>
          <w:rFonts w:hint="eastAsia"/>
          <w:color w:val="auto"/>
        </w:rPr>
        <w:fldChar w:fldCharType="begin"/>
      </w:r>
      <w:r>
        <w:rPr>
          <w:rFonts w:hint="eastAsia"/>
          <w:color w:val="auto"/>
        </w:rPr>
        <w:instrText xml:space="preserve"> </w:instrText>
      </w:r>
      <w:r>
        <w:rPr>
          <w:color w:val="auto"/>
        </w:rPr>
        <w:instrText xml:space="preserve">PAGEREF _Toc218698789 \h</w:instrText>
      </w:r>
      <w:r>
        <w:rPr>
          <w:rFonts w:hint="eastAsia"/>
          <w:color w:val="auto"/>
        </w:rPr>
        <w:instrText xml:space="preserve"> </w:instrText>
      </w:r>
      <w:r>
        <w:rPr>
          <w:rFonts w:hint="eastAsia"/>
          <w:color w:val="auto"/>
        </w:rPr>
        <w:fldChar w:fldCharType="separate"/>
      </w:r>
      <w:r>
        <w:rPr>
          <w:color w:val="auto"/>
        </w:rPr>
        <w:t>39</w:t>
      </w:r>
      <w:r>
        <w:rPr>
          <w:rFonts w:hint="eastAsia"/>
          <w:color w:val="auto"/>
        </w:rPr>
        <w:fldChar w:fldCharType="end"/>
      </w:r>
      <w:r>
        <w:rPr>
          <w:rFonts w:hint="eastAsia"/>
          <w:color w:val="auto"/>
        </w:rPr>
        <w:fldChar w:fldCharType="end"/>
      </w:r>
    </w:p>
    <w:p w14:paraId="01530423">
      <w:pPr>
        <w:pStyle w:val="27"/>
        <w:tabs>
          <w:tab w:val="right" w:leader="dot" w:pos="8302"/>
        </w:tabs>
        <w:rPr>
          <w:rFonts w:hint="eastAsia" w:asciiTheme="minorHAnsi" w:hAnsiTheme="minorHAnsi" w:eastAsiaTheme="minorEastAsia"/>
          <w:b w:val="0"/>
          <w:color w:val="auto"/>
          <w:sz w:val="22"/>
          <w:szCs w:val="24"/>
          <w14:ligatures w14:val="standardContextual"/>
        </w:rPr>
      </w:pPr>
      <w:r>
        <w:rPr>
          <w:color w:val="auto"/>
        </w:rPr>
        <w:fldChar w:fldCharType="begin"/>
      </w:r>
      <w:r>
        <w:rPr>
          <w:color w:val="auto"/>
        </w:rPr>
        <w:instrText xml:space="preserve"> HYPERLINK \l "_Toc218698790" </w:instrText>
      </w:r>
      <w:r>
        <w:rPr>
          <w:color w:val="auto"/>
        </w:rPr>
        <w:fldChar w:fldCharType="separate"/>
      </w:r>
      <w:r>
        <w:rPr>
          <w:rStyle w:val="46"/>
          <w:rFonts w:hint="eastAsia"/>
          <w:color w:val="auto"/>
        </w:rPr>
        <w:t>三 、生态环境现状、保护目标及评价标准</w:t>
      </w:r>
      <w:r>
        <w:rPr>
          <w:rFonts w:hint="eastAsia"/>
          <w:color w:val="auto"/>
        </w:rPr>
        <w:tab/>
      </w:r>
      <w:r>
        <w:rPr>
          <w:rFonts w:hint="eastAsia"/>
          <w:color w:val="auto"/>
        </w:rPr>
        <w:fldChar w:fldCharType="begin"/>
      </w:r>
      <w:r>
        <w:rPr>
          <w:rFonts w:hint="eastAsia"/>
          <w:color w:val="auto"/>
        </w:rPr>
        <w:instrText xml:space="preserve"> </w:instrText>
      </w:r>
      <w:r>
        <w:rPr>
          <w:color w:val="auto"/>
        </w:rPr>
        <w:instrText xml:space="preserve">PAGEREF _Toc218698790 \h</w:instrText>
      </w:r>
      <w:r>
        <w:rPr>
          <w:rFonts w:hint="eastAsia"/>
          <w:color w:val="auto"/>
        </w:rPr>
        <w:instrText xml:space="preserve"> </w:instrText>
      </w:r>
      <w:r>
        <w:rPr>
          <w:rFonts w:hint="eastAsia"/>
          <w:color w:val="auto"/>
        </w:rPr>
        <w:fldChar w:fldCharType="separate"/>
      </w:r>
      <w:r>
        <w:rPr>
          <w:color w:val="auto"/>
        </w:rPr>
        <w:t>88</w:t>
      </w:r>
      <w:r>
        <w:rPr>
          <w:rFonts w:hint="eastAsia"/>
          <w:color w:val="auto"/>
        </w:rPr>
        <w:fldChar w:fldCharType="end"/>
      </w:r>
      <w:r>
        <w:rPr>
          <w:rFonts w:hint="eastAsia"/>
          <w:color w:val="auto"/>
        </w:rPr>
        <w:fldChar w:fldCharType="end"/>
      </w:r>
    </w:p>
    <w:p w14:paraId="68D2527B">
      <w:pPr>
        <w:pStyle w:val="27"/>
        <w:tabs>
          <w:tab w:val="right" w:leader="dot" w:pos="8302"/>
        </w:tabs>
        <w:rPr>
          <w:rFonts w:hint="eastAsia" w:asciiTheme="minorHAnsi" w:hAnsiTheme="minorHAnsi" w:eastAsiaTheme="minorEastAsia"/>
          <w:b w:val="0"/>
          <w:color w:val="auto"/>
          <w:sz w:val="22"/>
          <w:szCs w:val="24"/>
          <w14:ligatures w14:val="standardContextual"/>
        </w:rPr>
      </w:pPr>
      <w:r>
        <w:rPr>
          <w:color w:val="auto"/>
        </w:rPr>
        <w:fldChar w:fldCharType="begin"/>
      </w:r>
      <w:r>
        <w:rPr>
          <w:color w:val="auto"/>
        </w:rPr>
        <w:instrText xml:space="preserve"> HYPERLINK \l "_Toc218698791" </w:instrText>
      </w:r>
      <w:r>
        <w:rPr>
          <w:color w:val="auto"/>
        </w:rPr>
        <w:fldChar w:fldCharType="separate"/>
      </w:r>
      <w:r>
        <w:rPr>
          <w:rStyle w:val="46"/>
          <w:rFonts w:hint="eastAsia"/>
          <w:color w:val="auto"/>
        </w:rPr>
        <w:t>四 、生态环境影响分析</w:t>
      </w:r>
      <w:r>
        <w:rPr>
          <w:rFonts w:hint="eastAsia"/>
          <w:color w:val="auto"/>
        </w:rPr>
        <w:tab/>
      </w:r>
      <w:r>
        <w:rPr>
          <w:rFonts w:hint="eastAsia"/>
          <w:color w:val="auto"/>
        </w:rPr>
        <w:fldChar w:fldCharType="begin"/>
      </w:r>
      <w:r>
        <w:rPr>
          <w:rFonts w:hint="eastAsia"/>
          <w:color w:val="auto"/>
        </w:rPr>
        <w:instrText xml:space="preserve"> </w:instrText>
      </w:r>
      <w:r>
        <w:rPr>
          <w:color w:val="auto"/>
        </w:rPr>
        <w:instrText xml:space="preserve">PAGEREF _Toc218698791 \h</w:instrText>
      </w:r>
      <w:r>
        <w:rPr>
          <w:rFonts w:hint="eastAsia"/>
          <w:color w:val="auto"/>
        </w:rPr>
        <w:instrText xml:space="preserve"> </w:instrText>
      </w:r>
      <w:r>
        <w:rPr>
          <w:rFonts w:hint="eastAsia"/>
          <w:color w:val="auto"/>
        </w:rPr>
        <w:fldChar w:fldCharType="separate"/>
      </w:r>
      <w:r>
        <w:rPr>
          <w:color w:val="auto"/>
        </w:rPr>
        <w:t>120</w:t>
      </w:r>
      <w:r>
        <w:rPr>
          <w:rFonts w:hint="eastAsia"/>
          <w:color w:val="auto"/>
        </w:rPr>
        <w:fldChar w:fldCharType="end"/>
      </w:r>
      <w:r>
        <w:rPr>
          <w:rFonts w:hint="eastAsia"/>
          <w:color w:val="auto"/>
        </w:rPr>
        <w:fldChar w:fldCharType="end"/>
      </w:r>
    </w:p>
    <w:p w14:paraId="67B3397C">
      <w:pPr>
        <w:pStyle w:val="27"/>
        <w:tabs>
          <w:tab w:val="right" w:leader="dot" w:pos="8302"/>
        </w:tabs>
        <w:rPr>
          <w:rFonts w:hint="eastAsia" w:asciiTheme="minorHAnsi" w:hAnsiTheme="minorHAnsi" w:eastAsiaTheme="minorEastAsia"/>
          <w:b w:val="0"/>
          <w:color w:val="auto"/>
          <w:sz w:val="22"/>
          <w:szCs w:val="24"/>
          <w14:ligatures w14:val="standardContextual"/>
        </w:rPr>
      </w:pPr>
      <w:r>
        <w:rPr>
          <w:color w:val="auto"/>
        </w:rPr>
        <w:fldChar w:fldCharType="begin"/>
      </w:r>
      <w:r>
        <w:rPr>
          <w:color w:val="auto"/>
        </w:rPr>
        <w:instrText xml:space="preserve"> HYPERLINK \l "_Toc218698792" </w:instrText>
      </w:r>
      <w:r>
        <w:rPr>
          <w:color w:val="auto"/>
        </w:rPr>
        <w:fldChar w:fldCharType="separate"/>
      </w:r>
      <w:r>
        <w:rPr>
          <w:rStyle w:val="46"/>
          <w:rFonts w:hint="eastAsia"/>
          <w:color w:val="auto"/>
        </w:rPr>
        <w:t>五 、主要生态环境保护措施</w:t>
      </w:r>
      <w:r>
        <w:rPr>
          <w:rFonts w:hint="eastAsia"/>
          <w:color w:val="auto"/>
        </w:rPr>
        <w:tab/>
      </w:r>
      <w:r>
        <w:rPr>
          <w:rFonts w:hint="eastAsia"/>
          <w:color w:val="auto"/>
        </w:rPr>
        <w:fldChar w:fldCharType="begin"/>
      </w:r>
      <w:r>
        <w:rPr>
          <w:rFonts w:hint="eastAsia"/>
          <w:color w:val="auto"/>
        </w:rPr>
        <w:instrText xml:space="preserve"> </w:instrText>
      </w:r>
      <w:r>
        <w:rPr>
          <w:color w:val="auto"/>
        </w:rPr>
        <w:instrText xml:space="preserve">PAGEREF _Toc218698792 \h</w:instrText>
      </w:r>
      <w:r>
        <w:rPr>
          <w:rFonts w:hint="eastAsia"/>
          <w:color w:val="auto"/>
        </w:rPr>
        <w:instrText xml:space="preserve"> </w:instrText>
      </w:r>
      <w:r>
        <w:rPr>
          <w:rFonts w:hint="eastAsia"/>
          <w:color w:val="auto"/>
        </w:rPr>
        <w:fldChar w:fldCharType="separate"/>
      </w:r>
      <w:r>
        <w:rPr>
          <w:color w:val="auto"/>
        </w:rPr>
        <w:t>165</w:t>
      </w:r>
      <w:r>
        <w:rPr>
          <w:rFonts w:hint="eastAsia"/>
          <w:color w:val="auto"/>
        </w:rPr>
        <w:fldChar w:fldCharType="end"/>
      </w:r>
      <w:r>
        <w:rPr>
          <w:rFonts w:hint="eastAsia"/>
          <w:color w:val="auto"/>
        </w:rPr>
        <w:fldChar w:fldCharType="end"/>
      </w:r>
    </w:p>
    <w:p w14:paraId="61B13890">
      <w:pPr>
        <w:pStyle w:val="27"/>
        <w:tabs>
          <w:tab w:val="right" w:leader="dot" w:pos="8302"/>
        </w:tabs>
        <w:rPr>
          <w:rFonts w:hint="eastAsia" w:asciiTheme="minorHAnsi" w:hAnsiTheme="minorHAnsi" w:eastAsiaTheme="minorEastAsia"/>
          <w:b w:val="0"/>
          <w:color w:val="auto"/>
          <w:sz w:val="22"/>
          <w:szCs w:val="24"/>
          <w14:ligatures w14:val="standardContextual"/>
        </w:rPr>
      </w:pPr>
      <w:r>
        <w:rPr>
          <w:color w:val="auto"/>
        </w:rPr>
        <w:fldChar w:fldCharType="begin"/>
      </w:r>
      <w:r>
        <w:rPr>
          <w:color w:val="auto"/>
        </w:rPr>
        <w:instrText xml:space="preserve"> HYPERLINK \l "_Toc218698793" </w:instrText>
      </w:r>
      <w:r>
        <w:rPr>
          <w:color w:val="auto"/>
        </w:rPr>
        <w:fldChar w:fldCharType="separate"/>
      </w:r>
      <w:r>
        <w:rPr>
          <w:rStyle w:val="46"/>
          <w:rFonts w:hint="eastAsia"/>
          <w:color w:val="auto"/>
        </w:rPr>
        <w:t>六 、生态环境保护措施监督检查清单</w:t>
      </w:r>
      <w:r>
        <w:rPr>
          <w:rFonts w:hint="eastAsia"/>
          <w:color w:val="auto"/>
        </w:rPr>
        <w:tab/>
      </w:r>
      <w:r>
        <w:rPr>
          <w:rFonts w:hint="eastAsia"/>
          <w:color w:val="auto"/>
        </w:rPr>
        <w:fldChar w:fldCharType="begin"/>
      </w:r>
      <w:r>
        <w:rPr>
          <w:rFonts w:hint="eastAsia"/>
          <w:color w:val="auto"/>
        </w:rPr>
        <w:instrText xml:space="preserve"> </w:instrText>
      </w:r>
      <w:r>
        <w:rPr>
          <w:color w:val="auto"/>
        </w:rPr>
        <w:instrText xml:space="preserve">PAGEREF _Toc218698793 \h</w:instrText>
      </w:r>
      <w:r>
        <w:rPr>
          <w:rFonts w:hint="eastAsia"/>
          <w:color w:val="auto"/>
        </w:rPr>
        <w:instrText xml:space="preserve"> </w:instrText>
      </w:r>
      <w:r>
        <w:rPr>
          <w:rFonts w:hint="eastAsia"/>
          <w:color w:val="auto"/>
        </w:rPr>
        <w:fldChar w:fldCharType="separate"/>
      </w:r>
      <w:r>
        <w:rPr>
          <w:color w:val="auto"/>
        </w:rPr>
        <w:t>182</w:t>
      </w:r>
      <w:r>
        <w:rPr>
          <w:rFonts w:hint="eastAsia"/>
          <w:color w:val="auto"/>
        </w:rPr>
        <w:fldChar w:fldCharType="end"/>
      </w:r>
      <w:r>
        <w:rPr>
          <w:rFonts w:hint="eastAsia"/>
          <w:color w:val="auto"/>
        </w:rPr>
        <w:fldChar w:fldCharType="end"/>
      </w:r>
    </w:p>
    <w:p w14:paraId="66D3E971">
      <w:pPr>
        <w:pStyle w:val="27"/>
        <w:tabs>
          <w:tab w:val="right" w:leader="dot" w:pos="8302"/>
        </w:tabs>
        <w:rPr>
          <w:rFonts w:hint="eastAsia" w:asciiTheme="minorHAnsi" w:hAnsiTheme="minorHAnsi" w:eastAsiaTheme="minorEastAsia"/>
          <w:b w:val="0"/>
          <w:color w:val="auto"/>
          <w:sz w:val="22"/>
          <w:szCs w:val="24"/>
          <w14:ligatures w14:val="standardContextual"/>
        </w:rPr>
      </w:pPr>
      <w:r>
        <w:rPr>
          <w:color w:val="auto"/>
        </w:rPr>
        <w:fldChar w:fldCharType="begin"/>
      </w:r>
      <w:r>
        <w:rPr>
          <w:color w:val="auto"/>
        </w:rPr>
        <w:instrText xml:space="preserve"> HYPERLINK \l "_Toc218698794" </w:instrText>
      </w:r>
      <w:r>
        <w:rPr>
          <w:color w:val="auto"/>
        </w:rPr>
        <w:fldChar w:fldCharType="separate"/>
      </w:r>
      <w:r>
        <w:rPr>
          <w:rStyle w:val="46"/>
          <w:rFonts w:hint="eastAsia"/>
          <w:color w:val="auto"/>
        </w:rPr>
        <w:t>七、结论</w:t>
      </w:r>
      <w:r>
        <w:rPr>
          <w:rFonts w:hint="eastAsia"/>
          <w:color w:val="auto"/>
        </w:rPr>
        <w:tab/>
      </w:r>
      <w:r>
        <w:rPr>
          <w:rFonts w:hint="eastAsia"/>
          <w:color w:val="auto"/>
        </w:rPr>
        <w:fldChar w:fldCharType="begin"/>
      </w:r>
      <w:r>
        <w:rPr>
          <w:rFonts w:hint="eastAsia"/>
          <w:color w:val="auto"/>
        </w:rPr>
        <w:instrText xml:space="preserve"> </w:instrText>
      </w:r>
      <w:r>
        <w:rPr>
          <w:color w:val="auto"/>
        </w:rPr>
        <w:instrText xml:space="preserve">PAGEREF _Toc218698794 \h</w:instrText>
      </w:r>
      <w:r>
        <w:rPr>
          <w:rFonts w:hint="eastAsia"/>
          <w:color w:val="auto"/>
        </w:rPr>
        <w:instrText xml:space="preserve"> </w:instrText>
      </w:r>
      <w:r>
        <w:rPr>
          <w:rFonts w:hint="eastAsia"/>
          <w:color w:val="auto"/>
        </w:rPr>
        <w:fldChar w:fldCharType="separate"/>
      </w:r>
      <w:r>
        <w:rPr>
          <w:color w:val="auto"/>
        </w:rPr>
        <w:t>188</w:t>
      </w:r>
      <w:r>
        <w:rPr>
          <w:rFonts w:hint="eastAsia"/>
          <w:color w:val="auto"/>
        </w:rPr>
        <w:fldChar w:fldCharType="end"/>
      </w:r>
      <w:r>
        <w:rPr>
          <w:rFonts w:hint="eastAsia"/>
          <w:color w:val="auto"/>
        </w:rPr>
        <w:fldChar w:fldCharType="end"/>
      </w:r>
    </w:p>
    <w:p w14:paraId="34C68D8D">
      <w:pPr>
        <w:ind w:firstLine="480"/>
        <w:rPr>
          <w:color w:val="auto"/>
        </w:rPr>
      </w:pPr>
      <w:r>
        <w:rPr>
          <w:color w:val="auto"/>
        </w:rPr>
        <w:fldChar w:fldCharType="end"/>
      </w:r>
    </w:p>
    <w:p w14:paraId="62D08219">
      <w:pPr>
        <w:ind w:firstLine="480"/>
        <w:rPr>
          <w:color w:val="auto"/>
        </w:rPr>
      </w:pPr>
    </w:p>
    <w:p w14:paraId="4E396782">
      <w:pPr>
        <w:pStyle w:val="2"/>
        <w:numPr>
          <w:ilvl w:val="0"/>
          <w:numId w:val="0"/>
        </w:numPr>
        <w:spacing w:before="120" w:after="120"/>
        <w:rPr>
          <w:color w:val="auto"/>
        </w:rPr>
      </w:pPr>
      <w:bookmarkStart w:id="103" w:name="_Toc177072804"/>
      <w:bookmarkStart w:id="104" w:name="_Toc195804149"/>
      <w:bookmarkStart w:id="105" w:name="_Toc195890556"/>
      <w:bookmarkStart w:id="106" w:name="_Toc196121444"/>
      <w:bookmarkStart w:id="107" w:name="_Toc181293510"/>
      <w:bookmarkStart w:id="108" w:name="_Toc181732788"/>
      <w:bookmarkStart w:id="109" w:name="_Toc181738195"/>
      <w:bookmarkStart w:id="110" w:name="_Toc196121471"/>
      <w:bookmarkStart w:id="111" w:name="_Toc198653461"/>
      <w:bookmarkStart w:id="112" w:name="_Toc177482876"/>
      <w:bookmarkStart w:id="113" w:name="_Toc198676859"/>
      <w:bookmarkStart w:id="114" w:name="_Toc177488188"/>
      <w:bookmarkStart w:id="115" w:name="_Toc218698787"/>
      <w:bookmarkStart w:id="116" w:name="_Toc199346731"/>
      <w:bookmarkStart w:id="117" w:name="_Toc212667806"/>
      <w:bookmarkStart w:id="118" w:name="_Toc218597750"/>
      <w:r>
        <w:rPr>
          <w:rFonts w:hint="eastAsia"/>
          <w:color w:val="auto"/>
        </w:rPr>
        <w:t>前言</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83F7967">
      <w:pPr>
        <w:ind w:firstLine="480"/>
        <w:rPr>
          <w:color w:val="auto"/>
        </w:rPr>
      </w:pPr>
      <w:bookmarkStart w:id="119" w:name="OLE_LINK11"/>
      <w:bookmarkStart w:id="120" w:name="_Hlk156835041"/>
      <w:r>
        <w:rPr>
          <w:color w:val="auto"/>
        </w:rPr>
        <w:t>为贯彻落实省委、省政府有关工作部署，全面实施“3815”战略发展目标，持续提高我省能源安全保障水平，支撑经济社会发展，云南省发展和改革委员会、云南省能源局下发了</w:t>
      </w:r>
      <w:r>
        <w:rPr>
          <w:rFonts w:hint="eastAsia"/>
          <w:color w:val="auto"/>
        </w:rPr>
        <w:t>《云南省发展和改革委员会 云南省能源局关于印发云南省2025年第一批新能源项目开发建设方案的通知》</w:t>
      </w:r>
      <w:r>
        <w:rPr>
          <w:color w:val="auto"/>
        </w:rPr>
        <w:t>，要求组织实施新能源项目，本项目为实施方案内的工程。本项目的开发建设能有效的促进地方经济，带动光伏产业链的发展，落实国家实施碳达峰、碳中和的目标，具有良好的社会效益和经济效益，对于改善当地电网电源结构，推动云南省太阳能发电事业发展，开发可再生能源有着积极的意义。</w:t>
      </w:r>
      <w:r>
        <w:rPr>
          <w:rFonts w:hint="eastAsia"/>
          <w:color w:val="auto"/>
        </w:rPr>
        <w:t>在此背景下，华能澜沧江（南涧）新能源有限公司</w:t>
      </w:r>
      <w:r>
        <w:rPr>
          <w:color w:val="auto"/>
        </w:rPr>
        <w:t>（以下简称“建设单位”）</w:t>
      </w:r>
      <w:r>
        <w:rPr>
          <w:rFonts w:hint="eastAsia"/>
          <w:color w:val="auto"/>
        </w:rPr>
        <w:t>拟在云南省大理州南涧县</w:t>
      </w:r>
      <w:r>
        <w:rPr>
          <w:color w:val="auto"/>
        </w:rPr>
        <w:t>投资建设</w:t>
      </w:r>
      <w:r>
        <w:rPr>
          <w:rFonts w:hint="eastAsia"/>
          <w:color w:val="auto"/>
        </w:rPr>
        <w:t>沙乐光伏发电项目，并已取得南涧县发展和改革局关于项目投资备案证。</w:t>
      </w:r>
    </w:p>
    <w:p w14:paraId="16213EEF">
      <w:pPr>
        <w:ind w:firstLine="480"/>
        <w:rPr>
          <w:color w:val="auto"/>
        </w:rPr>
      </w:pPr>
      <w:r>
        <w:rPr>
          <w:color w:val="auto"/>
        </w:rPr>
        <w:t>建设单位</w:t>
      </w:r>
      <w:r>
        <w:rPr>
          <w:rFonts w:hint="eastAsia"/>
          <w:color w:val="auto"/>
        </w:rPr>
        <w:t>委托中国能源建设集团云南省电力设计院有限公司</w:t>
      </w:r>
      <w:bookmarkStart w:id="121" w:name="_Hlk209454888"/>
      <w:r>
        <w:rPr>
          <w:rFonts w:hint="eastAsia"/>
          <w:color w:val="auto"/>
        </w:rPr>
        <w:t>开展沙乐光伏发电项目环境影响评价报告编制以及审批工作</w:t>
      </w:r>
      <w:bookmarkEnd w:id="121"/>
      <w:r>
        <w:rPr>
          <w:rFonts w:hint="eastAsia"/>
          <w:color w:val="auto"/>
        </w:rPr>
        <w:t>，</w:t>
      </w:r>
      <w:bookmarkStart w:id="122" w:name="_Hlk209454897"/>
      <w:r>
        <w:rPr>
          <w:rFonts w:hint="eastAsia"/>
          <w:color w:val="auto"/>
        </w:rPr>
        <w:t>于</w:t>
      </w:r>
      <w:bookmarkStart w:id="123" w:name="_Hlk212134763"/>
      <w:r>
        <w:rPr>
          <w:rFonts w:hint="eastAsia"/>
          <w:color w:val="auto"/>
        </w:rPr>
        <w:t>2025年11月21日</w:t>
      </w:r>
      <w:bookmarkEnd w:id="123"/>
      <w:r>
        <w:rPr>
          <w:rFonts w:hint="eastAsia"/>
          <w:color w:val="auto"/>
        </w:rPr>
        <w:t>完成环评审批，并取得《大理白族自治州生态环境局关于沙乐光伏发电项目环境影响报告表的批复》（大环审〔2025〕58号）</w:t>
      </w:r>
      <w:bookmarkEnd w:id="122"/>
      <w:r>
        <w:rPr>
          <w:rFonts w:hint="eastAsia"/>
          <w:color w:val="auto"/>
        </w:rPr>
        <w:t>，原环评及批复内容为：项目位于南涧县公郎镇大平掌村、六保村、旧村、蚂蝗箐附近，额定装机容量为60MW（交流侧）。工程主要建设内容包括：（1）光伏方阵22个，配置逆变器188台和35kV升压箱变22台；（3）建设2回35kV集电线路接入同期建设的德安220kV升压站，场内集电线路总长为17.50km，采用电缆直埋与架空相结合方式敷设，架空路径约12.50km（单回路架设3.30km、双回路架设9.20km，塔基占地0.22hm</w:t>
      </w:r>
      <w:r>
        <w:rPr>
          <w:rFonts w:hint="eastAsia"/>
          <w:color w:val="auto"/>
          <w:vertAlign w:val="superscript"/>
        </w:rPr>
        <w:t>2</w:t>
      </w:r>
      <w:r>
        <w:rPr>
          <w:rFonts w:hint="eastAsia"/>
          <w:color w:val="auto"/>
        </w:rPr>
        <w:t>），电缆直埋路径约5.00km；（3）改扩建进场道路9.85km，场内改扩建道路4.95km，新建场内道路1.65km。工程总占地面积83.69hm</w:t>
      </w:r>
      <w:r>
        <w:rPr>
          <w:rFonts w:hint="eastAsia"/>
          <w:color w:val="auto"/>
          <w:vertAlign w:val="superscript"/>
        </w:rPr>
        <w:t>2</w:t>
      </w:r>
      <w:r>
        <w:rPr>
          <w:rFonts w:hint="eastAsia"/>
          <w:color w:val="auto"/>
        </w:rPr>
        <w:t>，其中永久占地面积0.28hm</w:t>
      </w:r>
      <w:r>
        <w:rPr>
          <w:rFonts w:hint="eastAsia"/>
          <w:color w:val="auto"/>
          <w:vertAlign w:val="superscript"/>
        </w:rPr>
        <w:t>2</w:t>
      </w:r>
      <w:r>
        <w:rPr>
          <w:rFonts w:hint="eastAsia"/>
          <w:color w:val="auto"/>
        </w:rPr>
        <w:t>，临时占地面积83.41hm</w:t>
      </w:r>
      <w:r>
        <w:rPr>
          <w:rFonts w:hint="eastAsia"/>
          <w:color w:val="auto"/>
          <w:vertAlign w:val="superscript"/>
        </w:rPr>
        <w:t>2</w:t>
      </w:r>
      <w:r>
        <w:rPr>
          <w:rFonts w:hint="eastAsia"/>
          <w:color w:val="auto"/>
        </w:rPr>
        <w:t>。工程总投资23948.55万元，其中环保投资180.10万元。</w:t>
      </w:r>
    </w:p>
    <w:p w14:paraId="4300AA0E">
      <w:pPr>
        <w:ind w:firstLine="480"/>
        <w:rPr>
          <w:color w:val="auto"/>
        </w:rPr>
      </w:pPr>
      <w:bookmarkStart w:id="124" w:name="_Hlk209454929"/>
      <w:r>
        <w:rPr>
          <w:rFonts w:hint="eastAsia"/>
          <w:color w:val="auto"/>
        </w:rPr>
        <w:t>《报告表》获批后，项目未开工建设。2025年12月，因项目部分用地涉及矿压，为了不影响矿产资源开发利用，需对项目占地范围进行调整。建设单位重新选址，</w:t>
      </w:r>
      <w:bookmarkStart w:id="125" w:name="_Hlk195625557"/>
      <w:bookmarkStart w:id="126" w:name="_Hlk214352038"/>
      <w:r>
        <w:rPr>
          <w:rFonts w:hint="eastAsia"/>
          <w:color w:val="auto"/>
        </w:rPr>
        <w:t>调整后项目建设规模为：</w:t>
      </w:r>
      <w:r>
        <w:rPr>
          <w:color w:val="auto"/>
        </w:rPr>
        <w:t>规划</w:t>
      </w:r>
      <w:r>
        <w:rPr>
          <w:rFonts w:hint="eastAsia"/>
          <w:color w:val="auto"/>
        </w:rPr>
        <w:t>交流侧</w:t>
      </w:r>
      <w:r>
        <w:rPr>
          <w:color w:val="auto"/>
        </w:rPr>
        <w:t>装机容量</w:t>
      </w:r>
      <w:r>
        <w:rPr>
          <w:rFonts w:hint="eastAsia"/>
          <w:color w:val="auto"/>
        </w:rPr>
        <w:t>60MW，直流侧</w:t>
      </w:r>
      <w:r>
        <w:rPr>
          <w:color w:val="auto"/>
        </w:rPr>
        <w:t>装机容量74.1524MWp，规划</w:t>
      </w:r>
      <w:r>
        <w:rPr>
          <w:rFonts w:hint="eastAsia"/>
          <w:color w:val="auto"/>
        </w:rPr>
        <w:t>22</w:t>
      </w:r>
      <w:r>
        <w:rPr>
          <w:color w:val="auto"/>
        </w:rPr>
        <w:t>个子方阵，</w:t>
      </w:r>
      <w:bookmarkEnd w:id="125"/>
      <w:bookmarkEnd w:id="126"/>
      <w:r>
        <w:rPr>
          <w:color w:val="auto"/>
        </w:rPr>
        <w:t>采用峰值功率为</w:t>
      </w:r>
      <w:r>
        <w:rPr>
          <w:rFonts w:hint="eastAsia"/>
          <w:color w:val="auto"/>
        </w:rPr>
        <w:t>71</w:t>
      </w:r>
      <w:r>
        <w:rPr>
          <w:color w:val="auto"/>
        </w:rPr>
        <w:t>0Wp的光伏组件104440块，</w:t>
      </w:r>
      <w:r>
        <w:rPr>
          <w:rFonts w:hint="eastAsia"/>
          <w:color w:val="auto"/>
        </w:rPr>
        <w:t>188</w:t>
      </w:r>
      <w:r>
        <w:rPr>
          <w:color w:val="auto"/>
        </w:rPr>
        <w:t>台320kW组串式逆变器，</w:t>
      </w:r>
      <w:r>
        <w:rPr>
          <w:rFonts w:hint="eastAsia"/>
          <w:color w:val="auto"/>
        </w:rPr>
        <w:t>22</w:t>
      </w:r>
      <w:r>
        <w:rPr>
          <w:color w:val="auto"/>
        </w:rPr>
        <w:t>台箱式变压器</w:t>
      </w:r>
      <w:r>
        <w:rPr>
          <w:rFonts w:hint="eastAsia"/>
          <w:color w:val="auto"/>
        </w:rPr>
        <w:t>，</w:t>
      </w:r>
      <w:r>
        <w:rPr>
          <w:color w:val="auto"/>
        </w:rPr>
        <w:t>建设长度</w:t>
      </w:r>
      <w:r>
        <w:rPr>
          <w:rFonts w:hint="eastAsia"/>
          <w:color w:val="auto"/>
        </w:rPr>
        <w:t>22.03</w:t>
      </w:r>
      <w:r>
        <w:rPr>
          <w:color w:val="auto"/>
        </w:rPr>
        <w:t>km的</w:t>
      </w:r>
      <w:r>
        <w:rPr>
          <w:rFonts w:hint="eastAsia"/>
          <w:color w:val="auto"/>
        </w:rPr>
        <w:t>场内</w:t>
      </w:r>
      <w:r>
        <w:rPr>
          <w:color w:val="auto"/>
        </w:rPr>
        <w:t>集电线路</w:t>
      </w:r>
      <w:r>
        <w:rPr>
          <w:rFonts w:hint="eastAsia"/>
          <w:color w:val="auto"/>
        </w:rPr>
        <w:t>，</w:t>
      </w:r>
      <w:r>
        <w:rPr>
          <w:color w:val="auto"/>
        </w:rPr>
        <w:t>配套建设相应的辅助工程、公用工程、环保工程等</w:t>
      </w:r>
      <w:r>
        <w:rPr>
          <w:rFonts w:hint="eastAsia"/>
          <w:color w:val="auto"/>
        </w:rPr>
        <w:t>。本项目2回35kV线路接入德安220kV升压站，本次评价不包含</w:t>
      </w:r>
      <w:bookmarkStart w:id="127" w:name="_Hlk219124271"/>
      <w:r>
        <w:rPr>
          <w:rFonts w:hint="eastAsia"/>
          <w:color w:val="auto"/>
        </w:rPr>
        <w:t>220kV</w:t>
      </w:r>
      <w:bookmarkEnd w:id="127"/>
      <w:r>
        <w:rPr>
          <w:rFonts w:hint="eastAsia"/>
          <w:color w:val="auto"/>
        </w:rPr>
        <w:t>德安升压站，220kV德安升压站在德安光伏发电项目中建设，已取得</w:t>
      </w:r>
      <w:r>
        <w:rPr>
          <w:color w:val="auto"/>
        </w:rPr>
        <w:fldChar w:fldCharType="begin"/>
      </w:r>
      <w:r>
        <w:rPr>
          <w:color w:val="auto"/>
        </w:rPr>
        <w:instrText xml:space="preserve"> </w:instrText>
      </w:r>
      <w:r>
        <w:rPr>
          <w:rFonts w:hint="eastAsia"/>
          <w:color w:val="auto"/>
        </w:rPr>
        <w:instrText xml:space="preserve">REF _Ref219124254 \h</w:instrText>
      </w:r>
      <w:r>
        <w:rPr>
          <w:color w:val="auto"/>
        </w:rPr>
        <w:instrText xml:space="preserve"> </w:instrText>
      </w:r>
      <w:r>
        <w:rPr>
          <w:color w:val="auto"/>
        </w:rPr>
        <w:fldChar w:fldCharType="separate"/>
      </w:r>
      <w:r>
        <w:rPr>
          <w:rFonts w:hint="eastAsia"/>
          <w:color w:val="auto"/>
          <w:szCs w:val="28"/>
        </w:rPr>
        <w:t>《</w:t>
      </w:r>
      <w:r>
        <w:rPr>
          <w:rFonts w:hint="eastAsia"/>
          <w:color w:val="auto"/>
        </w:rPr>
        <w:t>大理白族自治州生态环境局关于德安光伏发电项目环境影响报告表的批复</w:t>
      </w:r>
      <w:r>
        <w:rPr>
          <w:rFonts w:hint="eastAsia"/>
          <w:color w:val="auto"/>
          <w:szCs w:val="28"/>
        </w:rPr>
        <w:t>》</w:t>
      </w:r>
      <w:r>
        <w:rPr>
          <w:rFonts w:hint="eastAsia"/>
          <w:color w:val="auto"/>
        </w:rPr>
        <w:t>（大环审〔2025〕55号）</w:t>
      </w:r>
      <w:r>
        <w:rPr>
          <w:color w:val="auto"/>
        </w:rPr>
        <w:fldChar w:fldCharType="end"/>
      </w:r>
      <w:r>
        <w:rPr>
          <w:rFonts w:hint="eastAsia"/>
          <w:color w:val="auto"/>
        </w:rPr>
        <w:t>，</w:t>
      </w:r>
      <w:bookmarkStart w:id="128" w:name="OLE_LINK3"/>
      <w:r>
        <w:rPr>
          <w:rFonts w:hint="eastAsia"/>
          <w:color w:val="auto"/>
        </w:rPr>
        <w:t>目前正在施工建设，还未投运</w:t>
      </w:r>
      <w:bookmarkEnd w:id="128"/>
      <w:r>
        <w:rPr>
          <w:rFonts w:hint="eastAsia"/>
          <w:color w:val="auto"/>
        </w:rPr>
        <w:t>。</w:t>
      </w:r>
    </w:p>
    <w:p w14:paraId="5E9CE1B5">
      <w:pPr>
        <w:ind w:firstLine="480"/>
        <w:rPr>
          <w:color w:val="auto"/>
        </w:rPr>
      </w:pPr>
      <w:r>
        <w:rPr>
          <w:color w:val="auto"/>
        </w:rPr>
        <w:t>本项目太阳能方阵、逆变器、箱变</w:t>
      </w:r>
      <w:r>
        <w:rPr>
          <w:rFonts w:hint="eastAsia"/>
          <w:color w:val="auto"/>
        </w:rPr>
        <w:t>规模</w:t>
      </w:r>
      <w:r>
        <w:rPr>
          <w:color w:val="auto"/>
        </w:rPr>
        <w:t>不</w:t>
      </w:r>
      <w:r>
        <w:rPr>
          <w:rFonts w:hint="eastAsia"/>
          <w:color w:val="auto"/>
        </w:rPr>
        <w:t>发生</w:t>
      </w:r>
      <w:r>
        <w:rPr>
          <w:color w:val="auto"/>
        </w:rPr>
        <w:t>变动。</w:t>
      </w:r>
      <w:r>
        <w:rPr>
          <w:rFonts w:hint="eastAsia"/>
          <w:color w:val="auto"/>
        </w:rPr>
        <w:t>集电线路增加4.53km；原环评批复的占地面积为83.69hm</w:t>
      </w:r>
      <w:r>
        <w:rPr>
          <w:rFonts w:hint="eastAsia"/>
          <w:color w:val="auto"/>
          <w:vertAlign w:val="superscript"/>
        </w:rPr>
        <w:t>2</w:t>
      </w:r>
      <w:r>
        <w:rPr>
          <w:rFonts w:hint="eastAsia"/>
          <w:color w:val="auto"/>
        </w:rPr>
        <w:t>，工程变更后占地面积为117.06hm</w:t>
      </w:r>
      <w:r>
        <w:rPr>
          <w:rFonts w:hint="eastAsia"/>
          <w:color w:val="auto"/>
          <w:vertAlign w:val="superscript"/>
        </w:rPr>
        <w:t>2</w:t>
      </w:r>
      <w:r>
        <w:rPr>
          <w:rFonts w:hint="eastAsia"/>
          <w:color w:val="auto"/>
        </w:rPr>
        <w:t>，在原环评批复的范围内52.41hm</w:t>
      </w:r>
      <w:r>
        <w:rPr>
          <w:rFonts w:hint="eastAsia"/>
          <w:color w:val="auto"/>
          <w:vertAlign w:val="superscript"/>
        </w:rPr>
        <w:t>2</w:t>
      </w:r>
      <w:r>
        <w:rPr>
          <w:rFonts w:hint="eastAsia"/>
          <w:color w:val="auto"/>
        </w:rPr>
        <w:t>，范围外64.65hm</w:t>
      </w:r>
      <w:r>
        <w:rPr>
          <w:rFonts w:hint="eastAsia"/>
          <w:color w:val="auto"/>
          <w:vertAlign w:val="superscript"/>
        </w:rPr>
        <w:t>2</w:t>
      </w:r>
      <w:r>
        <w:rPr>
          <w:rFonts w:hint="eastAsia"/>
          <w:color w:val="auto"/>
        </w:rPr>
        <w:t>，新增面积占原占地面积77.24%。现S03、S04、S07、S08、S09、S10、S19、S20、S21、S22方阵用地范围为原批复范围，其余方阵均为新增用地；由于用地调整，项目新选址声环境评价范围内的敏感目标有11个，新增的声环境敏感目标数量为1个，未超过原数量（10个）的30%；环境空气环境评价范围内的敏感目标有19个，新增的环境空气环境敏感目标数量为6个，超过原数量（13个）的30%；水环境评价范围内的敏感目标有4个，新增的声环境敏感目标数量为2个，超过原数量（2个）的30%。根据《关于印发环评管理中部分行业建设项目重大变动清单的通知》（环办〔2015〕52号）：“建设项目的性质、规模、地点、生产工艺和环境保护措施五个因素中的一项或一项以上发生重大变动，且可能导致环境影响显著变化（特别是不利环境影响加重）的，界定为重大变动。</w:t>
      </w:r>
      <w:bookmarkEnd w:id="124"/>
      <w:r>
        <w:rPr>
          <w:rFonts w:hint="eastAsia"/>
          <w:color w:val="auto"/>
        </w:rPr>
        <w:t>”，本项目属于重大变动。</w:t>
      </w:r>
      <w:r>
        <w:rPr>
          <w:color w:val="auto"/>
        </w:rPr>
        <w:t>根据《中华人民共和国环境影响评价法》第二十四条及《建设项目环境保护管理条例》第十二条规定，建设项目的性质、规模、地点、生产工艺或环境保护措施发生重大变动时，需重新报批环境影响评价文件。</w:t>
      </w:r>
      <w:r>
        <w:rPr>
          <w:rFonts w:hint="eastAsia"/>
          <w:color w:val="auto"/>
        </w:rPr>
        <w:t>2025年12月建设单位重新委托中国能源建设集团云南省电力设计院有限公司承担了本项目的环境影响评价重新报批工作。</w:t>
      </w:r>
      <w:bookmarkEnd w:id="119"/>
    </w:p>
    <w:bookmarkEnd w:id="120"/>
    <w:p w14:paraId="0D48E003">
      <w:pPr>
        <w:ind w:firstLine="480"/>
        <w:rPr>
          <w:color w:val="auto"/>
        </w:rPr>
      </w:pPr>
      <w:bookmarkStart w:id="129" w:name="OLE_LINK10"/>
      <w:r>
        <w:rPr>
          <w:color w:val="auto"/>
        </w:rPr>
        <w:t>根据国家有关规定，建设单位就项目用地红线范围选址环境可行性分别向</w:t>
      </w:r>
      <w:r>
        <w:rPr>
          <w:rFonts w:hint="eastAsia"/>
          <w:color w:val="auto"/>
        </w:rPr>
        <w:t>大理</w:t>
      </w:r>
      <w:r>
        <w:rPr>
          <w:color w:val="auto"/>
        </w:rPr>
        <w:t>州生态环境局</w:t>
      </w:r>
      <w:r>
        <w:rPr>
          <w:rFonts w:hint="eastAsia"/>
          <w:color w:val="auto"/>
        </w:rPr>
        <w:t>南涧</w:t>
      </w:r>
      <w:r>
        <w:rPr>
          <w:color w:val="auto"/>
        </w:rPr>
        <w:t>分局、</w:t>
      </w:r>
      <w:r>
        <w:rPr>
          <w:rFonts w:hint="eastAsia"/>
          <w:color w:val="auto"/>
        </w:rPr>
        <w:t>南涧县</w:t>
      </w:r>
      <w:r>
        <w:rPr>
          <w:color w:val="auto"/>
        </w:rPr>
        <w:t>自然资源局、</w:t>
      </w:r>
      <w:r>
        <w:rPr>
          <w:rFonts w:hint="eastAsia"/>
          <w:color w:val="auto"/>
        </w:rPr>
        <w:t>南涧</w:t>
      </w:r>
      <w:r>
        <w:rPr>
          <w:color w:val="auto"/>
        </w:rPr>
        <w:t>县林业和草原局、</w:t>
      </w:r>
      <w:r>
        <w:rPr>
          <w:rFonts w:hint="eastAsia"/>
          <w:color w:val="auto"/>
        </w:rPr>
        <w:t>南涧</w:t>
      </w:r>
      <w:r>
        <w:rPr>
          <w:color w:val="auto"/>
        </w:rPr>
        <w:t>县水务局</w:t>
      </w:r>
      <w:r>
        <w:rPr>
          <w:rFonts w:hint="eastAsia"/>
          <w:color w:val="auto"/>
        </w:rPr>
        <w:t>以及云南无量山国家级自然保护区南涧管护局</w:t>
      </w:r>
      <w:r>
        <w:rPr>
          <w:color w:val="auto"/>
        </w:rPr>
        <w:t>进行了叠图调整。根据项目各选址意见的复函，用地范围未压占生态保护红线、永久基本农田和</w:t>
      </w:r>
      <w:r>
        <w:rPr>
          <w:rFonts w:hint="eastAsia"/>
          <w:color w:val="auto"/>
        </w:rPr>
        <w:t>各类生态敏感区</w:t>
      </w:r>
      <w:r>
        <w:rPr>
          <w:color w:val="auto"/>
        </w:rPr>
        <w:t>。本项目不单独配套建设升压站、储能系统及开关站，项目运营管理人员住宿、饮食、办公等均纳入</w:t>
      </w:r>
      <w:r>
        <w:rPr>
          <w:rFonts w:hint="eastAsia"/>
          <w:color w:val="auto"/>
        </w:rPr>
        <w:t>德安</w:t>
      </w:r>
      <w:r>
        <w:rPr>
          <w:color w:val="auto"/>
        </w:rPr>
        <w:t>升压站管理范畴，</w:t>
      </w:r>
      <w:r>
        <w:rPr>
          <w:rFonts w:hint="eastAsia"/>
          <w:color w:val="auto"/>
        </w:rPr>
        <w:t>德安</w:t>
      </w:r>
      <w:r>
        <w:rPr>
          <w:color w:val="auto"/>
        </w:rPr>
        <w:t>升压站不在本次项目评价范围</w:t>
      </w:r>
      <w:bookmarkEnd w:id="129"/>
      <w:r>
        <w:rPr>
          <w:rFonts w:hint="eastAsia"/>
          <w:color w:val="auto"/>
        </w:rPr>
        <w:t>。本项目通过2回35kV架空集电线路汇集到德安220kV升压站，场外35kV集电线路单独立项，不在本次评价范围内</w:t>
      </w:r>
      <w:r>
        <w:rPr>
          <w:color w:val="auto"/>
        </w:rPr>
        <w:t>。</w:t>
      </w:r>
      <w:r>
        <w:rPr>
          <w:rFonts w:hint="eastAsia"/>
          <w:color w:val="auto"/>
        </w:rPr>
        <w:t>根据建设单位委托内容，本次评价内容主要包括：光伏方阵、场内集电线路、箱逆变器以及</w:t>
      </w:r>
      <w:r>
        <w:rPr>
          <w:color w:val="auto"/>
        </w:rPr>
        <w:t>配套建设相应的辅助工程、公用工程、环保工程等</w:t>
      </w:r>
      <w:r>
        <w:rPr>
          <w:rFonts w:hint="eastAsia"/>
          <w:color w:val="auto"/>
        </w:rPr>
        <w:t>。</w:t>
      </w:r>
    </w:p>
    <w:p w14:paraId="624F6A43">
      <w:pPr>
        <w:ind w:firstLine="480"/>
        <w:rPr>
          <w:color w:val="auto"/>
        </w:rPr>
      </w:pPr>
      <w:r>
        <w:rPr>
          <w:color w:val="auto"/>
          <w:szCs w:val="21"/>
        </w:rPr>
        <w:t>根据《中华人民共和国环境保护法》、《中华人民共和国环境影响评价法》和中华人民共和国国务院令第682号《建设项目环境保护管理条例》的有关规定要求，本项目属于《建设项目环境影响评价分类管理名录（2021年版）》（中华人民共和国生态环境部令第16号）中“四十一 电力、热力生产和供应业-90太阳能发电4416（不含居民家用光伏发电）”类别</w:t>
      </w:r>
      <w:r>
        <w:rPr>
          <w:color w:val="auto"/>
        </w:rPr>
        <w:t>中的“地面集中光伏电站（总容量大于6000千瓦，且接入电压等级不小于10千伏）”，</w:t>
      </w:r>
      <w:r>
        <w:rPr>
          <w:color w:val="auto"/>
          <w:szCs w:val="21"/>
        </w:rPr>
        <w:t>需编制报告表。</w:t>
      </w:r>
      <w:r>
        <w:rPr>
          <w:rFonts w:hint="eastAsia"/>
          <w:color w:val="auto"/>
          <w:szCs w:val="21"/>
        </w:rPr>
        <w:t>因此，在</w:t>
      </w:r>
      <w:r>
        <w:rPr>
          <w:color w:val="auto"/>
          <w:szCs w:val="21"/>
        </w:rPr>
        <w:t>接受委托后，我单位立即组织有关技术人员进行现场踏勘、资料收集，在对本项目的现状及可能造成的环境影响进行分析后，按照《建设项目环境影响报告表编制技术指南（生态影响类）》、有关环境影响评价技术导则及技术审查的要求，完成本项目</w:t>
      </w:r>
      <w:r>
        <w:rPr>
          <w:rFonts w:hint="eastAsia"/>
          <w:color w:val="auto"/>
          <w:szCs w:val="21"/>
        </w:rPr>
        <w:t>重大变动</w:t>
      </w:r>
      <w:r>
        <w:rPr>
          <w:color w:val="auto"/>
          <w:szCs w:val="21"/>
        </w:rPr>
        <w:t>环境影响报告表的编制，供建设单位上报审查</w:t>
      </w:r>
      <w:r>
        <w:rPr>
          <w:color w:val="auto"/>
        </w:rPr>
        <w:t>。</w:t>
      </w:r>
    </w:p>
    <w:p w14:paraId="65FA3209">
      <w:pPr>
        <w:ind w:firstLine="480"/>
        <w:rPr>
          <w:color w:val="auto"/>
        </w:rPr>
        <w:sectPr>
          <w:footerReference r:id="rId13" w:type="default"/>
          <w:pgSz w:w="11906" w:h="16838"/>
          <w:pgMar w:top="1440" w:right="1797" w:bottom="1440" w:left="1797" w:header="737" w:footer="1134" w:gutter="0"/>
          <w:pgNumType w:start="1"/>
          <w:cols w:space="425" w:num="1"/>
          <w:docGrid w:linePitch="326" w:charSpace="0"/>
        </w:sectPr>
      </w:pPr>
    </w:p>
    <w:p w14:paraId="0FE7DA28">
      <w:pPr>
        <w:pStyle w:val="2"/>
        <w:spacing w:before="120" w:after="120"/>
        <w:ind w:firstLine="643"/>
        <w:rPr>
          <w:color w:val="auto"/>
        </w:rPr>
      </w:pPr>
      <w:bookmarkStart w:id="130" w:name="_Toc181738196"/>
      <w:bookmarkStart w:id="131" w:name="_Toc212667807"/>
      <w:bookmarkStart w:id="132" w:name="_Toc218698788"/>
      <w:bookmarkStart w:id="133" w:name="_Toc161415527"/>
      <w:r>
        <w:rPr>
          <w:rFonts w:hint="eastAsia"/>
          <w:color w:val="auto"/>
        </w:rPr>
        <w:t>、建设项目基本情况</w:t>
      </w:r>
      <w:bookmarkEnd w:id="130"/>
      <w:bookmarkEnd w:id="131"/>
      <w:bookmarkEnd w:id="132"/>
      <w:bookmarkEnd w:id="133"/>
    </w:p>
    <w:tbl>
      <w:tblPr>
        <w:tblStyle w:val="41"/>
        <w:tblW w:w="8338"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92"/>
        <w:gridCol w:w="2126"/>
        <w:gridCol w:w="1701"/>
        <w:gridCol w:w="3119"/>
      </w:tblGrid>
      <w:tr w14:paraId="6C0FB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4CA8E368">
            <w:pPr>
              <w:adjustRightInd w:val="0"/>
              <w:snapToGrid w:val="0"/>
              <w:spacing w:line="240" w:lineRule="auto"/>
              <w:ind w:firstLine="0" w:firstLineChars="0"/>
              <w:jc w:val="center"/>
              <w:rPr>
                <w:color w:val="auto"/>
                <w:szCs w:val="21"/>
                <w:highlight w:val="yellow"/>
              </w:rPr>
            </w:pPr>
            <w:r>
              <w:rPr>
                <w:color w:val="auto"/>
                <w:szCs w:val="21"/>
              </w:rPr>
              <w:t>建设项目名称</w:t>
            </w:r>
          </w:p>
        </w:tc>
        <w:tc>
          <w:tcPr>
            <w:tcW w:w="6946" w:type="dxa"/>
            <w:gridSpan w:val="3"/>
            <w:vAlign w:val="center"/>
          </w:tcPr>
          <w:p w14:paraId="0628F370">
            <w:pPr>
              <w:adjustRightInd w:val="0"/>
              <w:snapToGrid w:val="0"/>
              <w:spacing w:line="240" w:lineRule="auto"/>
              <w:ind w:firstLine="0" w:firstLineChars="0"/>
              <w:jc w:val="center"/>
              <w:rPr>
                <w:color w:val="auto"/>
                <w:szCs w:val="21"/>
              </w:rPr>
            </w:pPr>
            <w:bookmarkStart w:id="134" w:name="_Hlk219926484"/>
            <w:r>
              <w:rPr>
                <w:rFonts w:hint="eastAsia"/>
                <w:color w:val="auto"/>
                <w:szCs w:val="21"/>
              </w:rPr>
              <w:t>沙乐光伏发电项目（重大变动）</w:t>
            </w:r>
            <w:bookmarkEnd w:id="134"/>
          </w:p>
        </w:tc>
      </w:tr>
      <w:tr w14:paraId="15526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32DEBE05">
            <w:pPr>
              <w:adjustRightInd w:val="0"/>
              <w:snapToGrid w:val="0"/>
              <w:spacing w:line="240" w:lineRule="auto"/>
              <w:ind w:firstLine="0" w:firstLineChars="0"/>
              <w:jc w:val="center"/>
              <w:rPr>
                <w:color w:val="auto"/>
                <w:szCs w:val="21"/>
                <w:highlight w:val="yellow"/>
              </w:rPr>
            </w:pPr>
            <w:r>
              <w:rPr>
                <w:color w:val="auto"/>
                <w:szCs w:val="21"/>
              </w:rPr>
              <w:t>项目代码</w:t>
            </w:r>
          </w:p>
        </w:tc>
        <w:tc>
          <w:tcPr>
            <w:tcW w:w="6946" w:type="dxa"/>
            <w:gridSpan w:val="3"/>
            <w:vAlign w:val="center"/>
          </w:tcPr>
          <w:p w14:paraId="262C8761">
            <w:pPr>
              <w:adjustRightInd w:val="0"/>
              <w:snapToGrid w:val="0"/>
              <w:spacing w:line="240" w:lineRule="auto"/>
              <w:ind w:firstLine="0" w:firstLineChars="0"/>
              <w:jc w:val="center"/>
              <w:rPr>
                <w:color w:val="auto"/>
                <w:szCs w:val="21"/>
              </w:rPr>
            </w:pPr>
            <w:r>
              <w:rPr>
                <w:color w:val="auto"/>
                <w:szCs w:val="21"/>
              </w:rPr>
              <w:t>2508-532926-04-01-458229</w:t>
            </w:r>
          </w:p>
        </w:tc>
      </w:tr>
      <w:tr w14:paraId="33EBE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15F6EB35">
            <w:pPr>
              <w:adjustRightInd w:val="0"/>
              <w:snapToGrid w:val="0"/>
              <w:spacing w:line="240" w:lineRule="auto"/>
              <w:ind w:firstLine="0" w:firstLineChars="0"/>
              <w:jc w:val="center"/>
              <w:rPr>
                <w:color w:val="auto"/>
                <w:szCs w:val="21"/>
              </w:rPr>
            </w:pPr>
            <w:r>
              <w:rPr>
                <w:color w:val="auto"/>
                <w:szCs w:val="21"/>
              </w:rPr>
              <w:t>建设单位联系人</w:t>
            </w:r>
          </w:p>
        </w:tc>
        <w:tc>
          <w:tcPr>
            <w:tcW w:w="2126" w:type="dxa"/>
            <w:vAlign w:val="center"/>
          </w:tcPr>
          <w:p w14:paraId="3CAA1830">
            <w:pPr>
              <w:adjustRightInd w:val="0"/>
              <w:snapToGrid w:val="0"/>
              <w:spacing w:line="240" w:lineRule="auto"/>
              <w:ind w:firstLine="0" w:firstLineChars="0"/>
              <w:jc w:val="center"/>
              <w:rPr>
                <w:rFonts w:hint="eastAsia" w:eastAsia="宋体"/>
                <w:color w:val="auto"/>
                <w:szCs w:val="21"/>
                <w:lang w:eastAsia="zh-CN"/>
              </w:rPr>
            </w:pPr>
            <w:r>
              <w:rPr>
                <w:rFonts w:hint="eastAsia"/>
                <w:color w:val="auto"/>
                <w:szCs w:val="21"/>
                <w:lang w:val="en-US" w:eastAsia="zh-CN"/>
              </w:rPr>
              <w:t xml:space="preserve"> </w:t>
            </w:r>
          </w:p>
        </w:tc>
        <w:tc>
          <w:tcPr>
            <w:tcW w:w="1701" w:type="dxa"/>
            <w:vAlign w:val="center"/>
          </w:tcPr>
          <w:p w14:paraId="646EAB4C">
            <w:pPr>
              <w:adjustRightInd w:val="0"/>
              <w:snapToGrid w:val="0"/>
              <w:spacing w:line="240" w:lineRule="auto"/>
              <w:ind w:firstLine="0" w:firstLineChars="0"/>
              <w:jc w:val="center"/>
              <w:rPr>
                <w:color w:val="auto"/>
                <w:szCs w:val="21"/>
              </w:rPr>
            </w:pPr>
            <w:r>
              <w:rPr>
                <w:color w:val="auto"/>
                <w:szCs w:val="21"/>
              </w:rPr>
              <w:t>联系方式</w:t>
            </w:r>
          </w:p>
        </w:tc>
        <w:tc>
          <w:tcPr>
            <w:tcW w:w="3119" w:type="dxa"/>
            <w:vAlign w:val="center"/>
          </w:tcPr>
          <w:p w14:paraId="04AE75DA">
            <w:pPr>
              <w:adjustRightInd w:val="0"/>
              <w:snapToGrid w:val="0"/>
              <w:spacing w:line="240" w:lineRule="auto"/>
              <w:ind w:firstLine="0" w:firstLineChars="0"/>
              <w:jc w:val="center"/>
              <w:rPr>
                <w:rFonts w:hint="eastAsia" w:eastAsia="宋体"/>
                <w:color w:val="auto"/>
                <w:szCs w:val="21"/>
                <w:lang w:eastAsia="zh-CN"/>
              </w:rPr>
            </w:pPr>
            <w:r>
              <w:rPr>
                <w:rFonts w:hint="eastAsia"/>
                <w:color w:val="auto"/>
                <w:szCs w:val="21"/>
                <w:lang w:val="en-US" w:eastAsia="zh-CN"/>
              </w:rPr>
              <w:t xml:space="preserve"> </w:t>
            </w:r>
          </w:p>
        </w:tc>
      </w:tr>
      <w:tr w14:paraId="70BD3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7D074319">
            <w:pPr>
              <w:adjustRightInd w:val="0"/>
              <w:snapToGrid w:val="0"/>
              <w:spacing w:line="240" w:lineRule="auto"/>
              <w:ind w:firstLine="0" w:firstLineChars="0"/>
              <w:jc w:val="center"/>
              <w:rPr>
                <w:color w:val="auto"/>
                <w:szCs w:val="21"/>
              </w:rPr>
            </w:pPr>
            <w:r>
              <w:rPr>
                <w:color w:val="auto"/>
                <w:szCs w:val="21"/>
              </w:rPr>
              <w:t>建设地点</w:t>
            </w:r>
          </w:p>
        </w:tc>
        <w:tc>
          <w:tcPr>
            <w:tcW w:w="6946" w:type="dxa"/>
            <w:gridSpan w:val="3"/>
            <w:vAlign w:val="center"/>
          </w:tcPr>
          <w:p w14:paraId="1AA61696">
            <w:pPr>
              <w:ind w:firstLine="0" w:firstLineChars="0"/>
              <w:rPr>
                <w:color w:val="auto"/>
              </w:rPr>
            </w:pPr>
            <w:r>
              <w:rPr>
                <w:rFonts w:hint="eastAsia"/>
                <w:color w:val="auto"/>
              </w:rPr>
              <w:t>云南省大理州南涧县公郎镇</w:t>
            </w:r>
            <w:bookmarkStart w:id="135" w:name="OLE_LINK48"/>
            <w:r>
              <w:rPr>
                <w:rFonts w:hint="eastAsia"/>
                <w:color w:val="auto"/>
              </w:rPr>
              <w:t>旧村、蚂蝗箐、大平掌、包茂村、大歇场、下朵么、安召附近山坡地带</w:t>
            </w:r>
            <w:bookmarkEnd w:id="135"/>
          </w:p>
        </w:tc>
      </w:tr>
      <w:tr w14:paraId="18594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274378A0">
            <w:pPr>
              <w:adjustRightInd w:val="0"/>
              <w:snapToGrid w:val="0"/>
              <w:spacing w:line="240" w:lineRule="auto"/>
              <w:ind w:firstLine="0" w:firstLineChars="0"/>
              <w:jc w:val="center"/>
              <w:rPr>
                <w:rFonts w:cs="Times New Roman"/>
                <w:color w:val="auto"/>
                <w:szCs w:val="21"/>
              </w:rPr>
            </w:pPr>
            <w:r>
              <w:rPr>
                <w:rFonts w:cs="Times New Roman"/>
                <w:color w:val="auto"/>
                <w:szCs w:val="21"/>
              </w:rPr>
              <w:t>地理坐标</w:t>
            </w:r>
          </w:p>
        </w:tc>
        <w:tc>
          <w:tcPr>
            <w:tcW w:w="6946" w:type="dxa"/>
            <w:gridSpan w:val="3"/>
            <w:vAlign w:val="center"/>
          </w:tcPr>
          <w:p w14:paraId="62775DE0">
            <w:pPr>
              <w:adjustRightInd w:val="0"/>
              <w:snapToGrid w:val="0"/>
              <w:spacing w:line="240" w:lineRule="auto"/>
              <w:ind w:firstLine="0" w:firstLineChars="0"/>
              <w:rPr>
                <w:rFonts w:cs="Times New Roman"/>
                <w:color w:val="auto"/>
                <w:szCs w:val="21"/>
              </w:rPr>
            </w:pPr>
            <w:r>
              <w:rPr>
                <w:rFonts w:cs="Times New Roman"/>
                <w:color w:val="auto"/>
                <w:szCs w:val="21"/>
              </w:rPr>
              <w:t>光伏场址范围：</w:t>
            </w:r>
            <w:bookmarkStart w:id="136" w:name="_Hlk195216433"/>
            <w:r>
              <w:rPr>
                <w:rFonts w:cs="Times New Roman"/>
                <w:color w:val="auto"/>
                <w:szCs w:val="21"/>
              </w:rPr>
              <w:t>东经</w:t>
            </w:r>
            <w:r>
              <w:rPr>
                <w:rFonts w:hint="eastAsia" w:cs="Times New Roman"/>
                <w:color w:val="auto"/>
                <w:szCs w:val="21"/>
              </w:rPr>
              <w:t>100°25′9.764″</w:t>
            </w:r>
            <w:r>
              <w:rPr>
                <w:rFonts w:cs="Times New Roman"/>
                <w:color w:val="auto"/>
                <w:szCs w:val="21"/>
              </w:rPr>
              <w:t>~</w:t>
            </w:r>
            <w:r>
              <w:rPr>
                <w:rFonts w:hint="eastAsia" w:cs="Times New Roman"/>
                <w:color w:val="auto"/>
                <w:szCs w:val="21"/>
              </w:rPr>
              <w:t>100°30′10.721″,</w:t>
            </w:r>
            <w:r>
              <w:rPr>
                <w:rFonts w:cs="Times New Roman"/>
                <w:color w:val="auto"/>
                <w:szCs w:val="21"/>
              </w:rPr>
              <w:t>北纬</w:t>
            </w:r>
            <w:r>
              <w:rPr>
                <w:rFonts w:hint="eastAsia" w:cs="Times New Roman"/>
                <w:color w:val="auto"/>
                <w:szCs w:val="21"/>
              </w:rPr>
              <w:t>24°46′26.624″</w:t>
            </w:r>
            <w:r>
              <w:rPr>
                <w:rFonts w:cs="Times New Roman"/>
                <w:color w:val="auto"/>
                <w:szCs w:val="21"/>
              </w:rPr>
              <w:t>~</w:t>
            </w:r>
            <w:bookmarkEnd w:id="136"/>
            <w:r>
              <w:rPr>
                <w:rFonts w:hint="eastAsia" w:cs="Times New Roman"/>
                <w:color w:val="auto"/>
                <w:szCs w:val="21"/>
              </w:rPr>
              <w:t>24°44′37.242″</w:t>
            </w:r>
          </w:p>
        </w:tc>
      </w:tr>
      <w:tr w14:paraId="330A4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34E0E95D">
            <w:pPr>
              <w:adjustRightInd w:val="0"/>
              <w:snapToGrid w:val="0"/>
              <w:spacing w:line="240" w:lineRule="auto"/>
              <w:ind w:firstLine="0" w:firstLineChars="0"/>
              <w:jc w:val="center"/>
              <w:rPr>
                <w:color w:val="auto"/>
                <w:szCs w:val="21"/>
              </w:rPr>
            </w:pPr>
            <w:r>
              <w:rPr>
                <w:color w:val="auto"/>
                <w:szCs w:val="21"/>
              </w:rPr>
              <w:t>建设项目</w:t>
            </w:r>
          </w:p>
          <w:p w14:paraId="3365694E">
            <w:pPr>
              <w:adjustRightInd w:val="0"/>
              <w:snapToGrid w:val="0"/>
              <w:spacing w:line="240" w:lineRule="auto"/>
              <w:ind w:firstLine="0" w:firstLineChars="0"/>
              <w:jc w:val="center"/>
              <w:rPr>
                <w:color w:val="auto"/>
                <w:szCs w:val="21"/>
              </w:rPr>
            </w:pPr>
            <w:r>
              <w:rPr>
                <w:color w:val="auto"/>
                <w:szCs w:val="21"/>
              </w:rPr>
              <w:t>行业类别</w:t>
            </w:r>
          </w:p>
        </w:tc>
        <w:tc>
          <w:tcPr>
            <w:tcW w:w="2126" w:type="dxa"/>
            <w:vAlign w:val="center"/>
          </w:tcPr>
          <w:p w14:paraId="5485AAFA">
            <w:pPr>
              <w:adjustRightInd w:val="0"/>
              <w:snapToGrid w:val="0"/>
              <w:spacing w:line="240" w:lineRule="auto"/>
              <w:ind w:firstLine="0" w:firstLineChars="0"/>
              <w:rPr>
                <w:color w:val="auto"/>
                <w:szCs w:val="21"/>
              </w:rPr>
            </w:pPr>
            <w:r>
              <w:rPr>
                <w:color w:val="auto"/>
                <w:szCs w:val="21"/>
              </w:rPr>
              <w:t>电力、热力生产和供应业</w:t>
            </w:r>
            <w:r>
              <w:rPr>
                <w:rFonts w:hint="eastAsia"/>
                <w:color w:val="auto"/>
                <w:szCs w:val="21"/>
              </w:rPr>
              <w:t>-</w:t>
            </w:r>
            <w:r>
              <w:rPr>
                <w:color w:val="auto"/>
                <w:szCs w:val="21"/>
              </w:rPr>
              <w:t>4416太阳能发电（不含居民家用光伏发电）</w:t>
            </w:r>
          </w:p>
        </w:tc>
        <w:tc>
          <w:tcPr>
            <w:tcW w:w="1701" w:type="dxa"/>
            <w:vAlign w:val="center"/>
          </w:tcPr>
          <w:p w14:paraId="26FD2A43">
            <w:pPr>
              <w:adjustRightInd w:val="0"/>
              <w:snapToGrid w:val="0"/>
              <w:spacing w:line="240" w:lineRule="auto"/>
              <w:ind w:firstLine="0" w:firstLineChars="0"/>
              <w:jc w:val="center"/>
              <w:rPr>
                <w:color w:val="auto"/>
                <w:szCs w:val="21"/>
              </w:rPr>
            </w:pPr>
            <w:r>
              <w:rPr>
                <w:color w:val="auto"/>
                <w:szCs w:val="21"/>
              </w:rPr>
              <w:t>用地（用海）面积（m</w:t>
            </w:r>
            <w:r>
              <w:rPr>
                <w:color w:val="auto"/>
                <w:szCs w:val="21"/>
                <w:vertAlign w:val="superscript"/>
              </w:rPr>
              <w:t>2</w:t>
            </w:r>
            <w:r>
              <w:rPr>
                <w:color w:val="auto"/>
                <w:szCs w:val="21"/>
              </w:rPr>
              <w:t>）/长度（km）</w:t>
            </w:r>
          </w:p>
        </w:tc>
        <w:tc>
          <w:tcPr>
            <w:tcW w:w="3119" w:type="dxa"/>
            <w:vAlign w:val="center"/>
          </w:tcPr>
          <w:p w14:paraId="594B2654">
            <w:pPr>
              <w:adjustRightInd w:val="0"/>
              <w:snapToGrid w:val="0"/>
              <w:spacing w:line="240" w:lineRule="auto"/>
              <w:ind w:firstLine="0" w:firstLineChars="0"/>
              <w:rPr>
                <w:color w:val="auto"/>
                <w:szCs w:val="21"/>
              </w:rPr>
            </w:pPr>
            <w:r>
              <w:rPr>
                <w:rFonts w:hint="eastAsia"/>
                <w:color w:val="auto"/>
                <w:szCs w:val="21"/>
              </w:rPr>
              <w:t>总用地面积</w:t>
            </w:r>
            <w:bookmarkStart w:id="137" w:name="OLE_LINK32"/>
            <w:r>
              <w:rPr>
                <w:color w:val="auto"/>
                <w:szCs w:val="21"/>
              </w:rPr>
              <w:t>117.06</w:t>
            </w:r>
            <w:r>
              <w:rPr>
                <w:rFonts w:hint="eastAsia"/>
                <w:color w:val="auto"/>
                <w:szCs w:val="21"/>
              </w:rPr>
              <w:t>hm</w:t>
            </w:r>
            <w:r>
              <w:rPr>
                <w:rFonts w:hint="eastAsia"/>
                <w:color w:val="auto"/>
                <w:szCs w:val="21"/>
                <w:vertAlign w:val="superscript"/>
              </w:rPr>
              <w:t>2</w:t>
            </w:r>
            <w:bookmarkEnd w:id="137"/>
            <w:r>
              <w:rPr>
                <w:rFonts w:hint="eastAsia"/>
                <w:color w:val="auto"/>
                <w:szCs w:val="21"/>
              </w:rPr>
              <w:t>，其中永久占地面积</w:t>
            </w:r>
            <w:r>
              <w:rPr>
                <w:color w:val="auto"/>
                <w:szCs w:val="21"/>
              </w:rPr>
              <w:t>0.28</w:t>
            </w:r>
            <w:r>
              <w:rPr>
                <w:rFonts w:hint="eastAsia"/>
                <w:color w:val="auto"/>
                <w:szCs w:val="21"/>
              </w:rPr>
              <w:t>hm</w:t>
            </w:r>
            <w:r>
              <w:rPr>
                <w:rFonts w:hint="eastAsia"/>
                <w:color w:val="auto"/>
                <w:szCs w:val="21"/>
                <w:vertAlign w:val="superscript"/>
              </w:rPr>
              <w:t>2</w:t>
            </w:r>
            <w:r>
              <w:rPr>
                <w:rFonts w:hint="eastAsia"/>
                <w:color w:val="auto"/>
                <w:szCs w:val="21"/>
              </w:rPr>
              <w:t>，临时用地116.78hm</w:t>
            </w:r>
            <w:r>
              <w:rPr>
                <w:rFonts w:hint="eastAsia"/>
                <w:color w:val="auto"/>
                <w:szCs w:val="21"/>
                <w:vertAlign w:val="superscript"/>
              </w:rPr>
              <w:t>2</w:t>
            </w:r>
          </w:p>
        </w:tc>
      </w:tr>
      <w:tr w14:paraId="78EB4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2BE450C6">
            <w:pPr>
              <w:adjustRightInd w:val="0"/>
              <w:snapToGrid w:val="0"/>
              <w:spacing w:line="240" w:lineRule="auto"/>
              <w:ind w:firstLine="0" w:firstLineChars="0"/>
              <w:jc w:val="center"/>
              <w:rPr>
                <w:color w:val="auto"/>
                <w:szCs w:val="21"/>
              </w:rPr>
            </w:pPr>
            <w:r>
              <w:rPr>
                <w:color w:val="auto"/>
                <w:szCs w:val="21"/>
              </w:rPr>
              <w:t>建设性质</w:t>
            </w:r>
          </w:p>
        </w:tc>
        <w:tc>
          <w:tcPr>
            <w:tcW w:w="2126" w:type="dxa"/>
            <w:vAlign w:val="center"/>
          </w:tcPr>
          <w:p w14:paraId="70FB8AE7">
            <w:pPr>
              <w:adjustRightInd w:val="0"/>
              <w:snapToGrid w:val="0"/>
              <w:spacing w:line="240" w:lineRule="auto"/>
              <w:ind w:firstLine="240" w:firstLineChars="100"/>
              <w:jc w:val="left"/>
              <w:rPr>
                <w:color w:val="auto"/>
                <w:szCs w:val="21"/>
              </w:rPr>
            </w:pPr>
            <w:r>
              <w:rPr>
                <w:rFonts w:eastAsia="MS Mincho"/>
                <w:color w:val="auto"/>
                <w:kern w:val="0"/>
                <w:szCs w:val="21"/>
              </w:rPr>
              <w:t>☑</w:t>
            </w:r>
            <w:r>
              <w:rPr>
                <w:color w:val="auto"/>
                <w:szCs w:val="21"/>
              </w:rPr>
              <w:t>新建（迁建）</w:t>
            </w:r>
          </w:p>
          <w:p w14:paraId="7D0CAAFD">
            <w:pPr>
              <w:adjustRightInd w:val="0"/>
              <w:snapToGrid w:val="0"/>
              <w:spacing w:line="240" w:lineRule="auto"/>
              <w:ind w:firstLine="240" w:firstLineChars="100"/>
              <w:jc w:val="left"/>
              <w:rPr>
                <w:color w:val="auto"/>
                <w:szCs w:val="21"/>
              </w:rPr>
            </w:pPr>
            <w:r>
              <w:rPr>
                <w:color w:val="auto"/>
                <w:szCs w:val="24"/>
              </w:rPr>
              <w:t>□</w:t>
            </w:r>
            <w:r>
              <w:rPr>
                <w:color w:val="auto"/>
                <w:szCs w:val="21"/>
              </w:rPr>
              <w:t>改建</w:t>
            </w:r>
          </w:p>
          <w:p w14:paraId="6A089B7A">
            <w:pPr>
              <w:adjustRightInd w:val="0"/>
              <w:snapToGrid w:val="0"/>
              <w:spacing w:line="240" w:lineRule="auto"/>
              <w:ind w:firstLine="240" w:firstLineChars="100"/>
              <w:jc w:val="left"/>
              <w:rPr>
                <w:color w:val="auto"/>
                <w:szCs w:val="21"/>
              </w:rPr>
            </w:pPr>
            <w:r>
              <w:rPr>
                <w:color w:val="auto"/>
                <w:szCs w:val="24"/>
              </w:rPr>
              <w:t>□</w:t>
            </w:r>
            <w:r>
              <w:rPr>
                <w:color w:val="auto"/>
                <w:szCs w:val="21"/>
              </w:rPr>
              <w:t>扩建</w:t>
            </w:r>
          </w:p>
          <w:p w14:paraId="674182FD">
            <w:pPr>
              <w:adjustRightInd w:val="0"/>
              <w:snapToGrid w:val="0"/>
              <w:spacing w:line="240" w:lineRule="auto"/>
              <w:ind w:firstLine="240" w:firstLineChars="100"/>
              <w:jc w:val="left"/>
              <w:rPr>
                <w:color w:val="auto"/>
                <w:szCs w:val="21"/>
              </w:rPr>
            </w:pPr>
            <w:r>
              <w:rPr>
                <w:color w:val="auto"/>
                <w:szCs w:val="24"/>
              </w:rPr>
              <w:t>□</w:t>
            </w:r>
            <w:r>
              <w:rPr>
                <w:color w:val="auto"/>
                <w:szCs w:val="21"/>
              </w:rPr>
              <w:t>技术改造</w:t>
            </w:r>
          </w:p>
        </w:tc>
        <w:tc>
          <w:tcPr>
            <w:tcW w:w="1701" w:type="dxa"/>
            <w:vAlign w:val="center"/>
          </w:tcPr>
          <w:p w14:paraId="574B24C9">
            <w:pPr>
              <w:adjustRightInd w:val="0"/>
              <w:snapToGrid w:val="0"/>
              <w:spacing w:line="240" w:lineRule="auto"/>
              <w:ind w:firstLine="0" w:firstLineChars="0"/>
              <w:jc w:val="center"/>
              <w:rPr>
                <w:color w:val="auto"/>
                <w:szCs w:val="21"/>
              </w:rPr>
            </w:pPr>
            <w:r>
              <w:rPr>
                <w:color w:val="auto"/>
                <w:szCs w:val="21"/>
              </w:rPr>
              <w:t>建设项目</w:t>
            </w:r>
          </w:p>
          <w:p w14:paraId="78CF1D0A">
            <w:pPr>
              <w:adjustRightInd w:val="0"/>
              <w:snapToGrid w:val="0"/>
              <w:spacing w:line="240" w:lineRule="auto"/>
              <w:ind w:firstLine="0" w:firstLineChars="0"/>
              <w:jc w:val="center"/>
              <w:rPr>
                <w:color w:val="auto"/>
                <w:szCs w:val="21"/>
              </w:rPr>
            </w:pPr>
            <w:r>
              <w:rPr>
                <w:color w:val="auto"/>
                <w:szCs w:val="21"/>
              </w:rPr>
              <w:t>申报情形</w:t>
            </w:r>
          </w:p>
        </w:tc>
        <w:tc>
          <w:tcPr>
            <w:tcW w:w="3119" w:type="dxa"/>
            <w:vAlign w:val="center"/>
          </w:tcPr>
          <w:p w14:paraId="3C9A09A9">
            <w:pPr>
              <w:adjustRightInd w:val="0"/>
              <w:snapToGrid w:val="0"/>
              <w:spacing w:line="240" w:lineRule="auto"/>
              <w:ind w:firstLine="240" w:firstLineChars="100"/>
              <w:jc w:val="left"/>
              <w:rPr>
                <w:color w:val="auto"/>
                <w:szCs w:val="24"/>
              </w:rPr>
            </w:pPr>
            <w:r>
              <w:rPr>
                <w:rFonts w:ascii="Segoe UI Symbol" w:hAnsi="Segoe UI Symbol" w:eastAsia="MS Mincho" w:cs="Segoe UI Symbol"/>
                <w:color w:val="auto"/>
                <w:kern w:val="0"/>
                <w:szCs w:val="24"/>
              </w:rPr>
              <w:t>☑</w:t>
            </w:r>
            <w:r>
              <w:rPr>
                <w:color w:val="auto"/>
                <w:szCs w:val="24"/>
              </w:rPr>
              <w:t>首次申报项目</w:t>
            </w:r>
          </w:p>
          <w:p w14:paraId="7C716A23">
            <w:pPr>
              <w:adjustRightInd w:val="0"/>
              <w:snapToGrid w:val="0"/>
              <w:spacing w:line="240" w:lineRule="auto"/>
              <w:ind w:firstLine="240" w:firstLineChars="100"/>
              <w:jc w:val="left"/>
              <w:rPr>
                <w:color w:val="auto"/>
                <w:szCs w:val="24"/>
              </w:rPr>
            </w:pPr>
            <w:r>
              <w:rPr>
                <w:color w:val="auto"/>
                <w:szCs w:val="24"/>
              </w:rPr>
              <w:t>□不予批准后再次申报项目</w:t>
            </w:r>
          </w:p>
          <w:p w14:paraId="2601C770">
            <w:pPr>
              <w:adjustRightInd w:val="0"/>
              <w:snapToGrid w:val="0"/>
              <w:spacing w:line="240" w:lineRule="auto"/>
              <w:ind w:firstLine="240" w:firstLineChars="100"/>
              <w:jc w:val="left"/>
              <w:rPr>
                <w:color w:val="auto"/>
                <w:szCs w:val="24"/>
              </w:rPr>
            </w:pPr>
            <w:r>
              <w:rPr>
                <w:color w:val="auto"/>
                <w:szCs w:val="24"/>
              </w:rPr>
              <w:t>□超五年重新审核项目</w:t>
            </w:r>
          </w:p>
          <w:p w14:paraId="2D4CDDF1">
            <w:pPr>
              <w:adjustRightInd w:val="0"/>
              <w:snapToGrid w:val="0"/>
              <w:spacing w:line="240" w:lineRule="auto"/>
              <w:ind w:firstLine="240" w:firstLineChars="100"/>
              <w:jc w:val="left"/>
              <w:rPr>
                <w:color w:val="auto"/>
                <w:szCs w:val="21"/>
              </w:rPr>
            </w:pPr>
            <w:r>
              <w:rPr>
                <w:color w:val="auto"/>
                <w:szCs w:val="24"/>
              </w:rPr>
              <w:t>□重大变动重新报批项目</w:t>
            </w:r>
          </w:p>
        </w:tc>
      </w:tr>
      <w:tr w14:paraId="052D84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741AAD9C">
            <w:pPr>
              <w:adjustRightInd w:val="0"/>
              <w:snapToGrid w:val="0"/>
              <w:spacing w:line="240" w:lineRule="auto"/>
              <w:ind w:firstLine="0" w:firstLineChars="0"/>
              <w:jc w:val="center"/>
              <w:rPr>
                <w:color w:val="auto"/>
                <w:szCs w:val="21"/>
              </w:rPr>
            </w:pPr>
            <w:r>
              <w:rPr>
                <w:color w:val="auto"/>
                <w:szCs w:val="21"/>
              </w:rPr>
              <w:t>项目审批（核准/备案）部门（选填）</w:t>
            </w:r>
          </w:p>
        </w:tc>
        <w:tc>
          <w:tcPr>
            <w:tcW w:w="2126" w:type="dxa"/>
            <w:vAlign w:val="center"/>
          </w:tcPr>
          <w:p w14:paraId="3E832D23">
            <w:pPr>
              <w:adjustRightInd w:val="0"/>
              <w:snapToGrid w:val="0"/>
              <w:spacing w:line="240" w:lineRule="auto"/>
              <w:ind w:firstLine="0" w:firstLineChars="0"/>
              <w:jc w:val="center"/>
              <w:rPr>
                <w:color w:val="auto"/>
                <w:szCs w:val="21"/>
              </w:rPr>
            </w:pPr>
            <w:r>
              <w:rPr>
                <w:rFonts w:hint="eastAsia"/>
                <w:color w:val="auto"/>
                <w:szCs w:val="21"/>
              </w:rPr>
              <w:t>南涧彝族自治县发展和改革局</w:t>
            </w:r>
          </w:p>
        </w:tc>
        <w:tc>
          <w:tcPr>
            <w:tcW w:w="1701" w:type="dxa"/>
            <w:vAlign w:val="center"/>
          </w:tcPr>
          <w:p w14:paraId="49676E1B">
            <w:pPr>
              <w:adjustRightInd w:val="0"/>
              <w:snapToGrid w:val="0"/>
              <w:spacing w:line="240" w:lineRule="auto"/>
              <w:ind w:firstLine="0" w:firstLineChars="0"/>
              <w:jc w:val="center"/>
              <w:rPr>
                <w:color w:val="auto"/>
                <w:szCs w:val="21"/>
              </w:rPr>
            </w:pPr>
            <w:r>
              <w:rPr>
                <w:color w:val="auto"/>
                <w:szCs w:val="21"/>
              </w:rPr>
              <w:t>项目审批（核准/备案）文号（选填）</w:t>
            </w:r>
          </w:p>
        </w:tc>
        <w:tc>
          <w:tcPr>
            <w:tcW w:w="3119" w:type="dxa"/>
            <w:vAlign w:val="center"/>
          </w:tcPr>
          <w:p w14:paraId="1FF7EC36">
            <w:pPr>
              <w:adjustRightInd w:val="0"/>
              <w:snapToGrid w:val="0"/>
              <w:spacing w:line="240" w:lineRule="auto"/>
              <w:ind w:firstLine="0" w:firstLineChars="0"/>
              <w:jc w:val="center"/>
              <w:rPr>
                <w:color w:val="auto"/>
                <w:szCs w:val="21"/>
              </w:rPr>
            </w:pPr>
            <w:r>
              <w:rPr>
                <w:color w:val="auto"/>
                <w:szCs w:val="21"/>
              </w:rPr>
              <w:t>/</w:t>
            </w:r>
          </w:p>
        </w:tc>
      </w:tr>
      <w:tr w14:paraId="53A63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3E3CFA0C">
            <w:pPr>
              <w:adjustRightInd w:val="0"/>
              <w:snapToGrid w:val="0"/>
              <w:spacing w:line="240" w:lineRule="auto"/>
              <w:ind w:firstLine="0" w:firstLineChars="0"/>
              <w:jc w:val="center"/>
              <w:rPr>
                <w:color w:val="auto"/>
                <w:szCs w:val="21"/>
              </w:rPr>
            </w:pPr>
            <w:r>
              <w:rPr>
                <w:color w:val="auto"/>
                <w:szCs w:val="21"/>
              </w:rPr>
              <w:t>总投资（万元）</w:t>
            </w:r>
          </w:p>
        </w:tc>
        <w:tc>
          <w:tcPr>
            <w:tcW w:w="2126" w:type="dxa"/>
            <w:vAlign w:val="center"/>
          </w:tcPr>
          <w:p w14:paraId="445172A7">
            <w:pPr>
              <w:adjustRightInd w:val="0"/>
              <w:snapToGrid w:val="0"/>
              <w:spacing w:line="240" w:lineRule="auto"/>
              <w:ind w:firstLine="0" w:firstLineChars="0"/>
              <w:jc w:val="center"/>
              <w:rPr>
                <w:color w:val="auto"/>
                <w:szCs w:val="21"/>
              </w:rPr>
            </w:pPr>
            <w:r>
              <w:rPr>
                <w:rFonts w:hint="eastAsia"/>
                <w:color w:val="auto"/>
                <w:szCs w:val="21"/>
              </w:rPr>
              <w:t>23948.55</w:t>
            </w:r>
          </w:p>
        </w:tc>
        <w:tc>
          <w:tcPr>
            <w:tcW w:w="1701" w:type="dxa"/>
            <w:tcMar>
              <w:top w:w="16" w:type="dxa"/>
              <w:left w:w="16" w:type="dxa"/>
              <w:right w:w="16" w:type="dxa"/>
            </w:tcMar>
            <w:vAlign w:val="center"/>
          </w:tcPr>
          <w:p w14:paraId="03A857C6">
            <w:pPr>
              <w:adjustRightInd w:val="0"/>
              <w:snapToGrid w:val="0"/>
              <w:spacing w:line="240" w:lineRule="auto"/>
              <w:ind w:firstLine="0" w:firstLineChars="0"/>
              <w:jc w:val="center"/>
              <w:rPr>
                <w:color w:val="auto"/>
                <w:szCs w:val="21"/>
              </w:rPr>
            </w:pPr>
            <w:r>
              <w:rPr>
                <w:color w:val="auto"/>
                <w:szCs w:val="21"/>
              </w:rPr>
              <w:t>环保投资（万元）</w:t>
            </w:r>
          </w:p>
        </w:tc>
        <w:tc>
          <w:tcPr>
            <w:tcW w:w="3119" w:type="dxa"/>
            <w:vAlign w:val="center"/>
          </w:tcPr>
          <w:p w14:paraId="6C3BF801">
            <w:pPr>
              <w:adjustRightInd w:val="0"/>
              <w:snapToGrid w:val="0"/>
              <w:spacing w:line="240" w:lineRule="auto"/>
              <w:ind w:firstLine="0" w:firstLineChars="0"/>
              <w:jc w:val="center"/>
              <w:rPr>
                <w:color w:val="auto"/>
                <w:szCs w:val="21"/>
              </w:rPr>
            </w:pPr>
            <w:bookmarkStart w:id="138" w:name="_Hlk181624462"/>
            <w:r>
              <w:rPr>
                <w:rFonts w:hint="eastAsia"/>
                <w:color w:val="auto"/>
                <w:szCs w:val="21"/>
              </w:rPr>
              <w:t>1</w:t>
            </w:r>
            <w:r>
              <w:rPr>
                <w:color w:val="auto"/>
                <w:szCs w:val="21"/>
              </w:rPr>
              <w:t>8</w:t>
            </w:r>
            <w:r>
              <w:rPr>
                <w:rFonts w:hint="eastAsia"/>
                <w:color w:val="auto"/>
                <w:szCs w:val="21"/>
              </w:rPr>
              <w:t>0</w:t>
            </w:r>
            <w:r>
              <w:rPr>
                <w:color w:val="auto"/>
                <w:szCs w:val="21"/>
              </w:rPr>
              <w:t>.1</w:t>
            </w:r>
            <w:bookmarkEnd w:id="138"/>
          </w:p>
        </w:tc>
      </w:tr>
      <w:tr w14:paraId="1BD4A6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2B95B42E">
            <w:pPr>
              <w:adjustRightInd w:val="0"/>
              <w:snapToGrid w:val="0"/>
              <w:spacing w:line="240" w:lineRule="auto"/>
              <w:ind w:firstLine="0" w:firstLineChars="0"/>
              <w:jc w:val="center"/>
              <w:rPr>
                <w:color w:val="auto"/>
                <w:szCs w:val="21"/>
              </w:rPr>
            </w:pPr>
            <w:r>
              <w:rPr>
                <w:color w:val="auto"/>
                <w:szCs w:val="21"/>
              </w:rPr>
              <w:t>环保投资占比（%）</w:t>
            </w:r>
          </w:p>
        </w:tc>
        <w:tc>
          <w:tcPr>
            <w:tcW w:w="2126" w:type="dxa"/>
            <w:vAlign w:val="center"/>
          </w:tcPr>
          <w:p w14:paraId="292E18E3">
            <w:pPr>
              <w:adjustRightInd w:val="0"/>
              <w:snapToGrid w:val="0"/>
              <w:spacing w:line="240" w:lineRule="auto"/>
              <w:ind w:firstLine="0" w:firstLineChars="0"/>
              <w:jc w:val="center"/>
              <w:rPr>
                <w:color w:val="auto"/>
                <w:szCs w:val="21"/>
              </w:rPr>
            </w:pPr>
            <w:r>
              <w:rPr>
                <w:color w:val="auto"/>
                <w:szCs w:val="21"/>
              </w:rPr>
              <w:t>0.</w:t>
            </w:r>
            <w:r>
              <w:rPr>
                <w:rFonts w:hint="eastAsia"/>
                <w:color w:val="auto"/>
                <w:szCs w:val="21"/>
              </w:rPr>
              <w:t>75</w:t>
            </w:r>
          </w:p>
        </w:tc>
        <w:tc>
          <w:tcPr>
            <w:tcW w:w="1701" w:type="dxa"/>
            <w:tcMar>
              <w:top w:w="16" w:type="dxa"/>
              <w:left w:w="16" w:type="dxa"/>
              <w:right w:w="16" w:type="dxa"/>
            </w:tcMar>
            <w:vAlign w:val="center"/>
          </w:tcPr>
          <w:p w14:paraId="687D7D93">
            <w:pPr>
              <w:adjustRightInd w:val="0"/>
              <w:snapToGrid w:val="0"/>
              <w:spacing w:line="240" w:lineRule="auto"/>
              <w:ind w:firstLine="0" w:firstLineChars="0"/>
              <w:jc w:val="center"/>
              <w:rPr>
                <w:color w:val="auto"/>
                <w:szCs w:val="21"/>
              </w:rPr>
            </w:pPr>
            <w:r>
              <w:rPr>
                <w:color w:val="auto"/>
                <w:szCs w:val="21"/>
              </w:rPr>
              <w:t>施工工期</w:t>
            </w:r>
          </w:p>
        </w:tc>
        <w:tc>
          <w:tcPr>
            <w:tcW w:w="3119" w:type="dxa"/>
            <w:vAlign w:val="center"/>
          </w:tcPr>
          <w:p w14:paraId="31476AB0">
            <w:pPr>
              <w:adjustRightInd w:val="0"/>
              <w:snapToGrid w:val="0"/>
              <w:spacing w:line="240" w:lineRule="auto"/>
              <w:ind w:firstLine="0" w:firstLineChars="0"/>
              <w:jc w:val="center"/>
              <w:rPr>
                <w:color w:val="auto"/>
                <w:szCs w:val="21"/>
              </w:rPr>
            </w:pPr>
            <w:r>
              <w:rPr>
                <w:rFonts w:hint="eastAsia"/>
                <w:color w:val="auto"/>
                <w:szCs w:val="21"/>
              </w:rPr>
              <w:t>6个月</w:t>
            </w:r>
          </w:p>
        </w:tc>
      </w:tr>
      <w:tr w14:paraId="7FFC6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47F8B836">
            <w:pPr>
              <w:adjustRightInd w:val="0"/>
              <w:snapToGrid w:val="0"/>
              <w:spacing w:line="240" w:lineRule="auto"/>
              <w:ind w:firstLine="0" w:firstLineChars="0"/>
              <w:jc w:val="center"/>
              <w:rPr>
                <w:color w:val="auto"/>
                <w:szCs w:val="21"/>
              </w:rPr>
            </w:pPr>
            <w:r>
              <w:rPr>
                <w:color w:val="auto"/>
                <w:szCs w:val="21"/>
              </w:rPr>
              <w:t>是否开工建设</w:t>
            </w:r>
          </w:p>
        </w:tc>
        <w:tc>
          <w:tcPr>
            <w:tcW w:w="6946" w:type="dxa"/>
            <w:gridSpan w:val="3"/>
            <w:vAlign w:val="center"/>
          </w:tcPr>
          <w:p w14:paraId="2BBFC69C">
            <w:pPr>
              <w:adjustRightInd w:val="0"/>
              <w:snapToGrid w:val="0"/>
              <w:spacing w:line="240" w:lineRule="auto"/>
              <w:ind w:firstLine="240" w:firstLineChars="100"/>
              <w:jc w:val="left"/>
              <w:rPr>
                <w:color w:val="auto"/>
                <w:szCs w:val="21"/>
              </w:rPr>
            </w:pPr>
            <w:r>
              <w:rPr>
                <w:rFonts w:ascii="Segoe UI Symbol" w:hAnsi="Segoe UI Symbol" w:eastAsia="MS Mincho" w:cs="Segoe UI Symbol"/>
                <w:color w:val="auto"/>
                <w:kern w:val="0"/>
                <w:szCs w:val="21"/>
              </w:rPr>
              <w:t>☑</w:t>
            </w:r>
            <w:r>
              <w:rPr>
                <w:color w:val="auto"/>
                <w:szCs w:val="21"/>
              </w:rPr>
              <w:t>否</w:t>
            </w:r>
          </w:p>
          <w:p w14:paraId="77332416">
            <w:pPr>
              <w:adjustRightInd w:val="0"/>
              <w:snapToGrid w:val="0"/>
              <w:spacing w:line="240" w:lineRule="auto"/>
              <w:ind w:firstLine="320" w:firstLineChars="100"/>
              <w:jc w:val="left"/>
              <w:rPr>
                <w:color w:val="auto"/>
                <w:szCs w:val="21"/>
              </w:rPr>
            </w:pPr>
            <w:r>
              <w:rPr>
                <w:color w:val="auto"/>
                <w:sz w:val="32"/>
                <w:szCs w:val="32"/>
              </w:rPr>
              <w:t>□</w:t>
            </w:r>
            <w:r>
              <w:rPr>
                <w:color w:val="auto"/>
                <w:szCs w:val="21"/>
              </w:rPr>
              <w:t>是：</w:t>
            </w:r>
            <w:r>
              <w:rPr>
                <w:color w:val="auto"/>
                <w:szCs w:val="21"/>
                <w:u w:val="single"/>
              </w:rPr>
              <w:t xml:space="preserve">              /              </w:t>
            </w:r>
          </w:p>
        </w:tc>
      </w:tr>
      <w:tr w14:paraId="44784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106AAB42">
            <w:pPr>
              <w:autoSpaceDE w:val="0"/>
              <w:autoSpaceDN w:val="0"/>
              <w:adjustRightInd w:val="0"/>
              <w:snapToGrid w:val="0"/>
              <w:spacing w:line="240" w:lineRule="auto"/>
              <w:ind w:firstLine="0" w:firstLineChars="0"/>
              <w:jc w:val="center"/>
              <w:rPr>
                <w:color w:val="auto"/>
                <w:kern w:val="0"/>
                <w:szCs w:val="21"/>
              </w:rPr>
            </w:pPr>
            <w:r>
              <w:rPr>
                <w:color w:val="auto"/>
                <w:kern w:val="0"/>
                <w:szCs w:val="21"/>
              </w:rPr>
              <w:t>专项评价设置情况</w:t>
            </w:r>
          </w:p>
        </w:tc>
        <w:tc>
          <w:tcPr>
            <w:tcW w:w="6946" w:type="dxa"/>
            <w:gridSpan w:val="3"/>
            <w:tcMar>
              <w:top w:w="16" w:type="dxa"/>
              <w:left w:w="16" w:type="dxa"/>
              <w:right w:w="16" w:type="dxa"/>
            </w:tcMar>
            <w:vAlign w:val="center"/>
          </w:tcPr>
          <w:p w14:paraId="6738C224">
            <w:pPr>
              <w:autoSpaceDE w:val="0"/>
              <w:autoSpaceDN w:val="0"/>
              <w:adjustRightInd w:val="0"/>
              <w:snapToGrid w:val="0"/>
              <w:ind w:firstLine="482"/>
              <w:rPr>
                <w:b/>
                <w:bCs/>
                <w:color w:val="auto"/>
                <w:kern w:val="0"/>
                <w:szCs w:val="21"/>
              </w:rPr>
            </w:pPr>
            <w:r>
              <w:rPr>
                <w:rFonts w:hint="eastAsia"/>
                <w:b/>
                <w:bCs/>
                <w:color w:val="auto"/>
                <w:kern w:val="0"/>
                <w:szCs w:val="21"/>
              </w:rPr>
              <w:t>1、《建设项目环境影响报告表编制技术指南（生态影响类）（试行）》项目专题评价</w:t>
            </w:r>
          </w:p>
          <w:p w14:paraId="077CBDA4">
            <w:pPr>
              <w:autoSpaceDE w:val="0"/>
              <w:autoSpaceDN w:val="0"/>
              <w:adjustRightInd w:val="0"/>
              <w:snapToGrid w:val="0"/>
              <w:ind w:firstLine="480"/>
              <w:rPr>
                <w:color w:val="auto"/>
                <w:kern w:val="0"/>
                <w:szCs w:val="21"/>
              </w:rPr>
            </w:pPr>
            <w:r>
              <w:rPr>
                <w:color w:val="auto"/>
                <w:kern w:val="0"/>
                <w:szCs w:val="21"/>
              </w:rPr>
              <w:t>根据《</w:t>
            </w:r>
            <w:r>
              <w:rPr>
                <w:rFonts w:hint="eastAsia"/>
                <w:color w:val="auto"/>
                <w:kern w:val="0"/>
                <w:szCs w:val="21"/>
              </w:rPr>
              <w:t>建设项目环境影响报告表编制技术指南</w:t>
            </w:r>
            <w:r>
              <w:rPr>
                <w:color w:val="auto"/>
                <w:kern w:val="0"/>
                <w:szCs w:val="21"/>
              </w:rPr>
              <w:t>（生态影响类）（试行）》，项目专题评价设置情况如下表。</w:t>
            </w:r>
          </w:p>
          <w:p w14:paraId="5783F8E5">
            <w:pPr>
              <w:pStyle w:val="63"/>
              <w:rPr>
                <w:color w:val="auto"/>
              </w:rPr>
            </w:pPr>
            <w:bookmarkStart w:id="139" w:name="_Ref150937311"/>
            <w:bookmarkStart w:id="140" w:name="_Ref199410503"/>
            <w:r>
              <w:rPr>
                <w:color w:val="auto"/>
              </w:rPr>
              <w:t xml:space="preserve">表 </w:t>
            </w:r>
            <w:r>
              <w:rPr>
                <w:rFonts w:hint="eastAsia"/>
                <w:color w:val="auto"/>
              </w:rPr>
              <w:t>1</w:t>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139"/>
            <w:r>
              <w:rPr>
                <w:color w:val="auto"/>
              </w:rPr>
              <w:t xml:space="preserve">  </w:t>
            </w:r>
            <w:bookmarkStart w:id="141" w:name="_Ref199410507"/>
            <w:r>
              <w:rPr>
                <w:color w:val="auto"/>
              </w:rPr>
              <w:t>专项评价设置原则表</w:t>
            </w:r>
            <w:bookmarkEnd w:id="140"/>
            <w:bookmarkEnd w:id="141"/>
          </w:p>
          <w:tbl>
            <w:tblPr>
              <w:tblStyle w:val="41"/>
              <w:tblW w:w="6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065"/>
              <w:gridCol w:w="2687"/>
              <w:gridCol w:w="1707"/>
              <w:gridCol w:w="710"/>
            </w:tblGrid>
            <w:tr w14:paraId="08E3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71" w:type="pct"/>
                  <w:vAlign w:val="center"/>
                </w:tcPr>
                <w:p w14:paraId="7CF04B7E">
                  <w:pPr>
                    <w:pStyle w:val="65"/>
                    <w:rPr>
                      <w:b/>
                      <w:bCs/>
                      <w:color w:val="auto"/>
                      <w:szCs w:val="18"/>
                    </w:rPr>
                  </w:pPr>
                  <w:r>
                    <w:rPr>
                      <w:b/>
                      <w:bCs/>
                      <w:color w:val="auto"/>
                      <w:szCs w:val="18"/>
                    </w:rPr>
                    <w:t>序号</w:t>
                  </w:r>
                </w:p>
              </w:tc>
              <w:tc>
                <w:tcPr>
                  <w:tcW w:w="782" w:type="pct"/>
                  <w:vAlign w:val="center"/>
                </w:tcPr>
                <w:p w14:paraId="298D2CF7">
                  <w:pPr>
                    <w:pStyle w:val="65"/>
                    <w:rPr>
                      <w:b/>
                      <w:bCs/>
                      <w:color w:val="auto"/>
                      <w:szCs w:val="18"/>
                    </w:rPr>
                  </w:pPr>
                  <w:r>
                    <w:rPr>
                      <w:b/>
                      <w:bCs/>
                      <w:color w:val="auto"/>
                      <w:szCs w:val="18"/>
                    </w:rPr>
                    <w:t>专项评价的类别</w:t>
                  </w:r>
                </w:p>
              </w:tc>
              <w:tc>
                <w:tcPr>
                  <w:tcW w:w="1973" w:type="pct"/>
                  <w:vAlign w:val="center"/>
                </w:tcPr>
                <w:p w14:paraId="2802D3E0">
                  <w:pPr>
                    <w:pStyle w:val="65"/>
                    <w:rPr>
                      <w:b/>
                      <w:bCs/>
                      <w:color w:val="auto"/>
                      <w:szCs w:val="18"/>
                    </w:rPr>
                  </w:pPr>
                  <w:r>
                    <w:rPr>
                      <w:b/>
                      <w:bCs/>
                      <w:color w:val="auto"/>
                      <w:szCs w:val="18"/>
                    </w:rPr>
                    <w:t>涉及项目类别</w:t>
                  </w:r>
                </w:p>
              </w:tc>
              <w:tc>
                <w:tcPr>
                  <w:tcW w:w="1253" w:type="pct"/>
                  <w:vAlign w:val="center"/>
                </w:tcPr>
                <w:p w14:paraId="0F87118B">
                  <w:pPr>
                    <w:pStyle w:val="65"/>
                    <w:rPr>
                      <w:b/>
                      <w:bCs/>
                      <w:color w:val="auto"/>
                      <w:szCs w:val="18"/>
                    </w:rPr>
                  </w:pPr>
                  <w:r>
                    <w:rPr>
                      <w:b/>
                      <w:bCs/>
                      <w:color w:val="auto"/>
                      <w:szCs w:val="18"/>
                    </w:rPr>
                    <w:t>本项目专项评价判定</w:t>
                  </w:r>
                </w:p>
              </w:tc>
              <w:tc>
                <w:tcPr>
                  <w:tcW w:w="521" w:type="pct"/>
                  <w:vAlign w:val="center"/>
                </w:tcPr>
                <w:p w14:paraId="4BB8BAD1">
                  <w:pPr>
                    <w:pStyle w:val="65"/>
                    <w:rPr>
                      <w:b/>
                      <w:bCs/>
                      <w:color w:val="auto"/>
                      <w:szCs w:val="18"/>
                    </w:rPr>
                  </w:pPr>
                  <w:r>
                    <w:rPr>
                      <w:b/>
                      <w:bCs/>
                      <w:color w:val="auto"/>
                      <w:szCs w:val="18"/>
                    </w:rPr>
                    <w:t>设置情况</w:t>
                  </w:r>
                </w:p>
              </w:tc>
            </w:tr>
            <w:tr w14:paraId="6D04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1" w:type="pct"/>
                  <w:vAlign w:val="center"/>
                </w:tcPr>
                <w:p w14:paraId="23B1BCDA">
                  <w:pPr>
                    <w:pStyle w:val="65"/>
                    <w:rPr>
                      <w:color w:val="auto"/>
                      <w:szCs w:val="18"/>
                    </w:rPr>
                  </w:pPr>
                  <w:r>
                    <w:rPr>
                      <w:color w:val="auto"/>
                      <w:szCs w:val="18"/>
                    </w:rPr>
                    <w:t>1</w:t>
                  </w:r>
                </w:p>
              </w:tc>
              <w:tc>
                <w:tcPr>
                  <w:tcW w:w="782" w:type="pct"/>
                  <w:vAlign w:val="center"/>
                </w:tcPr>
                <w:p w14:paraId="74A6BC47">
                  <w:pPr>
                    <w:pStyle w:val="65"/>
                    <w:rPr>
                      <w:color w:val="auto"/>
                      <w:szCs w:val="18"/>
                    </w:rPr>
                  </w:pPr>
                  <w:r>
                    <w:rPr>
                      <w:color w:val="auto"/>
                      <w:szCs w:val="18"/>
                    </w:rPr>
                    <w:t>地表水</w:t>
                  </w:r>
                </w:p>
              </w:tc>
              <w:tc>
                <w:tcPr>
                  <w:tcW w:w="1973" w:type="pct"/>
                  <w:vAlign w:val="center"/>
                </w:tcPr>
                <w:p w14:paraId="3B91DBC4">
                  <w:pPr>
                    <w:pStyle w:val="65"/>
                    <w:jc w:val="both"/>
                    <w:rPr>
                      <w:color w:val="auto"/>
                      <w:szCs w:val="18"/>
                    </w:rPr>
                  </w:pPr>
                  <w:r>
                    <w:rPr>
                      <w:color w:val="auto"/>
                      <w:szCs w:val="18"/>
                    </w:rPr>
                    <w:t>水力发电：引水式发电、涉及调峰发电的项目；</w:t>
                  </w:r>
                </w:p>
                <w:p w14:paraId="65A8BE4D">
                  <w:pPr>
                    <w:pStyle w:val="65"/>
                    <w:jc w:val="both"/>
                    <w:rPr>
                      <w:color w:val="auto"/>
                      <w:szCs w:val="18"/>
                    </w:rPr>
                  </w:pPr>
                  <w:r>
                    <w:rPr>
                      <w:color w:val="auto"/>
                      <w:szCs w:val="18"/>
                    </w:rPr>
                    <w:t>人工湖、人工湿地：全部；</w:t>
                  </w:r>
                </w:p>
                <w:p w14:paraId="1599707C">
                  <w:pPr>
                    <w:pStyle w:val="65"/>
                    <w:jc w:val="both"/>
                    <w:rPr>
                      <w:color w:val="auto"/>
                      <w:szCs w:val="18"/>
                    </w:rPr>
                  </w:pPr>
                  <w:r>
                    <w:rPr>
                      <w:color w:val="auto"/>
                      <w:szCs w:val="18"/>
                    </w:rPr>
                    <w:t>引水工程：全部；</w:t>
                  </w:r>
                </w:p>
                <w:p w14:paraId="3A7CF6BA">
                  <w:pPr>
                    <w:pStyle w:val="65"/>
                    <w:jc w:val="both"/>
                    <w:rPr>
                      <w:color w:val="auto"/>
                      <w:szCs w:val="18"/>
                    </w:rPr>
                  </w:pPr>
                  <w:r>
                    <w:rPr>
                      <w:color w:val="auto"/>
                      <w:szCs w:val="18"/>
                    </w:rPr>
                    <w:t>防洪除涝工程：包含水库的项目；</w:t>
                  </w:r>
                </w:p>
                <w:p w14:paraId="67120174">
                  <w:pPr>
                    <w:pStyle w:val="65"/>
                    <w:jc w:val="both"/>
                    <w:rPr>
                      <w:color w:val="auto"/>
                      <w:szCs w:val="18"/>
                    </w:rPr>
                  </w:pPr>
                  <w:r>
                    <w:rPr>
                      <w:color w:val="auto"/>
                      <w:szCs w:val="18"/>
                    </w:rPr>
                    <w:t>河湖整治：</w:t>
                  </w:r>
                  <w:r>
                    <w:rPr>
                      <w:rFonts w:hint="eastAsia"/>
                      <w:color w:val="auto"/>
                      <w:szCs w:val="18"/>
                    </w:rPr>
                    <w:t>涉及</w:t>
                  </w:r>
                  <w:r>
                    <w:rPr>
                      <w:color w:val="auto"/>
                      <w:szCs w:val="18"/>
                    </w:rPr>
                    <w:t>清淤且底泥存在重金属污染的项目</w:t>
                  </w:r>
                </w:p>
              </w:tc>
              <w:tc>
                <w:tcPr>
                  <w:tcW w:w="1253" w:type="pct"/>
                  <w:vAlign w:val="center"/>
                </w:tcPr>
                <w:p w14:paraId="38CEAEB6">
                  <w:pPr>
                    <w:pStyle w:val="65"/>
                    <w:jc w:val="both"/>
                    <w:rPr>
                      <w:color w:val="auto"/>
                      <w:szCs w:val="18"/>
                    </w:rPr>
                  </w:pPr>
                  <w:r>
                    <w:rPr>
                      <w:color w:val="auto"/>
                      <w:szCs w:val="18"/>
                    </w:rPr>
                    <w:t>本项目为光伏建设项目，不属于地表水专项的项目类别</w:t>
                  </w:r>
                </w:p>
              </w:tc>
              <w:tc>
                <w:tcPr>
                  <w:tcW w:w="521" w:type="pct"/>
                  <w:vAlign w:val="center"/>
                </w:tcPr>
                <w:p w14:paraId="6C114159">
                  <w:pPr>
                    <w:pStyle w:val="65"/>
                    <w:jc w:val="both"/>
                    <w:rPr>
                      <w:color w:val="auto"/>
                      <w:szCs w:val="18"/>
                    </w:rPr>
                  </w:pPr>
                  <w:r>
                    <w:rPr>
                      <w:color w:val="auto"/>
                      <w:szCs w:val="18"/>
                    </w:rPr>
                    <w:t>不设置</w:t>
                  </w:r>
                </w:p>
              </w:tc>
            </w:tr>
            <w:tr w14:paraId="6B9D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1" w:type="pct"/>
                  <w:vAlign w:val="center"/>
                </w:tcPr>
                <w:p w14:paraId="710E2B61">
                  <w:pPr>
                    <w:pStyle w:val="65"/>
                    <w:rPr>
                      <w:color w:val="auto"/>
                      <w:szCs w:val="18"/>
                    </w:rPr>
                  </w:pPr>
                  <w:r>
                    <w:rPr>
                      <w:color w:val="auto"/>
                      <w:szCs w:val="18"/>
                    </w:rPr>
                    <w:t>2</w:t>
                  </w:r>
                </w:p>
              </w:tc>
              <w:tc>
                <w:tcPr>
                  <w:tcW w:w="782" w:type="pct"/>
                  <w:vAlign w:val="center"/>
                </w:tcPr>
                <w:p w14:paraId="47A30992">
                  <w:pPr>
                    <w:pStyle w:val="65"/>
                    <w:rPr>
                      <w:color w:val="auto"/>
                      <w:szCs w:val="18"/>
                    </w:rPr>
                  </w:pPr>
                  <w:r>
                    <w:rPr>
                      <w:color w:val="auto"/>
                      <w:szCs w:val="18"/>
                    </w:rPr>
                    <w:t>地下水</w:t>
                  </w:r>
                </w:p>
              </w:tc>
              <w:tc>
                <w:tcPr>
                  <w:tcW w:w="1973" w:type="pct"/>
                  <w:vAlign w:val="center"/>
                </w:tcPr>
                <w:p w14:paraId="54B2FE14">
                  <w:pPr>
                    <w:pStyle w:val="65"/>
                    <w:jc w:val="both"/>
                    <w:rPr>
                      <w:color w:val="auto"/>
                      <w:szCs w:val="18"/>
                    </w:rPr>
                  </w:pPr>
                  <w:r>
                    <w:rPr>
                      <w:color w:val="auto"/>
                      <w:szCs w:val="18"/>
                    </w:rPr>
                    <w:t>陆地石油和天然气开采：全部；</w:t>
                  </w:r>
                </w:p>
                <w:p w14:paraId="71CA2F83">
                  <w:pPr>
                    <w:pStyle w:val="65"/>
                    <w:jc w:val="both"/>
                    <w:rPr>
                      <w:color w:val="auto"/>
                      <w:szCs w:val="18"/>
                    </w:rPr>
                  </w:pPr>
                  <w:r>
                    <w:rPr>
                      <w:color w:val="auto"/>
                      <w:szCs w:val="18"/>
                    </w:rPr>
                    <w:t>地下水（含矿泉水）开采：全部；</w:t>
                  </w:r>
                </w:p>
                <w:p w14:paraId="748DA428">
                  <w:pPr>
                    <w:pStyle w:val="65"/>
                    <w:jc w:val="both"/>
                    <w:rPr>
                      <w:color w:val="auto"/>
                      <w:szCs w:val="18"/>
                    </w:rPr>
                  </w:pPr>
                  <w:r>
                    <w:rPr>
                      <w:color w:val="auto"/>
                      <w:szCs w:val="18"/>
                    </w:rPr>
                    <w:t>水洗、水电、交通等：含穿越可容岩地层隧道的项目</w:t>
                  </w:r>
                </w:p>
              </w:tc>
              <w:tc>
                <w:tcPr>
                  <w:tcW w:w="1253" w:type="pct"/>
                  <w:vAlign w:val="center"/>
                </w:tcPr>
                <w:p w14:paraId="78DF7E33">
                  <w:pPr>
                    <w:pStyle w:val="65"/>
                    <w:jc w:val="both"/>
                    <w:rPr>
                      <w:color w:val="auto"/>
                      <w:szCs w:val="18"/>
                    </w:rPr>
                  </w:pPr>
                  <w:r>
                    <w:rPr>
                      <w:color w:val="auto"/>
                      <w:szCs w:val="18"/>
                    </w:rPr>
                    <w:t>本项目为光伏建设项目，不属于地下水专项的项目类别</w:t>
                  </w:r>
                </w:p>
              </w:tc>
              <w:tc>
                <w:tcPr>
                  <w:tcW w:w="521" w:type="pct"/>
                  <w:vAlign w:val="center"/>
                </w:tcPr>
                <w:p w14:paraId="30F96B7B">
                  <w:pPr>
                    <w:pStyle w:val="65"/>
                    <w:jc w:val="both"/>
                    <w:rPr>
                      <w:color w:val="auto"/>
                      <w:szCs w:val="18"/>
                    </w:rPr>
                  </w:pPr>
                  <w:r>
                    <w:rPr>
                      <w:color w:val="auto"/>
                      <w:szCs w:val="18"/>
                    </w:rPr>
                    <w:t>不设置</w:t>
                  </w:r>
                </w:p>
              </w:tc>
            </w:tr>
            <w:tr w14:paraId="6D16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1" w:type="pct"/>
                  <w:vAlign w:val="center"/>
                </w:tcPr>
                <w:p w14:paraId="04BD6B7B">
                  <w:pPr>
                    <w:pStyle w:val="65"/>
                    <w:rPr>
                      <w:color w:val="auto"/>
                      <w:szCs w:val="18"/>
                    </w:rPr>
                  </w:pPr>
                  <w:r>
                    <w:rPr>
                      <w:color w:val="auto"/>
                      <w:szCs w:val="18"/>
                    </w:rPr>
                    <w:t>3</w:t>
                  </w:r>
                </w:p>
              </w:tc>
              <w:tc>
                <w:tcPr>
                  <w:tcW w:w="782" w:type="pct"/>
                  <w:vAlign w:val="center"/>
                </w:tcPr>
                <w:p w14:paraId="71D0F52B">
                  <w:pPr>
                    <w:pStyle w:val="65"/>
                    <w:rPr>
                      <w:color w:val="auto"/>
                      <w:szCs w:val="18"/>
                    </w:rPr>
                  </w:pPr>
                  <w:r>
                    <w:rPr>
                      <w:color w:val="auto"/>
                      <w:szCs w:val="18"/>
                    </w:rPr>
                    <w:t>生态</w:t>
                  </w:r>
                </w:p>
              </w:tc>
              <w:tc>
                <w:tcPr>
                  <w:tcW w:w="1973" w:type="pct"/>
                  <w:vAlign w:val="center"/>
                </w:tcPr>
                <w:p w14:paraId="785A6841">
                  <w:pPr>
                    <w:pStyle w:val="65"/>
                    <w:jc w:val="both"/>
                    <w:rPr>
                      <w:color w:val="auto"/>
                      <w:szCs w:val="18"/>
                    </w:rPr>
                  </w:pPr>
                  <w:r>
                    <w:rPr>
                      <w:color w:val="auto"/>
                      <w:szCs w:val="18"/>
                    </w:rPr>
                    <w:t>涉及环境敏感区（不包括饮用水水源保护区，以居住、医疗卫生、文化教育、科研、行政办公为主要功能的区域，以及文物保护单位）的项目</w:t>
                  </w:r>
                </w:p>
              </w:tc>
              <w:tc>
                <w:tcPr>
                  <w:tcW w:w="1253" w:type="pct"/>
                  <w:vAlign w:val="center"/>
                </w:tcPr>
                <w:p w14:paraId="3F5E8CB6">
                  <w:pPr>
                    <w:pStyle w:val="65"/>
                    <w:jc w:val="both"/>
                    <w:rPr>
                      <w:color w:val="auto"/>
                      <w:szCs w:val="18"/>
                    </w:rPr>
                  </w:pPr>
                  <w:r>
                    <w:rPr>
                      <w:color w:val="auto"/>
                      <w:szCs w:val="18"/>
                    </w:rPr>
                    <w:t>本项目</w:t>
                  </w:r>
                  <w:r>
                    <w:rPr>
                      <w:rFonts w:hint="eastAsia"/>
                      <w:color w:val="auto"/>
                      <w:szCs w:val="18"/>
                    </w:rPr>
                    <w:t>影响范围</w:t>
                  </w:r>
                  <w:r>
                    <w:rPr>
                      <w:color w:val="auto"/>
                      <w:szCs w:val="18"/>
                    </w:rPr>
                    <w:t>不</w:t>
                  </w:r>
                  <w:r>
                    <w:rPr>
                      <w:rFonts w:hint="eastAsia"/>
                      <w:color w:val="auto"/>
                      <w:szCs w:val="18"/>
                    </w:rPr>
                    <w:t>涉及</w:t>
                  </w:r>
                  <w:r>
                    <w:rPr>
                      <w:color w:val="auto"/>
                      <w:szCs w:val="18"/>
                    </w:rPr>
                    <w:t>环境敏感区</w:t>
                  </w:r>
                  <w:r>
                    <w:rPr>
                      <w:rFonts w:hint="eastAsia"/>
                      <w:color w:val="auto"/>
                      <w:szCs w:val="18"/>
                    </w:rPr>
                    <w:t>（自然保护区、风景名胜区、世界文化和自然遗产地、海洋特别保护区，不涉及已批复的国家公园），不设置生态评价专章</w:t>
                  </w:r>
                </w:p>
              </w:tc>
              <w:tc>
                <w:tcPr>
                  <w:tcW w:w="521" w:type="pct"/>
                  <w:vAlign w:val="center"/>
                </w:tcPr>
                <w:p w14:paraId="2948E8C7">
                  <w:pPr>
                    <w:pStyle w:val="65"/>
                    <w:jc w:val="both"/>
                    <w:rPr>
                      <w:color w:val="auto"/>
                      <w:szCs w:val="18"/>
                    </w:rPr>
                  </w:pPr>
                  <w:r>
                    <w:rPr>
                      <w:rFonts w:hint="eastAsia"/>
                      <w:color w:val="auto"/>
                      <w:szCs w:val="18"/>
                    </w:rPr>
                    <w:t>不</w:t>
                  </w:r>
                  <w:r>
                    <w:rPr>
                      <w:color w:val="auto"/>
                      <w:szCs w:val="18"/>
                    </w:rPr>
                    <w:t>设置</w:t>
                  </w:r>
                </w:p>
              </w:tc>
            </w:tr>
            <w:tr w14:paraId="2BA7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1" w:type="pct"/>
                  <w:vAlign w:val="center"/>
                </w:tcPr>
                <w:p w14:paraId="20875D3B">
                  <w:pPr>
                    <w:pStyle w:val="65"/>
                    <w:rPr>
                      <w:color w:val="auto"/>
                      <w:szCs w:val="18"/>
                    </w:rPr>
                  </w:pPr>
                  <w:r>
                    <w:rPr>
                      <w:color w:val="auto"/>
                      <w:szCs w:val="18"/>
                    </w:rPr>
                    <w:t>4</w:t>
                  </w:r>
                </w:p>
              </w:tc>
              <w:tc>
                <w:tcPr>
                  <w:tcW w:w="782" w:type="pct"/>
                  <w:vAlign w:val="center"/>
                </w:tcPr>
                <w:p w14:paraId="04105B8E">
                  <w:pPr>
                    <w:pStyle w:val="65"/>
                    <w:rPr>
                      <w:color w:val="auto"/>
                      <w:szCs w:val="18"/>
                    </w:rPr>
                  </w:pPr>
                  <w:r>
                    <w:rPr>
                      <w:color w:val="auto"/>
                      <w:szCs w:val="18"/>
                    </w:rPr>
                    <w:t>大气</w:t>
                  </w:r>
                </w:p>
              </w:tc>
              <w:tc>
                <w:tcPr>
                  <w:tcW w:w="1973" w:type="pct"/>
                  <w:vAlign w:val="center"/>
                </w:tcPr>
                <w:p w14:paraId="02951621">
                  <w:pPr>
                    <w:pStyle w:val="65"/>
                    <w:jc w:val="both"/>
                    <w:rPr>
                      <w:color w:val="auto"/>
                      <w:szCs w:val="18"/>
                    </w:rPr>
                  </w:pPr>
                  <w:r>
                    <w:rPr>
                      <w:color w:val="auto"/>
                      <w:szCs w:val="18"/>
                    </w:rPr>
                    <w:t>油气、液体化工码头：全部；</w:t>
                  </w:r>
                </w:p>
                <w:p w14:paraId="2C7EA4AA">
                  <w:pPr>
                    <w:pStyle w:val="65"/>
                    <w:jc w:val="both"/>
                    <w:rPr>
                      <w:color w:val="auto"/>
                      <w:szCs w:val="18"/>
                    </w:rPr>
                  </w:pPr>
                  <w:r>
                    <w:rPr>
                      <w:color w:val="auto"/>
                      <w:szCs w:val="18"/>
                    </w:rPr>
                    <w:t>干散货（</w:t>
                  </w:r>
                  <w:r>
                    <w:rPr>
                      <w:rFonts w:hint="eastAsia"/>
                      <w:color w:val="auto"/>
                      <w:szCs w:val="18"/>
                    </w:rPr>
                    <w:t>含</w:t>
                  </w:r>
                  <w:r>
                    <w:rPr>
                      <w:color w:val="auto"/>
                      <w:szCs w:val="18"/>
                    </w:rPr>
                    <w:t>煤炭、矿石）、件杂、多用途、通用码头：涉及粉尘、挥发性有机物排放的项目</w:t>
                  </w:r>
                </w:p>
              </w:tc>
              <w:tc>
                <w:tcPr>
                  <w:tcW w:w="1253" w:type="pct"/>
                  <w:vAlign w:val="center"/>
                </w:tcPr>
                <w:p w14:paraId="117FDBD7">
                  <w:pPr>
                    <w:pStyle w:val="65"/>
                    <w:jc w:val="both"/>
                    <w:rPr>
                      <w:color w:val="auto"/>
                      <w:szCs w:val="18"/>
                    </w:rPr>
                  </w:pPr>
                  <w:r>
                    <w:rPr>
                      <w:color w:val="auto"/>
                      <w:szCs w:val="18"/>
                    </w:rPr>
                    <w:t>本项目为光伏建设项目，不属于大气专项的项目类别</w:t>
                  </w:r>
                </w:p>
              </w:tc>
              <w:tc>
                <w:tcPr>
                  <w:tcW w:w="521" w:type="pct"/>
                  <w:vAlign w:val="center"/>
                </w:tcPr>
                <w:p w14:paraId="7121758F">
                  <w:pPr>
                    <w:pStyle w:val="65"/>
                    <w:jc w:val="both"/>
                    <w:rPr>
                      <w:color w:val="auto"/>
                      <w:szCs w:val="18"/>
                    </w:rPr>
                  </w:pPr>
                  <w:r>
                    <w:rPr>
                      <w:color w:val="auto"/>
                      <w:szCs w:val="18"/>
                    </w:rPr>
                    <w:t>不设置</w:t>
                  </w:r>
                </w:p>
              </w:tc>
            </w:tr>
            <w:tr w14:paraId="1718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1" w:type="pct"/>
                  <w:vAlign w:val="center"/>
                </w:tcPr>
                <w:p w14:paraId="625B1643">
                  <w:pPr>
                    <w:pStyle w:val="65"/>
                    <w:rPr>
                      <w:color w:val="auto"/>
                      <w:szCs w:val="18"/>
                    </w:rPr>
                  </w:pPr>
                  <w:r>
                    <w:rPr>
                      <w:color w:val="auto"/>
                      <w:szCs w:val="18"/>
                    </w:rPr>
                    <w:t>5</w:t>
                  </w:r>
                </w:p>
              </w:tc>
              <w:tc>
                <w:tcPr>
                  <w:tcW w:w="782" w:type="pct"/>
                  <w:vAlign w:val="center"/>
                </w:tcPr>
                <w:p w14:paraId="5B71EACB">
                  <w:pPr>
                    <w:pStyle w:val="65"/>
                    <w:rPr>
                      <w:color w:val="auto"/>
                      <w:szCs w:val="18"/>
                    </w:rPr>
                  </w:pPr>
                  <w:r>
                    <w:rPr>
                      <w:color w:val="auto"/>
                      <w:szCs w:val="18"/>
                    </w:rPr>
                    <w:t>噪声</w:t>
                  </w:r>
                </w:p>
              </w:tc>
              <w:tc>
                <w:tcPr>
                  <w:tcW w:w="1973" w:type="pct"/>
                  <w:vAlign w:val="center"/>
                </w:tcPr>
                <w:p w14:paraId="3C496183">
                  <w:pPr>
                    <w:pStyle w:val="65"/>
                    <w:jc w:val="both"/>
                    <w:rPr>
                      <w:color w:val="auto"/>
                      <w:szCs w:val="18"/>
                    </w:rPr>
                  </w:pPr>
                  <w:r>
                    <w:rPr>
                      <w:color w:val="auto"/>
                      <w:szCs w:val="18"/>
                    </w:rPr>
                    <w:t>公路、铁路、机场等交通运输业涉及环境敏感区（以居住、医疗卫生、文化教育、科研、行政办公为主要功能的区域）的项目；</w:t>
                  </w:r>
                </w:p>
                <w:p w14:paraId="662EAA6A">
                  <w:pPr>
                    <w:pStyle w:val="65"/>
                    <w:jc w:val="both"/>
                    <w:rPr>
                      <w:color w:val="auto"/>
                      <w:szCs w:val="18"/>
                    </w:rPr>
                  </w:pPr>
                  <w:r>
                    <w:rPr>
                      <w:color w:val="auto"/>
                      <w:szCs w:val="18"/>
                    </w:rPr>
                    <w:t>城市道路（不含维护，不含支路、人行天桥、人行地道）：全部</w:t>
                  </w:r>
                </w:p>
              </w:tc>
              <w:tc>
                <w:tcPr>
                  <w:tcW w:w="1253" w:type="pct"/>
                  <w:vAlign w:val="center"/>
                </w:tcPr>
                <w:p w14:paraId="274C9DD2">
                  <w:pPr>
                    <w:pStyle w:val="65"/>
                    <w:jc w:val="both"/>
                    <w:rPr>
                      <w:color w:val="auto"/>
                      <w:szCs w:val="18"/>
                    </w:rPr>
                  </w:pPr>
                  <w:r>
                    <w:rPr>
                      <w:color w:val="auto"/>
                      <w:szCs w:val="18"/>
                    </w:rPr>
                    <w:t>本项目为光伏建设项目，不属于噪声专项的项目类别</w:t>
                  </w:r>
                </w:p>
              </w:tc>
              <w:tc>
                <w:tcPr>
                  <w:tcW w:w="521" w:type="pct"/>
                  <w:vAlign w:val="center"/>
                </w:tcPr>
                <w:p w14:paraId="414F37B0">
                  <w:pPr>
                    <w:pStyle w:val="65"/>
                    <w:jc w:val="both"/>
                    <w:rPr>
                      <w:color w:val="auto"/>
                      <w:szCs w:val="18"/>
                    </w:rPr>
                  </w:pPr>
                  <w:r>
                    <w:rPr>
                      <w:color w:val="auto"/>
                      <w:szCs w:val="18"/>
                    </w:rPr>
                    <w:t>不设置</w:t>
                  </w:r>
                </w:p>
              </w:tc>
            </w:tr>
            <w:tr w14:paraId="0B07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1" w:type="pct"/>
                  <w:vAlign w:val="center"/>
                </w:tcPr>
                <w:p w14:paraId="15EFD081">
                  <w:pPr>
                    <w:pStyle w:val="65"/>
                    <w:rPr>
                      <w:color w:val="auto"/>
                      <w:szCs w:val="18"/>
                    </w:rPr>
                  </w:pPr>
                  <w:r>
                    <w:rPr>
                      <w:color w:val="auto"/>
                      <w:szCs w:val="18"/>
                    </w:rPr>
                    <w:t>6</w:t>
                  </w:r>
                </w:p>
              </w:tc>
              <w:tc>
                <w:tcPr>
                  <w:tcW w:w="782" w:type="pct"/>
                  <w:vAlign w:val="center"/>
                </w:tcPr>
                <w:p w14:paraId="2C1E9B56">
                  <w:pPr>
                    <w:pStyle w:val="65"/>
                    <w:rPr>
                      <w:color w:val="auto"/>
                      <w:szCs w:val="18"/>
                    </w:rPr>
                  </w:pPr>
                  <w:r>
                    <w:rPr>
                      <w:color w:val="auto"/>
                      <w:szCs w:val="18"/>
                    </w:rPr>
                    <w:t>环境风险</w:t>
                  </w:r>
                </w:p>
              </w:tc>
              <w:tc>
                <w:tcPr>
                  <w:tcW w:w="1973" w:type="pct"/>
                  <w:vAlign w:val="center"/>
                </w:tcPr>
                <w:p w14:paraId="2D3A0E1B">
                  <w:pPr>
                    <w:pStyle w:val="65"/>
                    <w:jc w:val="both"/>
                    <w:rPr>
                      <w:color w:val="auto"/>
                      <w:szCs w:val="18"/>
                    </w:rPr>
                  </w:pPr>
                  <w:r>
                    <w:rPr>
                      <w:color w:val="auto"/>
                      <w:szCs w:val="18"/>
                    </w:rPr>
                    <w:t>石油和</w:t>
                  </w:r>
                  <w:r>
                    <w:rPr>
                      <w:rFonts w:hint="eastAsia"/>
                      <w:color w:val="auto"/>
                      <w:szCs w:val="18"/>
                    </w:rPr>
                    <w:t>天然气</w:t>
                  </w:r>
                  <w:r>
                    <w:rPr>
                      <w:color w:val="auto"/>
                      <w:szCs w:val="18"/>
                    </w:rPr>
                    <w:t>开采：全部；</w:t>
                  </w:r>
                </w:p>
                <w:p w14:paraId="273BEFD0">
                  <w:pPr>
                    <w:pStyle w:val="65"/>
                    <w:jc w:val="both"/>
                    <w:rPr>
                      <w:color w:val="auto"/>
                      <w:szCs w:val="18"/>
                    </w:rPr>
                  </w:pPr>
                  <w:r>
                    <w:rPr>
                      <w:color w:val="auto"/>
                      <w:szCs w:val="18"/>
                    </w:rPr>
                    <w:t>油气、液体化工码头：全部；</w:t>
                  </w:r>
                </w:p>
                <w:p w14:paraId="416BB569">
                  <w:pPr>
                    <w:pStyle w:val="65"/>
                    <w:jc w:val="both"/>
                    <w:rPr>
                      <w:color w:val="auto"/>
                      <w:szCs w:val="18"/>
                    </w:rPr>
                  </w:pPr>
                  <w:r>
                    <w:rPr>
                      <w:color w:val="auto"/>
                      <w:szCs w:val="18"/>
                    </w:rPr>
                    <w:t>原油、成品油、天然气管线（不含城镇天然气管线、企业厂区内管线），危险化学品输送管线（不含企业厂区内管线）：全部</w:t>
                  </w:r>
                </w:p>
              </w:tc>
              <w:tc>
                <w:tcPr>
                  <w:tcW w:w="1253" w:type="pct"/>
                  <w:vAlign w:val="center"/>
                </w:tcPr>
                <w:p w14:paraId="5C1B557C">
                  <w:pPr>
                    <w:pStyle w:val="65"/>
                    <w:jc w:val="both"/>
                    <w:rPr>
                      <w:color w:val="auto"/>
                      <w:szCs w:val="18"/>
                    </w:rPr>
                  </w:pPr>
                  <w:r>
                    <w:rPr>
                      <w:color w:val="auto"/>
                      <w:szCs w:val="18"/>
                    </w:rPr>
                    <w:t>本项目为光伏建设项目，不属于环境风险专项的项目类别</w:t>
                  </w:r>
                </w:p>
              </w:tc>
              <w:tc>
                <w:tcPr>
                  <w:tcW w:w="521" w:type="pct"/>
                  <w:vAlign w:val="center"/>
                </w:tcPr>
                <w:p w14:paraId="1FAB55CF">
                  <w:pPr>
                    <w:pStyle w:val="65"/>
                    <w:jc w:val="both"/>
                    <w:rPr>
                      <w:color w:val="auto"/>
                      <w:szCs w:val="18"/>
                    </w:rPr>
                  </w:pPr>
                  <w:r>
                    <w:rPr>
                      <w:color w:val="auto"/>
                      <w:szCs w:val="18"/>
                    </w:rPr>
                    <w:t>不设置</w:t>
                  </w:r>
                </w:p>
              </w:tc>
            </w:tr>
          </w:tbl>
          <w:p w14:paraId="3E688A78">
            <w:pPr>
              <w:ind w:firstLine="480"/>
              <w:rPr>
                <w:color w:val="auto"/>
              </w:rPr>
            </w:pPr>
            <w:r>
              <w:rPr>
                <w:rFonts w:hint="eastAsia"/>
                <w:color w:val="auto"/>
              </w:rPr>
              <w:t>综上，对照《建设项目环境影响报告表编制技术指南（生态影响类）（试行）》中“</w:t>
            </w:r>
            <w:r>
              <w:rPr>
                <w:color w:val="auto"/>
              </w:rPr>
              <w:fldChar w:fldCharType="begin"/>
            </w:r>
            <w:r>
              <w:rPr>
                <w:color w:val="auto"/>
              </w:rPr>
              <w:instrText xml:space="preserve"> </w:instrText>
            </w:r>
            <w:r>
              <w:rPr>
                <w:rFonts w:hint="eastAsia"/>
                <w:color w:val="auto"/>
              </w:rPr>
              <w:instrText xml:space="preserve">REF _Ref199410503 \h</w:instrText>
            </w:r>
            <w:r>
              <w:rPr>
                <w:color w:val="auto"/>
              </w:rPr>
              <w:instrText xml:space="preserve"> </w:instrText>
            </w:r>
            <w:r>
              <w:rPr>
                <w:color w:val="auto"/>
              </w:rPr>
              <w:fldChar w:fldCharType="separate"/>
            </w:r>
            <w:r>
              <w:rPr>
                <w:color w:val="auto"/>
              </w:rPr>
              <w:t xml:space="preserve">表 </w:t>
            </w:r>
            <w:r>
              <w:rPr>
                <w:rFonts w:hint="eastAsia"/>
                <w:color w:val="auto"/>
              </w:rPr>
              <w:t>1</w:t>
            </w:r>
            <w:r>
              <w:rPr>
                <w:color w:val="auto"/>
              </w:rPr>
              <w:noBreakHyphen/>
            </w:r>
            <w:r>
              <w:rPr>
                <w:color w:val="auto"/>
              </w:rPr>
              <w:t>1  专项评价设置原则表</w:t>
            </w:r>
            <w:r>
              <w:rPr>
                <w:color w:val="auto"/>
              </w:rPr>
              <w:fldChar w:fldCharType="end"/>
            </w:r>
            <w:r>
              <w:rPr>
                <w:rFonts w:hint="eastAsia"/>
                <w:color w:val="auto"/>
              </w:rPr>
              <w:t>”，本项目不属于需开展地表水、地下水、生态、大气、噪声、环境风险专项评价的项目类别，无需设置评价专章。</w:t>
            </w:r>
          </w:p>
          <w:p w14:paraId="4B94E30D">
            <w:pPr>
              <w:autoSpaceDE w:val="0"/>
              <w:autoSpaceDN w:val="0"/>
              <w:adjustRightInd w:val="0"/>
              <w:snapToGrid w:val="0"/>
              <w:ind w:firstLine="482"/>
              <w:rPr>
                <w:b/>
                <w:bCs/>
                <w:color w:val="auto"/>
                <w:kern w:val="0"/>
                <w:szCs w:val="21"/>
              </w:rPr>
            </w:pPr>
            <w:r>
              <w:rPr>
                <w:b/>
                <w:bCs/>
                <w:color w:val="auto"/>
                <w:kern w:val="0"/>
                <w:szCs w:val="21"/>
              </w:rPr>
              <w:t>2</w:t>
            </w:r>
            <w:r>
              <w:rPr>
                <w:rFonts w:hint="eastAsia"/>
                <w:b/>
                <w:bCs/>
                <w:color w:val="auto"/>
                <w:kern w:val="0"/>
                <w:szCs w:val="21"/>
              </w:rPr>
              <w:t>、电磁环境影响专题评价</w:t>
            </w:r>
          </w:p>
          <w:p w14:paraId="29D7522D">
            <w:pPr>
              <w:autoSpaceDE w:val="0"/>
              <w:autoSpaceDN w:val="0"/>
              <w:adjustRightInd w:val="0"/>
              <w:snapToGrid w:val="0"/>
              <w:ind w:firstLine="480"/>
              <w:rPr>
                <w:color w:val="auto"/>
              </w:rPr>
            </w:pPr>
            <w:r>
              <w:rPr>
                <w:rFonts w:hint="eastAsia"/>
                <w:color w:val="auto"/>
                <w:kern w:val="0"/>
                <w:szCs w:val="21"/>
              </w:rPr>
              <w:t>本项目依托德安光伏发电项目220kV升压站，不涉及新建主变及送出线路建设，根据《环境影响评价技术导则 输变电》（HJ 24-2020）附录B要求，无需设置电磁环境影响专题评价</w:t>
            </w:r>
            <w:r>
              <w:rPr>
                <w:color w:val="auto"/>
                <w:kern w:val="0"/>
                <w:szCs w:val="21"/>
              </w:rPr>
              <w:t>。</w:t>
            </w:r>
          </w:p>
        </w:tc>
      </w:tr>
      <w:tr w14:paraId="3E21B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54CC919D">
            <w:pPr>
              <w:autoSpaceDE w:val="0"/>
              <w:autoSpaceDN w:val="0"/>
              <w:adjustRightInd w:val="0"/>
              <w:snapToGrid w:val="0"/>
              <w:spacing w:line="240" w:lineRule="auto"/>
              <w:ind w:firstLine="0" w:firstLineChars="0"/>
              <w:jc w:val="center"/>
              <w:rPr>
                <w:color w:val="auto"/>
                <w:kern w:val="0"/>
                <w:szCs w:val="21"/>
              </w:rPr>
            </w:pPr>
            <w:r>
              <w:rPr>
                <w:color w:val="auto"/>
                <w:szCs w:val="21"/>
              </w:rPr>
              <w:t>规划情况</w:t>
            </w:r>
          </w:p>
        </w:tc>
        <w:tc>
          <w:tcPr>
            <w:tcW w:w="6946" w:type="dxa"/>
            <w:gridSpan w:val="3"/>
            <w:tcMar>
              <w:top w:w="16" w:type="dxa"/>
              <w:left w:w="16" w:type="dxa"/>
              <w:right w:w="16" w:type="dxa"/>
            </w:tcMar>
            <w:vAlign w:val="center"/>
          </w:tcPr>
          <w:p w14:paraId="46FB24F4">
            <w:pPr>
              <w:ind w:firstLine="0" w:firstLineChars="0"/>
              <w:rPr>
                <w:b/>
                <w:bCs/>
                <w:color w:val="auto"/>
              </w:rPr>
            </w:pPr>
            <w:r>
              <w:rPr>
                <w:rFonts w:hint="eastAsia"/>
                <w:b/>
                <w:bCs/>
                <w:color w:val="auto"/>
              </w:rPr>
              <w:t>一、《云南省发展和改革委员会 云南省能源局关于印发云南省2025年第一批新能源项目开发建设方案的通知》</w:t>
            </w:r>
          </w:p>
          <w:p w14:paraId="2BC57437">
            <w:pPr>
              <w:ind w:firstLine="480"/>
              <w:rPr>
                <w:rFonts w:cs="Times New Roman"/>
                <w:color w:val="auto"/>
              </w:rPr>
            </w:pPr>
            <w:r>
              <w:rPr>
                <w:rFonts w:hint="eastAsia" w:cs="Times New Roman"/>
                <w:color w:val="auto"/>
              </w:rPr>
              <w:t>审批机关：云南省发展和改革委员会、云南省能源局</w:t>
            </w:r>
          </w:p>
          <w:p w14:paraId="51083813">
            <w:pPr>
              <w:ind w:firstLine="480"/>
              <w:rPr>
                <w:color w:val="auto"/>
              </w:rPr>
            </w:pPr>
            <w:r>
              <w:rPr>
                <w:rFonts w:hint="eastAsia"/>
                <w:color w:val="auto"/>
              </w:rPr>
              <w:t>审批文件名称：《云南省发展和改革委员会 云南省能源局关于印发云南省2025年第一批新能源项目开发建设方案的通知》</w:t>
            </w:r>
          </w:p>
          <w:p w14:paraId="435BFF6D">
            <w:pPr>
              <w:ind w:firstLine="480"/>
              <w:rPr>
                <w:rFonts w:cs="Times New Roman"/>
                <w:color w:val="auto"/>
              </w:rPr>
            </w:pPr>
            <w:r>
              <w:rPr>
                <w:rFonts w:hint="eastAsia" w:cs="Times New Roman"/>
                <w:color w:val="auto"/>
              </w:rPr>
              <w:t>文号：云能源新能〔2025〕51号</w:t>
            </w:r>
          </w:p>
          <w:p w14:paraId="3B62E039">
            <w:pPr>
              <w:ind w:firstLine="0" w:firstLineChars="0"/>
              <w:rPr>
                <w:b/>
                <w:bCs/>
                <w:color w:val="auto"/>
              </w:rPr>
            </w:pPr>
            <w:r>
              <w:rPr>
                <w:rFonts w:hint="eastAsia"/>
                <w:b/>
                <w:bCs/>
                <w:color w:val="auto"/>
              </w:rPr>
              <w:t>二、《大理州能源发展“十四五”规划》</w:t>
            </w:r>
          </w:p>
          <w:p w14:paraId="5B40CC90">
            <w:pPr>
              <w:ind w:firstLine="480"/>
              <w:rPr>
                <w:color w:val="auto"/>
              </w:rPr>
            </w:pPr>
            <w:r>
              <w:rPr>
                <w:rFonts w:hint="eastAsia"/>
                <w:color w:val="auto"/>
              </w:rPr>
              <w:t>审批机关：大理白族自治州能源局</w:t>
            </w:r>
          </w:p>
          <w:p w14:paraId="5FF492B1">
            <w:pPr>
              <w:ind w:firstLine="480"/>
              <w:rPr>
                <w:color w:val="auto"/>
              </w:rPr>
            </w:pPr>
            <w:r>
              <w:rPr>
                <w:rFonts w:hint="eastAsia"/>
                <w:color w:val="auto"/>
              </w:rPr>
              <w:t>审批文件名称：《大理白族自治州能源局关于印发</w:t>
            </w:r>
            <w:r>
              <w:rPr>
                <w:rFonts w:hint="eastAsia" w:ascii="宋体" w:hAnsi="宋体"/>
                <w:color w:val="auto"/>
              </w:rPr>
              <w:t>&lt;</w:t>
            </w:r>
            <w:r>
              <w:rPr>
                <w:rFonts w:hint="eastAsia"/>
                <w:color w:val="auto"/>
              </w:rPr>
              <w:t>大理州能源发展“十四五”规划</w:t>
            </w:r>
            <w:r>
              <w:rPr>
                <w:rFonts w:hint="eastAsia" w:ascii="宋体" w:hAnsi="宋体"/>
                <w:color w:val="auto"/>
              </w:rPr>
              <w:t>&gt;</w:t>
            </w:r>
            <w:r>
              <w:rPr>
                <w:rFonts w:hint="eastAsia"/>
                <w:color w:val="auto"/>
              </w:rPr>
              <w:t>的通知》</w:t>
            </w:r>
          </w:p>
          <w:p w14:paraId="44AC7D19">
            <w:pPr>
              <w:ind w:firstLine="480"/>
              <w:rPr>
                <w:rFonts w:cs="Times New Roman"/>
                <w:color w:val="auto"/>
              </w:rPr>
            </w:pPr>
            <w:r>
              <w:rPr>
                <w:rFonts w:hint="eastAsia" w:cs="Times New Roman"/>
                <w:color w:val="auto"/>
              </w:rPr>
              <w:t>发布日期：2021年12月31日</w:t>
            </w:r>
          </w:p>
          <w:p w14:paraId="2847F808">
            <w:pPr>
              <w:ind w:firstLine="0" w:firstLineChars="0"/>
              <w:rPr>
                <w:b/>
                <w:bCs/>
                <w:color w:val="auto"/>
              </w:rPr>
            </w:pPr>
            <w:r>
              <w:rPr>
                <w:rFonts w:hint="eastAsia"/>
                <w:b/>
                <w:bCs/>
                <w:color w:val="auto"/>
              </w:rPr>
              <w:t>三、《云南省大理州南涧县太阳能光伏电站选址规划报告》</w:t>
            </w:r>
          </w:p>
          <w:p w14:paraId="6C031D7A">
            <w:pPr>
              <w:ind w:firstLine="480"/>
              <w:rPr>
                <w:color w:val="auto"/>
              </w:rPr>
            </w:pPr>
            <w:r>
              <w:rPr>
                <w:rFonts w:hint="eastAsia"/>
                <w:color w:val="auto"/>
              </w:rPr>
              <w:t>编制单位：中国电建集团昆明勘测设计研究院有限公司</w:t>
            </w:r>
          </w:p>
          <w:p w14:paraId="4E8EB19A">
            <w:pPr>
              <w:ind w:firstLine="480"/>
              <w:rPr>
                <w:color w:val="auto"/>
              </w:rPr>
            </w:pPr>
            <w:r>
              <w:rPr>
                <w:rFonts w:hint="eastAsia"/>
                <w:color w:val="auto"/>
              </w:rPr>
              <w:t>编制时间：2022年8月</w:t>
            </w:r>
          </w:p>
          <w:p w14:paraId="53404A85">
            <w:pPr>
              <w:ind w:firstLine="0" w:firstLineChars="0"/>
              <w:rPr>
                <w:b/>
                <w:bCs/>
                <w:color w:val="auto"/>
              </w:rPr>
            </w:pPr>
            <w:r>
              <w:rPr>
                <w:rFonts w:hint="eastAsia"/>
                <w:b/>
                <w:bCs/>
                <w:color w:val="auto"/>
              </w:rPr>
              <w:t>四、《南涧彝族自治县国土空间总体规划（2021-2035年）》</w:t>
            </w:r>
          </w:p>
          <w:p w14:paraId="6477A788">
            <w:pPr>
              <w:ind w:firstLine="480"/>
              <w:rPr>
                <w:color w:val="auto"/>
              </w:rPr>
            </w:pPr>
            <w:r>
              <w:rPr>
                <w:rFonts w:hint="eastAsia"/>
                <w:color w:val="auto"/>
              </w:rPr>
              <w:t>审批机关：南涧县自然资源局</w:t>
            </w:r>
          </w:p>
          <w:p w14:paraId="5D62F6BA">
            <w:pPr>
              <w:ind w:firstLine="480"/>
              <w:rPr>
                <w:color w:val="auto"/>
              </w:rPr>
            </w:pPr>
            <w:r>
              <w:rPr>
                <w:rFonts w:hint="eastAsia"/>
                <w:color w:val="auto"/>
              </w:rPr>
              <w:t>审批文件名称：《南涧彝族自治县国土空间总体规划（2021-2035年）》</w:t>
            </w:r>
          </w:p>
          <w:p w14:paraId="38A0341C">
            <w:pPr>
              <w:ind w:firstLine="0" w:firstLineChars="0"/>
              <w:rPr>
                <w:color w:val="auto"/>
              </w:rPr>
            </w:pPr>
            <w:r>
              <w:rPr>
                <w:rFonts w:hint="eastAsia"/>
                <w:color w:val="auto"/>
              </w:rPr>
              <w:t>发布日期：2025年2月19日</w:t>
            </w:r>
          </w:p>
          <w:p w14:paraId="74FBD748">
            <w:pPr>
              <w:ind w:firstLine="0" w:firstLineChars="0"/>
              <w:rPr>
                <w:b/>
                <w:bCs/>
                <w:color w:val="auto"/>
              </w:rPr>
            </w:pPr>
            <w:r>
              <w:rPr>
                <w:rFonts w:hint="eastAsia"/>
                <w:b/>
                <w:bCs/>
                <w:color w:val="auto"/>
              </w:rPr>
              <w:t>五、《南涧县“十四五”能源发展规划（2021-2025年）》</w:t>
            </w:r>
          </w:p>
          <w:p w14:paraId="7C7EDF70">
            <w:pPr>
              <w:ind w:firstLine="480"/>
              <w:rPr>
                <w:color w:val="auto"/>
              </w:rPr>
            </w:pPr>
            <w:r>
              <w:rPr>
                <w:rFonts w:hint="eastAsia"/>
                <w:color w:val="auto"/>
              </w:rPr>
              <w:t>审批机关：南涧彝族自治县人民政府</w:t>
            </w:r>
          </w:p>
          <w:p w14:paraId="2A4EB650">
            <w:pPr>
              <w:ind w:firstLine="480"/>
              <w:rPr>
                <w:color w:val="auto"/>
              </w:rPr>
            </w:pPr>
            <w:r>
              <w:rPr>
                <w:rFonts w:hint="eastAsia"/>
                <w:color w:val="auto"/>
              </w:rPr>
              <w:t>审批文件名：南涧彝族自治县人民政府办公室关于印发《南涧县“十四五”能源发展规划（2021-2025年）》的通知</w:t>
            </w:r>
          </w:p>
          <w:p w14:paraId="28B4E0D3">
            <w:pPr>
              <w:ind w:firstLine="480"/>
              <w:rPr>
                <w:color w:val="auto"/>
              </w:rPr>
            </w:pPr>
            <w:r>
              <w:rPr>
                <w:rFonts w:hint="eastAsia"/>
                <w:color w:val="auto"/>
              </w:rPr>
              <w:t>发布日期：2022年03月29日</w:t>
            </w:r>
          </w:p>
        </w:tc>
      </w:tr>
      <w:tr w14:paraId="41B04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Mar>
              <w:top w:w="16" w:type="dxa"/>
              <w:left w:w="16" w:type="dxa"/>
              <w:right w:w="16" w:type="dxa"/>
            </w:tcMar>
            <w:vAlign w:val="center"/>
          </w:tcPr>
          <w:p w14:paraId="2E59868C">
            <w:pPr>
              <w:autoSpaceDE w:val="0"/>
              <w:autoSpaceDN w:val="0"/>
              <w:adjustRightInd w:val="0"/>
              <w:snapToGrid w:val="0"/>
              <w:spacing w:line="240" w:lineRule="auto"/>
              <w:ind w:firstLine="0" w:firstLineChars="0"/>
              <w:jc w:val="center"/>
              <w:rPr>
                <w:color w:val="auto"/>
                <w:kern w:val="0"/>
                <w:szCs w:val="21"/>
              </w:rPr>
            </w:pPr>
            <w:r>
              <w:rPr>
                <w:color w:val="auto"/>
                <w:szCs w:val="21"/>
              </w:rPr>
              <w:t>规划环境影响评价情况</w:t>
            </w:r>
          </w:p>
        </w:tc>
        <w:tc>
          <w:tcPr>
            <w:tcW w:w="6946" w:type="dxa"/>
            <w:gridSpan w:val="3"/>
            <w:tcMar>
              <w:top w:w="16" w:type="dxa"/>
              <w:left w:w="16" w:type="dxa"/>
              <w:right w:w="16" w:type="dxa"/>
            </w:tcMar>
            <w:vAlign w:val="center"/>
          </w:tcPr>
          <w:p w14:paraId="3B8B85C5">
            <w:pPr>
              <w:ind w:firstLine="482"/>
              <w:rPr>
                <w:b/>
                <w:bCs/>
                <w:color w:val="auto"/>
              </w:rPr>
            </w:pPr>
            <w:r>
              <w:rPr>
                <w:rFonts w:hint="eastAsia"/>
                <w:b/>
                <w:bCs/>
                <w:color w:val="auto"/>
              </w:rPr>
              <w:t>《云南省大理州南涧县太阳能光伏电站选址规划报告》环境影响评价情况</w:t>
            </w:r>
          </w:p>
          <w:p w14:paraId="7297B965">
            <w:pPr>
              <w:ind w:firstLine="480"/>
              <w:rPr>
                <w:color w:val="auto"/>
                <w:kern w:val="0"/>
              </w:rPr>
            </w:pPr>
            <w:r>
              <w:rPr>
                <w:rFonts w:hint="eastAsia"/>
                <w:color w:val="auto"/>
              </w:rPr>
              <w:t>《云南省大理州南涧县太阳能光伏电站选址规划报告》对2</w:t>
            </w:r>
            <w:r>
              <w:rPr>
                <w:color w:val="auto"/>
              </w:rPr>
              <w:t>5</w:t>
            </w:r>
            <w:r>
              <w:rPr>
                <w:rFonts w:hint="eastAsia"/>
                <w:color w:val="auto"/>
              </w:rPr>
              <w:t>个光伏电站规划区进行了环境影响初步评价，并提出了环境保护措施。</w:t>
            </w:r>
          </w:p>
        </w:tc>
      </w:tr>
      <w:tr w14:paraId="61D0F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Borders>
              <w:bottom w:val="single" w:color="auto" w:sz="4" w:space="0"/>
            </w:tcBorders>
            <w:tcMar>
              <w:top w:w="16" w:type="dxa"/>
              <w:left w:w="16" w:type="dxa"/>
              <w:right w:w="16" w:type="dxa"/>
            </w:tcMar>
            <w:vAlign w:val="center"/>
          </w:tcPr>
          <w:p w14:paraId="22C47990">
            <w:pPr>
              <w:autoSpaceDE w:val="0"/>
              <w:autoSpaceDN w:val="0"/>
              <w:adjustRightInd w:val="0"/>
              <w:snapToGrid w:val="0"/>
              <w:spacing w:line="240" w:lineRule="auto"/>
              <w:ind w:firstLine="0" w:firstLineChars="0"/>
              <w:jc w:val="center"/>
              <w:rPr>
                <w:color w:val="auto"/>
                <w:kern w:val="0"/>
                <w:szCs w:val="21"/>
              </w:rPr>
            </w:pPr>
            <w:r>
              <w:rPr>
                <w:color w:val="auto"/>
                <w:kern w:val="0"/>
                <w:szCs w:val="21"/>
              </w:rPr>
              <w:t>规划及</w:t>
            </w:r>
            <w:r>
              <w:rPr>
                <w:color w:val="auto"/>
                <w:szCs w:val="21"/>
              </w:rPr>
              <w:t>规划环境影响评价</w:t>
            </w:r>
            <w:r>
              <w:rPr>
                <w:color w:val="auto"/>
                <w:kern w:val="0"/>
                <w:szCs w:val="21"/>
              </w:rPr>
              <w:t>符合性分析</w:t>
            </w:r>
          </w:p>
        </w:tc>
        <w:tc>
          <w:tcPr>
            <w:tcW w:w="6946" w:type="dxa"/>
            <w:gridSpan w:val="3"/>
            <w:tcBorders>
              <w:bottom w:val="single" w:color="auto" w:sz="4" w:space="0"/>
            </w:tcBorders>
            <w:tcMar>
              <w:top w:w="16" w:type="dxa"/>
              <w:left w:w="16" w:type="dxa"/>
              <w:right w:w="16" w:type="dxa"/>
            </w:tcMar>
            <w:vAlign w:val="center"/>
          </w:tcPr>
          <w:p w14:paraId="667845B4">
            <w:pPr>
              <w:ind w:firstLine="0" w:firstLineChars="0"/>
              <w:rPr>
                <w:b/>
                <w:bCs/>
                <w:color w:val="auto"/>
                <w:szCs w:val="21"/>
              </w:rPr>
            </w:pPr>
            <w:r>
              <w:rPr>
                <w:rFonts w:hint="eastAsia"/>
                <w:b/>
                <w:bCs/>
                <w:color w:val="auto"/>
                <w:szCs w:val="21"/>
              </w:rPr>
              <w:t>一、与《云南省发展和改革委员会 云南省能源局关于印发云南省2025年第一批新能源项目开发建设方案的通知》（云能源新能〔2025〕51号）符合性分析</w:t>
            </w:r>
          </w:p>
          <w:p w14:paraId="2F16F3AB">
            <w:pPr>
              <w:autoSpaceDE w:val="0"/>
              <w:autoSpaceDN w:val="0"/>
              <w:adjustRightInd w:val="0"/>
              <w:snapToGrid w:val="0"/>
              <w:ind w:firstLine="482"/>
              <w:rPr>
                <w:b/>
                <w:bCs/>
                <w:color w:val="auto"/>
                <w:kern w:val="0"/>
              </w:rPr>
            </w:pPr>
            <w:r>
              <w:rPr>
                <w:rFonts w:hint="eastAsia"/>
                <w:b/>
                <w:bCs/>
                <w:color w:val="auto"/>
                <w:kern w:val="0"/>
              </w:rPr>
              <w:t>1、《云南省发展和改革委员会 云南省能源局关于印发云南省2025年第一批新能源项目开发建设方案的通知》相关内容</w:t>
            </w:r>
          </w:p>
          <w:p w14:paraId="1E8EA277">
            <w:pPr>
              <w:ind w:firstLine="480"/>
              <w:rPr>
                <w:color w:val="auto"/>
              </w:rPr>
            </w:pPr>
            <w:r>
              <w:rPr>
                <w:rFonts w:hint="eastAsia"/>
                <w:color w:val="auto"/>
              </w:rPr>
              <w:t>为深入贯彻落实习近平总书记关于大力推动我国新能源高质量发展的重要讲话精神及党的二十届三中全会精神关于完善推动新能源等战略性产业发展政策，扎实推进省委“3815”战略发展目标实施，持续打造绿色能源强省要求，实现“十四五”圆满收官、“十五五”开门红，根据《云南省人民政府印发关于加快光伏发电发展若干政策措施的通知》（云政发(2022〕16号）等相关要求，特制定本方案。</w:t>
            </w:r>
          </w:p>
          <w:p w14:paraId="60FB83AC">
            <w:pPr>
              <w:ind w:firstLine="482"/>
              <w:rPr>
                <w:b/>
                <w:bCs/>
                <w:color w:val="auto"/>
              </w:rPr>
            </w:pPr>
            <w:r>
              <w:rPr>
                <w:rFonts w:hint="eastAsia"/>
                <w:b/>
                <w:bCs/>
                <w:color w:val="auto"/>
              </w:rPr>
              <w:t>一、工作目标</w:t>
            </w:r>
          </w:p>
          <w:p w14:paraId="2BF75286">
            <w:pPr>
              <w:ind w:firstLine="480"/>
              <w:rPr>
                <w:color w:val="auto"/>
              </w:rPr>
            </w:pPr>
            <w:r>
              <w:rPr>
                <w:rFonts w:hint="eastAsia"/>
                <w:color w:val="auto"/>
              </w:rPr>
              <w:t>纳入云南省2025年第一批新能源项目开发建设方案实施的项目共175个，装机1448.905万千瓦，其中光伏项目143个，装机1203.4万千瓦；风电项目32个，装机245.505万千瓦。</w:t>
            </w:r>
          </w:p>
          <w:p w14:paraId="4A25ADE1">
            <w:pPr>
              <w:ind w:firstLine="480"/>
              <w:rPr>
                <w:color w:val="auto"/>
              </w:rPr>
            </w:pPr>
            <w:r>
              <w:rPr>
                <w:rFonts w:hint="eastAsia"/>
                <w:color w:val="auto"/>
              </w:rPr>
              <w:t>本项目为“云南省2025年第一批新能源项目建设清单”中“十、大理州”中114号“沙乐光伏发电项目”。</w:t>
            </w:r>
          </w:p>
          <w:p w14:paraId="228C6A5B">
            <w:pPr>
              <w:autoSpaceDE w:val="0"/>
              <w:autoSpaceDN w:val="0"/>
              <w:adjustRightInd w:val="0"/>
              <w:snapToGrid w:val="0"/>
              <w:ind w:firstLine="0" w:firstLineChars="0"/>
              <w:jc w:val="left"/>
              <w:rPr>
                <w:b/>
                <w:bCs/>
                <w:color w:val="auto"/>
                <w:kern w:val="0"/>
              </w:rPr>
            </w:pPr>
            <w:r>
              <w:rPr>
                <w:color w:val="auto"/>
              </w:rPr>
              <w:drawing>
                <wp:inline distT="0" distB="0" distL="0" distR="0">
                  <wp:extent cx="4381500" cy="2924175"/>
                  <wp:effectExtent l="0" t="0" r="0" b="9525"/>
                  <wp:docPr id="695666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66355" name="图片 1"/>
                          <pic:cNvPicPr>
                            <a:picLocks noChangeAspect="1"/>
                          </pic:cNvPicPr>
                        </pic:nvPicPr>
                        <pic:blipFill>
                          <a:blip r:embed="rId35"/>
                          <a:stretch>
                            <a:fillRect/>
                          </a:stretch>
                        </pic:blipFill>
                        <pic:spPr>
                          <a:xfrm>
                            <a:off x="0" y="0"/>
                            <a:ext cx="4381500" cy="2925906"/>
                          </a:xfrm>
                          <a:prstGeom prst="rect">
                            <a:avLst/>
                          </a:prstGeom>
                        </pic:spPr>
                      </pic:pic>
                    </a:graphicData>
                  </a:graphic>
                </wp:inline>
              </w:drawing>
            </w:r>
            <w:r>
              <w:rPr>
                <w:color w:val="auto"/>
              </w:rPr>
              <w:t xml:space="preserve"> </w:t>
            </w:r>
          </w:p>
          <w:p w14:paraId="7FD8E1D2">
            <w:pPr>
              <w:autoSpaceDE w:val="0"/>
              <w:autoSpaceDN w:val="0"/>
              <w:adjustRightInd w:val="0"/>
              <w:snapToGrid w:val="0"/>
              <w:ind w:firstLine="482"/>
              <w:jc w:val="left"/>
              <w:rPr>
                <w:b/>
                <w:bCs/>
                <w:color w:val="auto"/>
                <w:kern w:val="0"/>
              </w:rPr>
            </w:pPr>
            <w:r>
              <w:rPr>
                <w:rFonts w:hint="eastAsia"/>
                <w:b/>
                <w:bCs/>
                <w:color w:val="auto"/>
                <w:kern w:val="0"/>
              </w:rPr>
              <w:t>2、符合性分析</w:t>
            </w:r>
          </w:p>
          <w:p w14:paraId="3E5C4168">
            <w:pPr>
              <w:autoSpaceDE w:val="0"/>
              <w:autoSpaceDN w:val="0"/>
              <w:adjustRightInd w:val="0"/>
              <w:snapToGrid w:val="0"/>
              <w:ind w:firstLine="480"/>
              <w:rPr>
                <w:color w:val="auto"/>
                <w:kern w:val="0"/>
              </w:rPr>
            </w:pPr>
            <w:r>
              <w:rPr>
                <w:rFonts w:hint="eastAsia"/>
                <w:color w:val="auto"/>
                <w:kern w:val="0"/>
              </w:rPr>
              <w:t>根据《云南省2025年第一批新能源项目开发建设方案》，本项目为沙乐光伏发电项目，属于“云南省2025年第一批新能源项目开发建设方案”中所列项目；本项目设计装机容量60MW，与建设清单中建设容量要求的6万千瓦（60MW）是一致的。项目建设投运后，将有助于减少区域对石化资源的依赖，推进绿色低碳发展，推动大理成为云南重要的绿色清洁能源生产基地，助力实现“双碳”目标；同时，根据</w:t>
            </w:r>
            <w:bookmarkStart w:id="142" w:name="OLE_LINK8"/>
            <w:r>
              <w:rPr>
                <w:rFonts w:hint="eastAsia"/>
                <w:color w:val="auto"/>
                <w:kern w:val="0"/>
              </w:rPr>
              <w:t>《</w:t>
            </w:r>
            <w:r>
              <w:rPr>
                <w:color w:val="auto"/>
                <w:kern w:val="0"/>
              </w:rPr>
              <w:fldChar w:fldCharType="begin"/>
            </w:r>
            <w:r>
              <w:rPr>
                <w:color w:val="auto"/>
                <w:kern w:val="0"/>
              </w:rPr>
              <w:instrText xml:space="preserve"> </w:instrText>
            </w:r>
            <w:r>
              <w:rPr>
                <w:rFonts w:hint="eastAsia"/>
                <w:color w:val="auto"/>
                <w:kern w:val="0"/>
              </w:rPr>
              <w:instrText xml:space="preserve">REF _Ref218539235 \h</w:instrText>
            </w:r>
            <w:r>
              <w:rPr>
                <w:color w:val="auto"/>
                <w:kern w:val="0"/>
              </w:rPr>
              <w:instrText xml:space="preserve">  \* MERGEFORMAT </w:instrText>
            </w:r>
            <w:r>
              <w:rPr>
                <w:color w:val="auto"/>
                <w:kern w:val="0"/>
              </w:rPr>
              <w:fldChar w:fldCharType="separate"/>
            </w:r>
            <w:r>
              <w:rPr>
                <w:rFonts w:hint="eastAsia"/>
                <w:color w:val="auto"/>
                <w:szCs w:val="28"/>
              </w:rPr>
              <w:t>南涧彝族自治县自然资源局关于沙乐光伏发电项目用地审查意见</w:t>
            </w:r>
            <w:r>
              <w:rPr>
                <w:color w:val="auto"/>
                <w:kern w:val="0"/>
              </w:rPr>
              <w:fldChar w:fldCharType="end"/>
            </w:r>
            <w:r>
              <w:rPr>
                <w:rFonts w:hint="eastAsia"/>
                <w:color w:val="auto"/>
                <w:kern w:val="0"/>
              </w:rPr>
              <w:t>》</w:t>
            </w:r>
            <w:r>
              <w:rPr>
                <w:rFonts w:cs="Times New Roman"/>
                <w:color w:val="auto"/>
                <w:kern w:val="0"/>
              </w:rPr>
              <w:t>：“项目</w:t>
            </w:r>
            <w:r>
              <w:rPr>
                <w:rFonts w:hint="eastAsia"/>
                <w:color w:val="auto"/>
                <w:kern w:val="0"/>
              </w:rPr>
              <w:t>选址范围：未占用南涧县永久基本农田核实处置成果，未占用南涧县生态保护红线，未占用城镇开发边界线，未占用南涧县2024年国土变更调查现状耕地，未占用南涧县耕地后备资源，未占用南涧县耕地后备资源补充空间。”</w:t>
            </w:r>
            <w:bookmarkEnd w:id="142"/>
            <w:r>
              <w:rPr>
                <w:rFonts w:hint="eastAsia"/>
                <w:color w:val="auto"/>
                <w:kern w:val="0"/>
              </w:rPr>
              <w:t>，本项目用地类型为园地和交通用地，不涉及占用生态保护红线、永久基本农田和耕地，符合光伏建设项目用地规范要求。综上所述，项目的建设与《云南省2025年第一批新能源项目开发建设方案》相符。</w:t>
            </w:r>
          </w:p>
          <w:p w14:paraId="74460008">
            <w:pPr>
              <w:ind w:firstLine="0" w:firstLineChars="0"/>
              <w:rPr>
                <w:rFonts w:cs="Times New Roman"/>
                <w:b/>
                <w:bCs/>
                <w:color w:val="auto"/>
                <w:szCs w:val="21"/>
              </w:rPr>
            </w:pPr>
            <w:r>
              <w:rPr>
                <w:rFonts w:cs="Times New Roman"/>
                <w:b/>
                <w:bCs/>
                <w:color w:val="auto"/>
                <w:szCs w:val="21"/>
              </w:rPr>
              <w:t>二、</w:t>
            </w:r>
            <w:bookmarkStart w:id="143" w:name="OLE_LINK13"/>
            <w:r>
              <w:rPr>
                <w:rFonts w:cs="Times New Roman"/>
                <w:b/>
                <w:bCs/>
                <w:color w:val="auto"/>
                <w:szCs w:val="21"/>
              </w:rPr>
              <w:t>与《大理州能源发展“十四五”规划》（大能源办〔2021〕89号）符合性分析</w:t>
            </w:r>
            <w:bookmarkEnd w:id="143"/>
          </w:p>
          <w:p w14:paraId="3C7C1729">
            <w:pPr>
              <w:ind w:firstLine="480"/>
              <w:rPr>
                <w:rFonts w:cs="Times New Roman"/>
                <w:b/>
                <w:bCs/>
                <w:color w:val="auto"/>
                <w:szCs w:val="21"/>
              </w:rPr>
            </w:pPr>
            <w:r>
              <w:rPr>
                <w:rFonts w:cs="Times New Roman"/>
                <w:color w:val="auto"/>
                <w:szCs w:val="21"/>
              </w:rPr>
              <w:t>…</w:t>
            </w:r>
            <w:r>
              <w:rPr>
                <w:rFonts w:cs="Times New Roman"/>
                <w:b/>
                <w:bCs/>
                <w:color w:val="auto"/>
                <w:szCs w:val="21"/>
              </w:rPr>
              <w:t>第六章 规划的环境影响分析</w:t>
            </w:r>
          </w:p>
          <w:p w14:paraId="7F915B3B">
            <w:pPr>
              <w:ind w:firstLine="482"/>
              <w:rPr>
                <w:rFonts w:cs="Times New Roman"/>
                <w:b/>
                <w:bCs/>
                <w:color w:val="auto"/>
              </w:rPr>
            </w:pPr>
            <w:r>
              <w:rPr>
                <w:rFonts w:cs="Times New Roman"/>
                <w:b/>
                <w:bCs/>
                <w:color w:val="auto"/>
              </w:rPr>
              <w:t>一、环境协调性分析</w:t>
            </w:r>
          </w:p>
          <w:p w14:paraId="0665D063">
            <w:pPr>
              <w:ind w:firstLine="480"/>
              <w:rPr>
                <w:rFonts w:cs="Times New Roman"/>
                <w:color w:val="auto"/>
              </w:rPr>
            </w:pPr>
            <w:r>
              <w:rPr>
                <w:rFonts w:cs="Times New Roman"/>
                <w:color w:val="auto"/>
              </w:rPr>
              <w:t>大理州“十四五”规划新增电源均为光伏发电、风电、生物质发电等清洁可再生新能源，清洁能源消费增量对减少煤炭消耗，降低二氧化碳、二氧化硫排放量将发挥积极作用。</w:t>
            </w:r>
          </w:p>
          <w:p w14:paraId="0AF81373">
            <w:pPr>
              <w:ind w:firstLine="480"/>
              <w:rPr>
                <w:rFonts w:cs="Times New Roman"/>
                <w:b/>
                <w:bCs/>
                <w:color w:val="auto"/>
              </w:rPr>
            </w:pPr>
            <w:r>
              <w:rPr>
                <w:rFonts w:cs="Times New Roman"/>
                <w:color w:val="auto"/>
              </w:rPr>
              <w:t>…</w:t>
            </w:r>
            <w:r>
              <w:rPr>
                <w:rFonts w:cs="Times New Roman"/>
                <w:b/>
                <w:bCs/>
                <w:color w:val="auto"/>
              </w:rPr>
              <w:t>二、规划项目的环境影响评价要求</w:t>
            </w:r>
          </w:p>
          <w:p w14:paraId="6A0EE011">
            <w:pPr>
              <w:ind w:firstLine="480"/>
              <w:rPr>
                <w:rFonts w:cs="Times New Roman"/>
                <w:color w:val="auto"/>
              </w:rPr>
            </w:pPr>
            <w:r>
              <w:rPr>
                <w:rFonts w:cs="Times New Roman"/>
                <w:color w:val="auto"/>
              </w:rPr>
              <w:t>大理州环境敏感区分布较广、数量较多。规划新建的所有能源建设项目，必须全面落实生态优先的理念，在前期论证、规划、设计、施工等项目实施的所有环节，要开展深入细致的调查分析，坚决避让各类环境敏感区（各级自然保护区、风景名胜区、历史文化保护区、公益林区、涵养水源林地区等），符合国土空间规划，特别是保护好基本农田。</w:t>
            </w:r>
          </w:p>
          <w:p w14:paraId="57B6DC58">
            <w:pPr>
              <w:ind w:firstLine="480"/>
              <w:rPr>
                <w:b/>
                <w:bCs/>
                <w:color w:val="auto"/>
              </w:rPr>
            </w:pPr>
            <w:r>
              <w:rPr>
                <w:color w:val="auto"/>
              </w:rPr>
              <w:t>本项目为光伏发电项目，属于规划倡导的产业方案，项目所产电能可以在大理州境内进行消纳。项目建设不涉及自然保护区、风景名胜区、历史文化保护区、涵养水源林地区及基本农田等敏感区。因此，本项目的建设符合《大理州能源发展“十四五”规划》。</w:t>
            </w:r>
          </w:p>
          <w:p w14:paraId="1D2FF297">
            <w:pPr>
              <w:autoSpaceDE w:val="0"/>
              <w:autoSpaceDN w:val="0"/>
              <w:adjustRightInd w:val="0"/>
              <w:snapToGrid w:val="0"/>
              <w:ind w:firstLine="0" w:firstLineChars="0"/>
              <w:jc w:val="left"/>
              <w:rPr>
                <w:b/>
                <w:bCs/>
                <w:color w:val="auto"/>
                <w:kern w:val="0"/>
              </w:rPr>
            </w:pPr>
            <w:r>
              <w:rPr>
                <w:rFonts w:hint="eastAsia"/>
                <w:b/>
                <w:bCs/>
                <w:color w:val="auto"/>
                <w:kern w:val="0"/>
              </w:rPr>
              <w:t>三、与《云南省大理州南涧县太阳能光伏电站选址规划报告》的符合性分析</w:t>
            </w:r>
          </w:p>
          <w:p w14:paraId="537A3D6E">
            <w:pPr>
              <w:ind w:firstLine="480"/>
              <w:rPr>
                <w:color w:val="auto"/>
              </w:rPr>
            </w:pPr>
            <w:r>
              <w:rPr>
                <w:rFonts w:hint="eastAsia"/>
                <w:color w:val="auto"/>
              </w:rPr>
              <w:t>1、《云南省大理州南涧县太阳能光伏电站选址规划报告》相关内容</w:t>
            </w:r>
          </w:p>
          <w:p w14:paraId="1393961B">
            <w:pPr>
              <w:ind w:firstLine="480"/>
              <w:rPr>
                <w:color w:val="auto"/>
              </w:rPr>
            </w:pPr>
            <w:r>
              <w:rPr>
                <w:rFonts w:hint="eastAsia"/>
                <w:color w:val="auto"/>
              </w:rPr>
              <w:t>1 概述</w:t>
            </w:r>
          </w:p>
          <w:p w14:paraId="1FF247ED">
            <w:pPr>
              <w:ind w:firstLine="480"/>
              <w:rPr>
                <w:color w:val="auto"/>
              </w:rPr>
            </w:pPr>
            <w:r>
              <w:rPr>
                <w:rFonts w:hint="eastAsia"/>
                <w:color w:val="auto"/>
              </w:rPr>
              <w:t>1.1 规划背景</w:t>
            </w:r>
          </w:p>
          <w:p w14:paraId="2CBE18D4">
            <w:pPr>
              <w:ind w:firstLine="480"/>
              <w:rPr>
                <w:color w:val="auto"/>
              </w:rPr>
            </w:pPr>
            <w:r>
              <w:rPr>
                <w:rFonts w:hint="eastAsia"/>
                <w:color w:val="auto"/>
              </w:rPr>
              <w:t>云南省可再生能源包括水能、风能、太阳能、生物质能和地热能，《云南省可再生能源发展“十四五”规划》系统评估了各类可再生能源资源的开发条件，总结了“十三五”可再生能源发展成绩，分析发展中存在的问题、困难，研判国内外可再生能源发展形势，按照“十四五”经济社会发展边界条件、能源高效低碳发展新要求，预测“十四五”可再生能源需求，按照“四个革命，一个合作”的能源安全战略，在云南省打造世界一流“绿色能源牌”、建设全国绿色能源示范省和全省经济社会发展的总体要求下，衔接云南省十四五能源发展规划，提出云南省“十四五”可再生能源发展的指导思想、发展目标、主要任务。结合经济社会发展、环境保护及国土空间规划等边界条件，立足可再生能源资源安全高效利用，提出科学的、可充分保障的能源需求，提高供给质量效益的方案，制定“十四五”保障可再生能源发展的措施，以便科学指导可再生能源产业又好又快协调发展，支撑保障实现云南省成为全国绿色能源示范省的目标。</w:t>
            </w:r>
          </w:p>
          <w:p w14:paraId="13CB4CAB">
            <w:pPr>
              <w:ind w:firstLine="480"/>
              <w:rPr>
                <w:color w:val="auto"/>
              </w:rPr>
            </w:pPr>
            <w:r>
              <w:rPr>
                <w:color w:val="auto"/>
              </w:rPr>
              <w:t>…</w:t>
            </w:r>
            <w:r>
              <w:rPr>
                <w:rFonts w:hint="eastAsia"/>
                <w:color w:val="auto"/>
              </w:rPr>
              <w:t>3.20沙乐光伏电站</w:t>
            </w:r>
          </w:p>
          <w:p w14:paraId="7948F2D1">
            <w:pPr>
              <w:adjustRightInd w:val="0"/>
              <w:snapToGrid w:val="0"/>
              <w:ind w:firstLine="480"/>
              <w:rPr>
                <w:color w:val="auto"/>
              </w:rPr>
            </w:pPr>
            <w:r>
              <w:rPr>
                <w:rFonts w:hint="eastAsia"/>
                <w:color w:val="auto"/>
              </w:rPr>
              <w:t>3.20.1场址概述</w:t>
            </w:r>
          </w:p>
          <w:p w14:paraId="7E982CB0">
            <w:pPr>
              <w:adjustRightInd w:val="0"/>
              <w:snapToGrid w:val="0"/>
              <w:ind w:firstLine="480"/>
              <w:rPr>
                <w:color w:val="auto"/>
                <w:kern w:val="0"/>
              </w:rPr>
            </w:pPr>
            <w:r>
              <w:rPr>
                <w:rFonts w:hint="eastAsia"/>
                <w:color w:val="auto"/>
                <w:kern w:val="0"/>
              </w:rPr>
              <w:t>沙乐场址位于南涧县公郎镇附近南向坡地上，场址地理坐标介于东经100°24′56"~100°30′49"，北纬24°44′10"~24°47′16"之间，坡度在5°~30°之间，海拔高程在1774m~2023m之间；场址到南涧县直线距离约31km。可利用面积约2418亩，规划装机容量为65MW。</w:t>
            </w:r>
          </w:p>
          <w:p w14:paraId="2EF76A61">
            <w:pPr>
              <w:adjustRightInd w:val="0"/>
              <w:snapToGrid w:val="0"/>
              <w:ind w:firstLine="480"/>
              <w:rPr>
                <w:color w:val="auto"/>
                <w:kern w:val="0"/>
              </w:rPr>
            </w:pPr>
            <w:r>
              <w:rPr>
                <w:color w:val="auto"/>
                <w:kern w:val="0"/>
              </w:rPr>
              <w:t>沙乐光伏场址地势较为平缓，坡度在5°~30°之间，有利于光伏阵列的布置。场址不涉及稳定耕地、公益林、生态红线等敏感因素，现地大部分为旱地、灌木林地、核桃树及其他林地，旱地主要种植玉米和烟叶，核桃树及其他林地范围地块的可用性需根据项目推进中林勘现地调查结果及征地经济可行性综合确定</w:t>
            </w:r>
            <w:r>
              <w:rPr>
                <w:rFonts w:hint="eastAsia"/>
                <w:color w:val="auto"/>
                <w:kern w:val="0"/>
              </w:rPr>
              <w:t>。</w:t>
            </w:r>
          </w:p>
          <w:p w14:paraId="64B8CA40">
            <w:pPr>
              <w:adjustRightInd w:val="0"/>
              <w:snapToGrid w:val="0"/>
              <w:ind w:firstLine="480"/>
              <w:rPr>
                <w:color w:val="auto"/>
                <w:kern w:val="0"/>
              </w:rPr>
            </w:pPr>
            <w:r>
              <w:rPr>
                <w:rFonts w:hint="eastAsia"/>
                <w:color w:val="auto"/>
                <w:kern w:val="0"/>
              </w:rPr>
              <w:t>3.20.2 建设条件</w:t>
            </w:r>
          </w:p>
          <w:p w14:paraId="2033F03D">
            <w:pPr>
              <w:adjustRightInd w:val="0"/>
              <w:snapToGrid w:val="0"/>
              <w:ind w:firstLine="480"/>
              <w:rPr>
                <w:color w:val="auto"/>
                <w:kern w:val="0"/>
              </w:rPr>
            </w:pPr>
            <w:r>
              <w:rPr>
                <w:color w:val="auto"/>
                <w:kern w:val="0"/>
              </w:rPr>
              <w:t>3.</w:t>
            </w:r>
            <w:r>
              <w:rPr>
                <w:rFonts w:hint="eastAsia"/>
                <w:color w:val="auto"/>
                <w:kern w:val="0"/>
              </w:rPr>
              <w:t>2</w:t>
            </w:r>
            <w:r>
              <w:rPr>
                <w:color w:val="auto"/>
                <w:kern w:val="0"/>
              </w:rPr>
              <w:t>0.2.4</w:t>
            </w:r>
            <w:r>
              <w:rPr>
                <w:rFonts w:hint="eastAsia"/>
                <w:color w:val="auto"/>
                <w:kern w:val="0"/>
              </w:rPr>
              <w:t xml:space="preserve"> 场址敏感性因素分析</w:t>
            </w:r>
          </w:p>
          <w:p w14:paraId="039418B9">
            <w:pPr>
              <w:adjustRightInd w:val="0"/>
              <w:snapToGrid w:val="0"/>
              <w:ind w:firstLine="480"/>
              <w:rPr>
                <w:color w:val="auto"/>
                <w:kern w:val="0"/>
              </w:rPr>
            </w:pPr>
            <w:r>
              <w:rPr>
                <w:rFonts w:hint="eastAsia"/>
                <w:color w:val="auto"/>
                <w:kern w:val="0"/>
              </w:rPr>
              <w:t>（1）林业情况</w:t>
            </w:r>
          </w:p>
          <w:p w14:paraId="63852C66">
            <w:pPr>
              <w:adjustRightInd w:val="0"/>
              <w:snapToGrid w:val="0"/>
              <w:ind w:firstLine="480"/>
              <w:rPr>
                <w:color w:val="auto"/>
                <w:kern w:val="0"/>
              </w:rPr>
            </w:pPr>
            <w:r>
              <w:rPr>
                <w:rFonts w:hint="eastAsia"/>
                <w:color w:val="auto"/>
                <w:kern w:val="0"/>
              </w:rPr>
              <w:t>在初步室内选址过程中，已对县域内的国家级公益林和省级公益林，三调地类中的乔木林，竹林进行避让。</w:t>
            </w:r>
          </w:p>
          <w:p w14:paraId="070531EE">
            <w:pPr>
              <w:adjustRightInd w:val="0"/>
              <w:snapToGrid w:val="0"/>
              <w:ind w:firstLine="480"/>
              <w:rPr>
                <w:color w:val="auto"/>
                <w:kern w:val="0"/>
              </w:rPr>
            </w:pPr>
            <w:r>
              <w:rPr>
                <w:rFonts w:hint="eastAsia"/>
                <w:color w:val="auto"/>
                <w:kern w:val="0"/>
              </w:rPr>
              <w:t>（2）生态红线、稳定耕地情况</w:t>
            </w:r>
          </w:p>
          <w:p w14:paraId="6D592803">
            <w:pPr>
              <w:adjustRightInd w:val="0"/>
              <w:snapToGrid w:val="0"/>
              <w:ind w:firstLine="480"/>
              <w:rPr>
                <w:color w:val="auto"/>
                <w:kern w:val="0"/>
              </w:rPr>
            </w:pPr>
            <w:r>
              <w:rPr>
                <w:color w:val="auto"/>
                <w:kern w:val="0"/>
              </w:rPr>
              <w:t>在初步室内选址过程中，已对县域内的生态红线和稳定耕地进行避让。沙乐光伏电站场址不涉及生态红线、稳定耕地等重要敏感因素</w:t>
            </w:r>
            <w:r>
              <w:rPr>
                <w:rFonts w:hint="eastAsia"/>
                <w:color w:val="auto"/>
                <w:kern w:val="0"/>
              </w:rPr>
              <w:t>。</w:t>
            </w:r>
          </w:p>
          <w:p w14:paraId="1060EFE8">
            <w:pPr>
              <w:adjustRightInd w:val="0"/>
              <w:snapToGrid w:val="0"/>
              <w:ind w:firstLine="480"/>
              <w:rPr>
                <w:color w:val="auto"/>
                <w:kern w:val="0"/>
              </w:rPr>
            </w:pPr>
            <w:r>
              <w:rPr>
                <w:rFonts w:hint="eastAsia"/>
                <w:color w:val="auto"/>
                <w:kern w:val="0"/>
              </w:rPr>
              <w:t>（3）自然保护地</w:t>
            </w:r>
          </w:p>
          <w:p w14:paraId="71E051A6">
            <w:pPr>
              <w:adjustRightInd w:val="0"/>
              <w:snapToGrid w:val="0"/>
              <w:ind w:firstLine="480"/>
              <w:rPr>
                <w:color w:val="auto"/>
                <w:kern w:val="0"/>
              </w:rPr>
            </w:pPr>
            <w:r>
              <w:rPr>
                <w:rFonts w:hint="eastAsia"/>
                <w:color w:val="auto"/>
                <w:kern w:val="0"/>
              </w:rPr>
              <w:t>据调查，该场址不涉及南涧县自然保护地。</w:t>
            </w:r>
          </w:p>
          <w:p w14:paraId="45A93A40">
            <w:pPr>
              <w:adjustRightInd w:val="0"/>
              <w:snapToGrid w:val="0"/>
              <w:ind w:firstLine="480"/>
              <w:rPr>
                <w:color w:val="auto"/>
                <w:kern w:val="0"/>
              </w:rPr>
            </w:pPr>
            <w:r>
              <w:rPr>
                <w:rFonts w:hint="eastAsia"/>
                <w:color w:val="auto"/>
                <w:kern w:val="0"/>
              </w:rPr>
              <w:t>（4）矿产资源分布情况</w:t>
            </w:r>
          </w:p>
          <w:p w14:paraId="082C874A">
            <w:pPr>
              <w:adjustRightInd w:val="0"/>
              <w:snapToGrid w:val="0"/>
              <w:ind w:firstLine="480"/>
              <w:rPr>
                <w:color w:val="auto"/>
                <w:kern w:val="0"/>
              </w:rPr>
            </w:pPr>
            <w:r>
              <w:rPr>
                <w:rFonts w:hint="eastAsia"/>
                <w:color w:val="auto"/>
                <w:kern w:val="0"/>
              </w:rPr>
              <w:t>据调查，沙乐场址曾涉及铜矿探矿权，但该探矿权已到期，初步判断沙乐场址内无具开采价值的矿产。</w:t>
            </w:r>
          </w:p>
          <w:p w14:paraId="2F4ED3C9">
            <w:pPr>
              <w:adjustRightInd w:val="0"/>
              <w:snapToGrid w:val="0"/>
              <w:ind w:firstLine="480"/>
              <w:rPr>
                <w:color w:val="auto"/>
                <w:kern w:val="0"/>
              </w:rPr>
            </w:pPr>
            <w:r>
              <w:rPr>
                <w:rFonts w:hint="eastAsia"/>
                <w:color w:val="auto"/>
                <w:kern w:val="0"/>
              </w:rPr>
              <w:t>综上，沙乐场址不存在较大的太阳能光伏电站建设的制约性因素。</w:t>
            </w:r>
          </w:p>
          <w:p w14:paraId="7E1F9ECE">
            <w:pPr>
              <w:autoSpaceDE w:val="0"/>
              <w:autoSpaceDN w:val="0"/>
              <w:adjustRightInd w:val="0"/>
              <w:snapToGrid w:val="0"/>
              <w:ind w:firstLine="482"/>
              <w:jc w:val="left"/>
              <w:rPr>
                <w:b/>
                <w:bCs/>
                <w:color w:val="auto"/>
                <w:kern w:val="0"/>
              </w:rPr>
            </w:pPr>
            <w:r>
              <w:rPr>
                <w:rFonts w:hint="eastAsia"/>
                <w:b/>
                <w:bCs/>
                <w:color w:val="auto"/>
                <w:kern w:val="0"/>
              </w:rPr>
              <w:t>2、符合性分析</w:t>
            </w:r>
          </w:p>
          <w:p w14:paraId="1E1C4E68">
            <w:pPr>
              <w:ind w:firstLine="480"/>
              <w:rPr>
                <w:color w:val="auto"/>
              </w:rPr>
            </w:pPr>
            <w:r>
              <w:rPr>
                <w:rFonts w:hint="eastAsia"/>
                <w:color w:val="auto"/>
              </w:rPr>
              <w:t>根据《云南省大理州南涧县太阳能光伏电站选址规划报告》沙乐光伏发电项目位于南涧县公郎镇附近坡地上，规划额定容量65MW。根据《云南省发展和改革委员会 云南省能源局关于印发云南省2025年第一批新能源项目开发建设方案的通知》（云能源新能〔2025〕51号）规划容量，本次项目额定容量60MW，项目建设场址一致。</w:t>
            </w:r>
          </w:p>
          <w:p w14:paraId="3EF8B224">
            <w:pPr>
              <w:ind w:firstLine="480"/>
              <w:rPr>
                <w:color w:val="auto"/>
              </w:rPr>
            </w:pPr>
            <w:r>
              <w:rPr>
                <w:rFonts w:hint="eastAsia"/>
                <w:color w:val="auto"/>
              </w:rPr>
              <w:t>根据</w:t>
            </w:r>
            <w:r>
              <w:rPr>
                <w:rFonts w:hint="eastAsia"/>
                <w:color w:val="auto"/>
                <w:kern w:val="0"/>
              </w:rPr>
              <w:t>《</w:t>
            </w:r>
            <w:r>
              <w:rPr>
                <w:color w:val="auto"/>
                <w:kern w:val="0"/>
              </w:rPr>
              <w:fldChar w:fldCharType="begin"/>
            </w:r>
            <w:r>
              <w:rPr>
                <w:color w:val="auto"/>
                <w:kern w:val="0"/>
              </w:rPr>
              <w:instrText xml:space="preserve"> </w:instrText>
            </w:r>
            <w:r>
              <w:rPr>
                <w:rFonts w:hint="eastAsia"/>
                <w:color w:val="auto"/>
                <w:kern w:val="0"/>
              </w:rPr>
              <w:instrText xml:space="preserve">REF _Ref218539235 \h</w:instrText>
            </w:r>
            <w:r>
              <w:rPr>
                <w:color w:val="auto"/>
                <w:kern w:val="0"/>
              </w:rPr>
              <w:instrText xml:space="preserve">  \* MERGEFORMAT </w:instrText>
            </w:r>
            <w:r>
              <w:rPr>
                <w:color w:val="auto"/>
                <w:kern w:val="0"/>
              </w:rPr>
              <w:fldChar w:fldCharType="separate"/>
            </w:r>
            <w:r>
              <w:rPr>
                <w:rFonts w:hint="eastAsia"/>
                <w:color w:val="auto"/>
                <w:szCs w:val="28"/>
              </w:rPr>
              <w:t>南涧彝族自治县自然资源局关于沙乐光伏发电项目用地审查意见</w:t>
            </w:r>
            <w:r>
              <w:rPr>
                <w:color w:val="auto"/>
                <w:kern w:val="0"/>
              </w:rPr>
              <w:fldChar w:fldCharType="end"/>
            </w:r>
            <w:r>
              <w:rPr>
                <w:rFonts w:hint="eastAsia"/>
                <w:color w:val="auto"/>
                <w:kern w:val="0"/>
              </w:rPr>
              <w:t>》：“项目选址范围：未占用南涧县永久基本农田核实处置成果，未占用南涧县生态保护红线，未占用城镇开发边界线，未占用南涧县2024年国土变更调查现状耕地，未占用南涧县耕地后备资源，未占用南涧县耕地后备资源补充空间。”，本项目用地类型为园地和交通用地，不涉及占用生态保护红线、永久基本农田和耕地，符合光伏建设项目用地规范要求。</w:t>
            </w:r>
            <w:r>
              <w:rPr>
                <w:rFonts w:hint="eastAsia"/>
                <w:color w:val="auto"/>
              </w:rPr>
              <w:t>综上所述，项目的建设与《云南省大理州南涧县太阳能光伏电站选址规划报告》相符。</w:t>
            </w:r>
          </w:p>
          <w:p w14:paraId="65D6D80E">
            <w:pPr>
              <w:autoSpaceDE w:val="0"/>
              <w:autoSpaceDN w:val="0"/>
              <w:adjustRightInd w:val="0"/>
              <w:snapToGrid w:val="0"/>
              <w:ind w:firstLine="0" w:firstLineChars="0"/>
              <w:jc w:val="left"/>
              <w:rPr>
                <w:b/>
                <w:bCs/>
                <w:color w:val="auto"/>
                <w:kern w:val="0"/>
              </w:rPr>
            </w:pPr>
            <w:r>
              <w:rPr>
                <w:rFonts w:hint="eastAsia"/>
                <w:b/>
                <w:bCs/>
                <w:color w:val="auto"/>
                <w:kern w:val="0"/>
              </w:rPr>
              <w:t>四、</w:t>
            </w:r>
            <w:bookmarkStart w:id="144" w:name="OLE_LINK9"/>
            <w:r>
              <w:rPr>
                <w:rFonts w:hint="eastAsia"/>
                <w:b/>
                <w:bCs/>
                <w:color w:val="auto"/>
                <w:kern w:val="0"/>
              </w:rPr>
              <w:t>与《云南省大理州南涧县太阳能光伏电站选址规划报告》中环评规划的符合性分析</w:t>
            </w:r>
          </w:p>
          <w:p w14:paraId="7E2B8E23">
            <w:pPr>
              <w:ind w:firstLine="480"/>
              <w:rPr>
                <w:color w:val="auto"/>
              </w:rPr>
            </w:pPr>
            <w:r>
              <w:rPr>
                <w:rFonts w:hint="eastAsia"/>
                <w:color w:val="auto"/>
              </w:rPr>
              <w:t>《云南省大理州南涧县太阳能光伏电站选址规划报告》提出了环评规划，包括生态环境保护措施、大气环境保护措施、水环境保护措施、生活垃圾措施等内容。</w:t>
            </w:r>
          </w:p>
          <w:p w14:paraId="67F8DAFC">
            <w:pPr>
              <w:ind w:firstLine="480"/>
              <w:rPr>
                <w:color w:val="auto"/>
              </w:rPr>
            </w:pPr>
            <w:r>
              <w:rPr>
                <w:rFonts w:hint="eastAsia"/>
                <w:color w:val="auto"/>
              </w:rPr>
              <w:t>（1）生态环境保护措施：规划环评提出“施工表土剥离后统一堆存，用于施工迹地恢复；临时占地区域在施工结束后采用乡土树种有组织有计划地进行植被恢复”，本项目主要占地为园地和交通运输用地，施工期将设置表土堆存场，表土有序堆放；施工结束后将对临时用地进行植被恢复，本项目树草种选择茶树、云南松、清香木、云南松、车桑子、黑麦草、百喜草等。</w:t>
            </w:r>
          </w:p>
          <w:p w14:paraId="50F5E291">
            <w:pPr>
              <w:ind w:firstLine="480"/>
              <w:rPr>
                <w:color w:val="auto"/>
              </w:rPr>
            </w:pPr>
            <w:r>
              <w:rPr>
                <w:rFonts w:hint="eastAsia"/>
                <w:color w:val="auto"/>
              </w:rPr>
              <w:t>（2）大气环境保护措施：规划环评提出“加强施工迹地的临时挡护和覆盖；除雨天外对施工现场和交通道路进行洒水”，本项目施工期为6个月，在非雨天对施工现场每天进行两次洒水降尘。</w:t>
            </w:r>
          </w:p>
          <w:p w14:paraId="0401B989">
            <w:pPr>
              <w:ind w:firstLine="480"/>
              <w:rPr>
                <w:color w:val="auto"/>
              </w:rPr>
            </w:pPr>
            <w:r>
              <w:rPr>
                <w:rFonts w:hint="eastAsia"/>
                <w:color w:val="auto"/>
              </w:rPr>
              <w:t>（3）水环境保护措施：规划环评提出“施工期混凝土拌合系统冲洗废水采取加酸沉淀后回收利用；施工生活污水采用临时收集池贮存后用于林灌用水；升压站生活污水排放量小，经化粪池处理后可用于厂区绿化用水；变压器事故排油通过设置事故油池进行收集处理”。本项目施工生活污水采用经</w:t>
            </w:r>
            <w:r>
              <w:rPr>
                <w:color w:val="auto"/>
              </w:rPr>
              <w:t>临时沉砂池沉淀</w:t>
            </w:r>
            <w:r>
              <w:rPr>
                <w:rFonts w:hint="eastAsia"/>
                <w:color w:val="auto"/>
              </w:rPr>
              <w:t>处理后，回用于施工营地抑尘，不外排；运营期光伏</w:t>
            </w:r>
            <w:r>
              <w:rPr>
                <w:color w:val="auto"/>
              </w:rPr>
              <w:t>板清洗为清水清洗，不需添加清洗剂，性质与雨水基本相同，因此，清洗废水通过太阳能电池板落入场地土壤中，用于光伏场区植被</w:t>
            </w:r>
            <w:r>
              <w:rPr>
                <w:rFonts w:hint="eastAsia"/>
                <w:color w:val="auto"/>
              </w:rPr>
              <w:t>绿化；设置22个3m</w:t>
            </w:r>
            <w:r>
              <w:rPr>
                <w:color w:val="auto"/>
                <w:vertAlign w:val="superscript"/>
              </w:rPr>
              <w:t>3</w:t>
            </w:r>
            <w:r>
              <w:rPr>
                <w:rFonts w:hint="eastAsia"/>
                <w:color w:val="auto"/>
              </w:rPr>
              <w:t>的箱变事故油池收集变压器事故排油，废变压器油统一收集后暂存于德安光伏发电项目升压站的危废贮存库，并交由有资质的单位处理。</w:t>
            </w:r>
          </w:p>
          <w:p w14:paraId="51375C9D">
            <w:pPr>
              <w:ind w:firstLine="480"/>
              <w:rPr>
                <w:color w:val="auto"/>
              </w:rPr>
            </w:pPr>
            <w:r>
              <w:rPr>
                <w:rFonts w:hint="eastAsia"/>
                <w:color w:val="auto"/>
              </w:rPr>
              <w:t>（4）生活垃圾措施：规划环评提出“施工期和运行期设置垃圾收集箱收集生活垃圾，经分选后进入当地垃圾处理系统进行统一处置”，本项目施工期生活垃圾经收集后，委托当地环卫部门统一处理。</w:t>
            </w:r>
          </w:p>
          <w:p w14:paraId="53E8D471">
            <w:pPr>
              <w:ind w:firstLine="480"/>
              <w:rPr>
                <w:color w:val="auto"/>
              </w:rPr>
            </w:pPr>
            <w:r>
              <w:rPr>
                <w:rFonts w:hint="eastAsia"/>
                <w:color w:val="auto"/>
              </w:rPr>
              <w:t>综上所述，本工程的建设与《云南省大理州南涧县太阳能光伏电站选址规划报告》中的环评规划是相符的。</w:t>
            </w:r>
          </w:p>
          <w:bookmarkEnd w:id="144"/>
          <w:p w14:paraId="262AD1FD">
            <w:pPr>
              <w:pStyle w:val="3"/>
              <w:numPr>
                <w:ilvl w:val="0"/>
                <w:numId w:val="0"/>
              </w:numPr>
              <w:spacing w:before="72" w:after="72"/>
              <w:rPr>
                <w:color w:val="auto"/>
              </w:rPr>
            </w:pPr>
            <w:r>
              <w:rPr>
                <w:rFonts w:hint="eastAsia"/>
                <w:color w:val="auto"/>
              </w:rPr>
              <w:t>五、与《南涧彝族自治县国土空间总体规划（2021-2035年）》的符合性分析</w:t>
            </w:r>
          </w:p>
          <w:p w14:paraId="53C68FB4">
            <w:pPr>
              <w:ind w:firstLine="480"/>
              <w:rPr>
                <w:color w:val="auto"/>
              </w:rPr>
            </w:pPr>
            <w:r>
              <w:rPr>
                <w:rFonts w:hint="eastAsia"/>
                <w:color w:val="auto"/>
              </w:rPr>
              <w:t>根据南涧县自然资源局于</w:t>
            </w:r>
            <w:r>
              <w:rPr>
                <w:color w:val="auto"/>
              </w:rPr>
              <w:t>2025</w:t>
            </w:r>
            <w:r>
              <w:rPr>
                <w:rFonts w:hint="eastAsia"/>
                <w:color w:val="auto"/>
              </w:rPr>
              <w:t>年</w:t>
            </w:r>
            <w:r>
              <w:rPr>
                <w:color w:val="auto"/>
              </w:rPr>
              <w:t>2</w:t>
            </w:r>
            <w:r>
              <w:rPr>
                <w:rFonts w:hint="eastAsia"/>
                <w:color w:val="auto"/>
              </w:rPr>
              <w:t>月</w:t>
            </w:r>
            <w:r>
              <w:rPr>
                <w:color w:val="auto"/>
              </w:rPr>
              <w:t>19</w:t>
            </w:r>
            <w:r>
              <w:rPr>
                <w:rFonts w:hint="eastAsia"/>
                <w:color w:val="auto"/>
              </w:rPr>
              <w:t>日发布</w:t>
            </w:r>
            <w:bookmarkStart w:id="145" w:name="OLE_LINK72"/>
            <w:r>
              <w:rPr>
                <w:rFonts w:hint="eastAsia"/>
                <w:color w:val="auto"/>
              </w:rPr>
              <w:t>的《南涧彝族自治县国土空间总体规划（</w:t>
            </w:r>
            <w:r>
              <w:rPr>
                <w:color w:val="auto"/>
              </w:rPr>
              <w:t>2021-2035</w:t>
            </w:r>
            <w:r>
              <w:rPr>
                <w:rFonts w:hint="eastAsia"/>
                <w:color w:val="auto"/>
              </w:rPr>
              <w:t>年）》</w:t>
            </w:r>
            <w:bookmarkEnd w:id="145"/>
            <w:r>
              <w:rPr>
                <w:rFonts w:hint="eastAsia"/>
                <w:color w:val="auto"/>
              </w:rPr>
              <w:t>：“第一百七十五条：6、发挥优势，建设开发新能源：充分利用南涧丰富的风、光、热水等资源，……，全面提速新能源开发。加快新一轮集中式光伏、村级光伏、风电、地热能发电梯级利用综合示范项目等新能源项目和配套送出工程建设，努力打造“光伏之城”，创建新能源示范基地、绿色能源示范县。”</w:t>
            </w:r>
            <w:bookmarkStart w:id="146" w:name="OLE_LINK76"/>
            <w:r>
              <w:rPr>
                <w:rFonts w:hint="eastAsia"/>
                <w:color w:val="auto"/>
              </w:rPr>
              <w:t>、“第一百七十六条 近期重点建设内容：南涧县规划期内，共规划项目1221个。其中，能源类项目</w:t>
            </w:r>
            <w:bookmarkEnd w:id="146"/>
            <w:r>
              <w:rPr>
                <w:rFonts w:hint="eastAsia"/>
                <w:color w:val="auto"/>
              </w:rPr>
              <w:t>118个，主要包括南涧宝华风电场项目、南涧乐秋风电场项目、南涧无量山风电场项目、南涧拥翠风电场项目、大理州南涧乐秋抽水蓄能电站、南涧县无量药谷300MW复合型光优发电项目、旧马街加油站、35千优乐秋输变电工程、35千伏沙乐输变电工程及3个村光优电站建设项目。”</w:t>
            </w:r>
          </w:p>
          <w:p w14:paraId="647C3656">
            <w:pPr>
              <w:ind w:firstLine="480"/>
              <w:rPr>
                <w:color w:val="auto"/>
              </w:rPr>
            </w:pPr>
            <w:r>
              <w:rPr>
                <w:rFonts w:hint="eastAsia"/>
                <w:color w:val="auto"/>
              </w:rPr>
              <w:t>本项目属于光伏发电项目，且属于“第一百七十六条 近期重点建设内容中能源类所列项目”，项目建设与《南涧彝族自治县国土空间总体规划（</w:t>
            </w:r>
            <w:r>
              <w:rPr>
                <w:color w:val="auto"/>
              </w:rPr>
              <w:t>2021-2035</w:t>
            </w:r>
            <w:r>
              <w:rPr>
                <w:rFonts w:hint="eastAsia"/>
                <w:color w:val="auto"/>
              </w:rPr>
              <w:t>年）》相符。</w:t>
            </w:r>
          </w:p>
          <w:p w14:paraId="0383E075">
            <w:pPr>
              <w:ind w:firstLine="480"/>
              <w:rPr>
                <w:color w:val="auto"/>
              </w:rPr>
            </w:pPr>
            <w:r>
              <w:rPr>
                <w:rFonts w:hint="eastAsia"/>
                <w:color w:val="auto"/>
              </w:rPr>
              <w:t>本项目与《南涧彝族自治县国土空间总体规划（2021-2035年）》符合性分析见下表：</w:t>
            </w:r>
          </w:p>
          <w:p w14:paraId="7546A9D7">
            <w:pPr>
              <w:pStyle w:val="63"/>
              <w:rPr>
                <w:color w:val="auto"/>
              </w:rPr>
            </w:pPr>
            <w:r>
              <w:rPr>
                <w:rFonts w:hint="eastAsia"/>
                <w:color w:val="auto"/>
              </w:rPr>
              <w:t>表 1</w:t>
            </w:r>
            <w:r>
              <w:rPr>
                <w:color w:val="auto"/>
              </w:rPr>
              <w:noBreakHyphen/>
            </w:r>
            <w:r>
              <w:rPr>
                <w:rFonts w:hint="eastAsia"/>
                <w:color w:val="auto"/>
              </w:rPr>
              <w:t xml:space="preserve">2 </w:t>
            </w:r>
            <w:r>
              <w:rPr>
                <w:color w:val="auto"/>
              </w:rPr>
              <w:t>项目与</w:t>
            </w:r>
            <w:r>
              <w:rPr>
                <w:rFonts w:hint="eastAsia"/>
                <w:color w:val="auto"/>
              </w:rPr>
              <w:t>《南涧彝族自治县国土空间总体规划（2021-2035年）》（节选）的符合性分析</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08"/>
              <w:gridCol w:w="2268"/>
              <w:gridCol w:w="2727"/>
              <w:gridCol w:w="508"/>
            </w:tblGrid>
            <w:tr w14:paraId="051D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9" w:type="dxa"/>
                  <w:gridSpan w:val="3"/>
                  <w:vAlign w:val="center"/>
                </w:tcPr>
                <w:p w14:paraId="32EE85EE">
                  <w:pPr>
                    <w:pStyle w:val="167"/>
                    <w:overflowPunct w:val="0"/>
                    <w:rPr>
                      <w:rFonts w:hint="eastAsia"/>
                      <w:b/>
                      <w:color w:val="auto"/>
                      <w:sz w:val="21"/>
                      <w:szCs w:val="21"/>
                    </w:rPr>
                  </w:pPr>
                  <w:r>
                    <w:rPr>
                      <w:rFonts w:hint="eastAsia"/>
                      <w:b/>
                      <w:color w:val="auto"/>
                      <w:sz w:val="21"/>
                      <w:szCs w:val="21"/>
                    </w:rPr>
                    <w:t>文件要求</w:t>
                  </w:r>
                </w:p>
              </w:tc>
              <w:tc>
                <w:tcPr>
                  <w:tcW w:w="2727" w:type="dxa"/>
                  <w:vAlign w:val="center"/>
                </w:tcPr>
                <w:p w14:paraId="0394D9CD">
                  <w:pPr>
                    <w:pStyle w:val="167"/>
                    <w:overflowPunct w:val="0"/>
                    <w:rPr>
                      <w:rFonts w:hint="eastAsia"/>
                      <w:b/>
                      <w:color w:val="auto"/>
                      <w:sz w:val="21"/>
                      <w:szCs w:val="21"/>
                    </w:rPr>
                  </w:pPr>
                  <w:r>
                    <w:rPr>
                      <w:b/>
                      <w:color w:val="auto"/>
                      <w:sz w:val="21"/>
                      <w:szCs w:val="21"/>
                    </w:rPr>
                    <w:t>本项目情况</w:t>
                  </w:r>
                </w:p>
              </w:tc>
              <w:tc>
                <w:tcPr>
                  <w:tcW w:w="508" w:type="dxa"/>
                  <w:vAlign w:val="center"/>
                </w:tcPr>
                <w:p w14:paraId="007434E4">
                  <w:pPr>
                    <w:pStyle w:val="167"/>
                    <w:overflowPunct w:val="0"/>
                    <w:rPr>
                      <w:rFonts w:hint="eastAsia"/>
                      <w:b/>
                      <w:color w:val="auto"/>
                      <w:spacing w:val="-4"/>
                      <w:sz w:val="21"/>
                      <w:szCs w:val="21"/>
                    </w:rPr>
                  </w:pPr>
                  <w:r>
                    <w:rPr>
                      <w:b/>
                      <w:color w:val="auto"/>
                      <w:spacing w:val="-4"/>
                      <w:sz w:val="21"/>
                      <w:szCs w:val="21"/>
                    </w:rPr>
                    <w:t>符合性</w:t>
                  </w:r>
                </w:p>
              </w:tc>
            </w:tr>
            <w:tr w14:paraId="453A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restart"/>
                  <w:vAlign w:val="center"/>
                </w:tcPr>
                <w:p w14:paraId="5F135A45">
                  <w:pPr>
                    <w:pStyle w:val="167"/>
                    <w:overflowPunct w:val="0"/>
                    <w:rPr>
                      <w:rFonts w:hint="eastAsia"/>
                      <w:color w:val="auto"/>
                      <w:sz w:val="21"/>
                      <w:szCs w:val="21"/>
                    </w:rPr>
                  </w:pPr>
                  <w:r>
                    <w:rPr>
                      <w:rFonts w:hint="eastAsia"/>
                      <w:color w:val="auto"/>
                      <w:sz w:val="21"/>
                      <w:szCs w:val="21"/>
                    </w:rPr>
                    <w:t>01 生态文明示范明确定位目标优化发展战略</w:t>
                  </w:r>
                </w:p>
              </w:tc>
              <w:tc>
                <w:tcPr>
                  <w:tcW w:w="708" w:type="dxa"/>
                  <w:vAlign w:val="center"/>
                </w:tcPr>
                <w:p w14:paraId="047AF334">
                  <w:pPr>
                    <w:pStyle w:val="167"/>
                    <w:overflowPunct w:val="0"/>
                    <w:rPr>
                      <w:rFonts w:hint="eastAsia"/>
                      <w:color w:val="auto"/>
                      <w:sz w:val="21"/>
                      <w:szCs w:val="21"/>
                    </w:rPr>
                  </w:pPr>
                  <w:r>
                    <w:rPr>
                      <w:rFonts w:hint="eastAsia"/>
                      <w:color w:val="auto"/>
                      <w:sz w:val="21"/>
                      <w:szCs w:val="21"/>
                    </w:rPr>
                    <w:t>1.2 目标愿景</w:t>
                  </w:r>
                </w:p>
              </w:tc>
              <w:tc>
                <w:tcPr>
                  <w:tcW w:w="2268" w:type="dxa"/>
                  <w:vAlign w:val="center"/>
                </w:tcPr>
                <w:p w14:paraId="7BD0B5DA">
                  <w:pPr>
                    <w:pStyle w:val="167"/>
                    <w:overflowPunct w:val="0"/>
                    <w:jc w:val="both"/>
                    <w:rPr>
                      <w:rFonts w:hint="eastAsia"/>
                      <w:color w:val="auto"/>
                      <w:sz w:val="21"/>
                      <w:szCs w:val="21"/>
                    </w:rPr>
                  </w:pPr>
                  <w:r>
                    <w:rPr>
                      <w:rFonts w:hint="eastAsia"/>
                      <w:color w:val="auto"/>
                      <w:sz w:val="21"/>
                      <w:szCs w:val="21"/>
                    </w:rPr>
                    <w:t>到2025年：国土空间开发与保护的协调性大幅提升，全面落实“三区三线”管控要求。</w:t>
                  </w:r>
                </w:p>
              </w:tc>
              <w:tc>
                <w:tcPr>
                  <w:tcW w:w="2727" w:type="dxa"/>
                  <w:vAlign w:val="center"/>
                </w:tcPr>
                <w:p w14:paraId="10DD7398">
                  <w:pPr>
                    <w:pStyle w:val="167"/>
                    <w:widowControl w:val="0"/>
                    <w:overflowPunct w:val="0"/>
                    <w:jc w:val="both"/>
                    <w:rPr>
                      <w:rFonts w:hint="eastAsia"/>
                      <w:color w:val="auto"/>
                      <w:sz w:val="21"/>
                      <w:szCs w:val="21"/>
                      <w:highlight w:val="yellow"/>
                    </w:rPr>
                  </w:pPr>
                  <w:r>
                    <w:rPr>
                      <w:rFonts w:hint="eastAsia"/>
                      <w:color w:val="auto"/>
                      <w:sz w:val="21"/>
                      <w:szCs w:val="21"/>
                    </w:rPr>
                    <w:t>根据云南省自然资源厅发布的“三区三线”划定成果及《</w:t>
                  </w:r>
                  <w:r>
                    <w:rPr>
                      <w:rFonts w:hint="eastAsia"/>
                      <w:color w:val="auto"/>
                      <w:sz w:val="21"/>
                      <w:szCs w:val="21"/>
                    </w:rPr>
                    <w:fldChar w:fldCharType="begin"/>
                  </w:r>
                  <w:r>
                    <w:rPr>
                      <w:rFonts w:hint="eastAsia"/>
                      <w:color w:val="auto"/>
                      <w:sz w:val="21"/>
                      <w:szCs w:val="21"/>
                    </w:rPr>
                    <w:instrText xml:space="preserve"> REF _Ref218539235 \h  \* MERGEFORMAT </w:instrText>
                  </w:r>
                  <w:r>
                    <w:rPr>
                      <w:rFonts w:hint="eastAsia"/>
                      <w:color w:val="auto"/>
                      <w:sz w:val="21"/>
                      <w:szCs w:val="21"/>
                    </w:rPr>
                    <w:fldChar w:fldCharType="separate"/>
                  </w:r>
                  <w:r>
                    <w:rPr>
                      <w:rFonts w:hint="eastAsia"/>
                      <w:color w:val="auto"/>
                      <w:sz w:val="21"/>
                      <w:szCs w:val="21"/>
                    </w:rPr>
                    <w:t>南涧彝族自治县自然资源局关于沙乐光伏发电项目用地审查意见</w:t>
                  </w:r>
                  <w:r>
                    <w:rPr>
                      <w:rFonts w:hint="eastAsia"/>
                      <w:color w:val="auto"/>
                      <w:sz w:val="21"/>
                      <w:szCs w:val="21"/>
                    </w:rPr>
                    <w:fldChar w:fldCharType="end"/>
                  </w:r>
                  <w:r>
                    <w:rPr>
                      <w:rFonts w:hint="eastAsia"/>
                      <w:color w:val="auto"/>
                      <w:sz w:val="21"/>
                      <w:szCs w:val="21"/>
                    </w:rPr>
                    <w:t>》（见</w:t>
                  </w:r>
                  <w:r>
                    <w:rPr>
                      <w:color w:val="auto"/>
                      <w:sz w:val="21"/>
                      <w:szCs w:val="21"/>
                    </w:rPr>
                    <w:fldChar w:fldCharType="begin"/>
                  </w:r>
                  <w:r>
                    <w:rPr>
                      <w:color w:val="auto"/>
                      <w:sz w:val="21"/>
                      <w:szCs w:val="21"/>
                    </w:rPr>
                    <w:instrText xml:space="preserve"> </w:instrText>
                  </w:r>
                  <w:r>
                    <w:rPr>
                      <w:rFonts w:hint="eastAsia"/>
                      <w:color w:val="auto"/>
                      <w:sz w:val="21"/>
                      <w:szCs w:val="21"/>
                    </w:rPr>
                    <w:instrText xml:space="preserve">REF _Ref155898701 \h</w:instrText>
                  </w:r>
                  <w:r>
                    <w:rPr>
                      <w:color w:val="auto"/>
                      <w:sz w:val="21"/>
                      <w:szCs w:val="21"/>
                    </w:rPr>
                    <w:instrText xml:space="preserve">  \* MERGEFORMAT </w:instrText>
                  </w:r>
                  <w:r>
                    <w:rPr>
                      <w:color w:val="auto"/>
                      <w:sz w:val="21"/>
                      <w:szCs w:val="21"/>
                    </w:rPr>
                    <w:fldChar w:fldCharType="separate"/>
                  </w:r>
                  <w:r>
                    <w:rPr>
                      <w:rFonts w:hint="eastAsia"/>
                      <w:color w:val="auto"/>
                      <w:sz w:val="21"/>
                      <w:szCs w:val="21"/>
                    </w:rPr>
                    <w:t>附件</w:t>
                  </w:r>
                  <w:r>
                    <w:rPr>
                      <w:color w:val="auto"/>
                      <w:sz w:val="21"/>
                      <w:szCs w:val="21"/>
                    </w:rPr>
                    <w:t xml:space="preserve"> 3</w:t>
                  </w:r>
                  <w:r>
                    <w:rPr>
                      <w:color w:val="auto"/>
                      <w:sz w:val="21"/>
                      <w:szCs w:val="21"/>
                    </w:rPr>
                    <w:fldChar w:fldCharType="end"/>
                  </w:r>
                  <w:r>
                    <w:rPr>
                      <w:rFonts w:hint="eastAsia"/>
                      <w:color w:val="auto"/>
                      <w:sz w:val="21"/>
                      <w:szCs w:val="21"/>
                    </w:rPr>
                    <w:t>），本项目</w:t>
                  </w:r>
                  <w:r>
                    <w:rPr>
                      <w:color w:val="auto"/>
                      <w:sz w:val="21"/>
                      <w:szCs w:val="21"/>
                    </w:rPr>
                    <w:t>光伏方阵布局严格遵循"三区三线"管控要求</w:t>
                  </w:r>
                  <w:r>
                    <w:rPr>
                      <w:rFonts w:hint="eastAsia"/>
                      <w:color w:val="auto"/>
                      <w:sz w:val="21"/>
                      <w:szCs w:val="21"/>
                    </w:rPr>
                    <w:t>，不占永久基本农田、生态保护红线，位于城镇开发边界以外。根据项目与“三区三线”的位置关系，本次</w:t>
                  </w:r>
                  <w:r>
                    <w:rPr>
                      <w:color w:val="auto"/>
                      <w:sz w:val="21"/>
                      <w:szCs w:val="21"/>
                    </w:rPr>
                    <w:t>用地红线（</w:t>
                  </w:r>
                  <w:r>
                    <w:rPr>
                      <w:rFonts w:hint="eastAsia"/>
                      <w:color w:val="auto"/>
                      <w:sz w:val="21"/>
                      <w:szCs w:val="21"/>
                    </w:rPr>
                    <w:t>S21、S22</w:t>
                  </w:r>
                  <w:r>
                    <w:rPr>
                      <w:color w:val="auto"/>
                      <w:sz w:val="21"/>
                      <w:szCs w:val="21"/>
                    </w:rPr>
                    <w:t>光伏方阵）与生态保护红线的最近距离</w:t>
                  </w:r>
                  <w:r>
                    <w:rPr>
                      <w:rFonts w:hint="eastAsia"/>
                      <w:color w:val="auto"/>
                      <w:sz w:val="21"/>
                      <w:szCs w:val="21"/>
                    </w:rPr>
                    <w:t>约5m</w:t>
                  </w:r>
                  <w:r>
                    <w:rPr>
                      <w:color w:val="auto"/>
                      <w:sz w:val="21"/>
                      <w:szCs w:val="21"/>
                    </w:rPr>
                    <w:t>。所有方阵选址均位于</w:t>
                  </w:r>
                  <w:r>
                    <w:rPr>
                      <w:rFonts w:hint="eastAsia"/>
                      <w:color w:val="auto"/>
                      <w:sz w:val="21"/>
                      <w:szCs w:val="21"/>
                    </w:rPr>
                    <w:t>哀牢山-无量山山地生物多样性维护与水土保持生态保护红线</w:t>
                  </w:r>
                  <w:r>
                    <w:rPr>
                      <w:color w:val="auto"/>
                      <w:sz w:val="21"/>
                      <w:szCs w:val="21"/>
                    </w:rPr>
                    <w:t>外，未发生任何形式的占用行为</w:t>
                  </w:r>
                  <w:r>
                    <w:rPr>
                      <w:rFonts w:hint="eastAsia"/>
                      <w:color w:val="auto"/>
                      <w:sz w:val="21"/>
                      <w:szCs w:val="21"/>
                    </w:rPr>
                    <w:t>，满足大理州“</w:t>
                  </w:r>
                  <w:r>
                    <w:rPr>
                      <w:color w:val="auto"/>
                      <w:sz w:val="21"/>
                      <w:szCs w:val="21"/>
                    </w:rPr>
                    <w:t>生态分区管控</w:t>
                  </w:r>
                  <w:r>
                    <w:rPr>
                      <w:rFonts w:hint="eastAsia"/>
                      <w:color w:val="auto"/>
                      <w:sz w:val="21"/>
                      <w:szCs w:val="21"/>
                    </w:rPr>
                    <w:t>”</w:t>
                  </w:r>
                  <w:r>
                    <w:rPr>
                      <w:color w:val="auto"/>
                      <w:sz w:val="21"/>
                      <w:szCs w:val="21"/>
                    </w:rPr>
                    <w:t>制度中关于人类工程设施与生态敏感区空间隔离的要求，确保</w:t>
                  </w:r>
                  <w:r>
                    <w:rPr>
                      <w:rFonts w:hint="eastAsia"/>
                      <w:color w:val="auto"/>
                      <w:sz w:val="21"/>
                      <w:szCs w:val="21"/>
                    </w:rPr>
                    <w:t>了</w:t>
                  </w:r>
                  <w:r>
                    <w:rPr>
                      <w:color w:val="auto"/>
                      <w:sz w:val="21"/>
                      <w:szCs w:val="21"/>
                    </w:rPr>
                    <w:t>项目建设与生态保护红线管控目标</w:t>
                  </w:r>
                  <w:r>
                    <w:rPr>
                      <w:rFonts w:hint="eastAsia"/>
                      <w:color w:val="auto"/>
                      <w:sz w:val="21"/>
                      <w:szCs w:val="21"/>
                    </w:rPr>
                    <w:t>的协调性。同时，本项目已取得当地生态环境、人民政府、自然资源局、林业与草原局等职能部门的原则同意意见。</w:t>
                  </w:r>
                </w:p>
              </w:tc>
              <w:tc>
                <w:tcPr>
                  <w:tcW w:w="508" w:type="dxa"/>
                  <w:vAlign w:val="center"/>
                </w:tcPr>
                <w:p w14:paraId="1AA84A64">
                  <w:pPr>
                    <w:pStyle w:val="167"/>
                    <w:widowControl w:val="0"/>
                    <w:overflowPunct w:val="0"/>
                    <w:rPr>
                      <w:rFonts w:hint="eastAsia"/>
                      <w:color w:val="auto"/>
                      <w:sz w:val="21"/>
                      <w:szCs w:val="21"/>
                    </w:rPr>
                  </w:pPr>
                  <w:r>
                    <w:rPr>
                      <w:color w:val="auto"/>
                      <w:sz w:val="21"/>
                      <w:szCs w:val="21"/>
                    </w:rPr>
                    <w:t>符合</w:t>
                  </w:r>
                </w:p>
              </w:tc>
            </w:tr>
            <w:tr w14:paraId="1844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textDirection w:val="tbRlV"/>
                  <w:vAlign w:val="center"/>
                </w:tcPr>
                <w:p w14:paraId="722686F2">
                  <w:pPr>
                    <w:pStyle w:val="167"/>
                    <w:overflowPunct w:val="0"/>
                    <w:jc w:val="both"/>
                    <w:rPr>
                      <w:rFonts w:hint="eastAsia"/>
                      <w:color w:val="auto"/>
                      <w:sz w:val="21"/>
                      <w:szCs w:val="21"/>
                    </w:rPr>
                  </w:pPr>
                </w:p>
              </w:tc>
              <w:tc>
                <w:tcPr>
                  <w:tcW w:w="708" w:type="dxa"/>
                  <w:vAlign w:val="center"/>
                </w:tcPr>
                <w:p w14:paraId="4B13EB99">
                  <w:pPr>
                    <w:pStyle w:val="167"/>
                    <w:overflowPunct w:val="0"/>
                    <w:rPr>
                      <w:rFonts w:hint="eastAsia"/>
                      <w:color w:val="auto"/>
                      <w:sz w:val="21"/>
                      <w:szCs w:val="21"/>
                    </w:rPr>
                  </w:pPr>
                  <w:r>
                    <w:rPr>
                      <w:rFonts w:hint="eastAsia"/>
                      <w:color w:val="auto"/>
                      <w:sz w:val="21"/>
                      <w:szCs w:val="21"/>
                    </w:rPr>
                    <w:t>1.3 国土空间开发保护战略</w:t>
                  </w:r>
                </w:p>
              </w:tc>
              <w:tc>
                <w:tcPr>
                  <w:tcW w:w="2268" w:type="dxa"/>
                  <w:vAlign w:val="center"/>
                </w:tcPr>
                <w:p w14:paraId="564225D2">
                  <w:pPr>
                    <w:pStyle w:val="167"/>
                    <w:overflowPunct w:val="0"/>
                    <w:jc w:val="both"/>
                    <w:rPr>
                      <w:rFonts w:hint="eastAsia"/>
                      <w:color w:val="auto"/>
                      <w:sz w:val="21"/>
                      <w:szCs w:val="21"/>
                    </w:rPr>
                  </w:pPr>
                  <w:r>
                    <w:rPr>
                      <w:rFonts w:hint="eastAsia"/>
                      <w:color w:val="auto"/>
                      <w:sz w:val="21"/>
                      <w:szCs w:val="21"/>
                    </w:rPr>
                    <w:t>底线安全</w:t>
                  </w:r>
                </w:p>
                <w:p w14:paraId="42B1CFF1">
                  <w:pPr>
                    <w:pStyle w:val="167"/>
                    <w:overflowPunct w:val="0"/>
                    <w:jc w:val="both"/>
                    <w:rPr>
                      <w:rFonts w:hint="eastAsia"/>
                      <w:color w:val="auto"/>
                      <w:sz w:val="21"/>
                      <w:szCs w:val="21"/>
                    </w:rPr>
                  </w:pPr>
                  <w:r>
                    <w:rPr>
                      <w:rFonts w:hint="eastAsia"/>
                      <w:color w:val="auto"/>
                      <w:sz w:val="21"/>
                      <w:szCs w:val="21"/>
                    </w:rPr>
                    <w:t>建立自然保护地体系，加强生物多样性保护，加强生态保护修复和河流生态治理，拓展生态廊道和绿色发展空间。</w:t>
                  </w:r>
                </w:p>
              </w:tc>
              <w:tc>
                <w:tcPr>
                  <w:tcW w:w="2727" w:type="dxa"/>
                  <w:vAlign w:val="center"/>
                </w:tcPr>
                <w:p w14:paraId="40D0429A">
                  <w:pPr>
                    <w:pStyle w:val="167"/>
                    <w:overflowPunct w:val="0"/>
                    <w:jc w:val="both"/>
                    <w:rPr>
                      <w:rFonts w:hint="eastAsia"/>
                      <w:color w:val="auto"/>
                      <w:sz w:val="21"/>
                      <w:szCs w:val="21"/>
                    </w:rPr>
                  </w:pPr>
                  <w:r>
                    <w:rPr>
                      <w:rFonts w:hint="eastAsia"/>
                      <w:color w:val="auto"/>
                      <w:sz w:val="21"/>
                      <w:szCs w:val="21"/>
                    </w:rPr>
                    <w:t>根据《</w:t>
                  </w:r>
                  <w:r>
                    <w:rPr>
                      <w:rFonts w:hint="eastAsia"/>
                      <w:color w:val="auto"/>
                      <w:sz w:val="21"/>
                      <w:szCs w:val="21"/>
                    </w:rPr>
                    <w:fldChar w:fldCharType="begin"/>
                  </w:r>
                  <w:r>
                    <w:rPr>
                      <w:rFonts w:hint="eastAsia"/>
                      <w:color w:val="auto"/>
                      <w:sz w:val="21"/>
                      <w:szCs w:val="21"/>
                    </w:rPr>
                    <w:instrText xml:space="preserve"> REF _Ref218539235 \h  \* MERGEFORMAT </w:instrText>
                  </w:r>
                  <w:r>
                    <w:rPr>
                      <w:rFonts w:hint="eastAsia"/>
                      <w:color w:val="auto"/>
                      <w:sz w:val="21"/>
                      <w:szCs w:val="21"/>
                    </w:rPr>
                    <w:fldChar w:fldCharType="separate"/>
                  </w:r>
                  <w:r>
                    <w:rPr>
                      <w:rFonts w:hint="eastAsia"/>
                      <w:color w:val="auto"/>
                      <w:sz w:val="21"/>
                      <w:szCs w:val="21"/>
                    </w:rPr>
                    <w:t>南涧彝族自治县自然资源局关于沙乐光伏发电项目用地审查意见</w:t>
                  </w:r>
                  <w:r>
                    <w:rPr>
                      <w:rFonts w:hint="eastAsia"/>
                      <w:color w:val="auto"/>
                      <w:sz w:val="21"/>
                      <w:szCs w:val="21"/>
                    </w:rPr>
                    <w:fldChar w:fldCharType="end"/>
                  </w:r>
                  <w:r>
                    <w:rPr>
                      <w:rFonts w:hint="eastAsia"/>
                      <w:color w:val="auto"/>
                      <w:sz w:val="21"/>
                      <w:szCs w:val="21"/>
                    </w:rPr>
                    <w:t>》和《</w:t>
                  </w:r>
                  <w:r>
                    <w:rPr>
                      <w:rFonts w:hint="eastAsia"/>
                      <w:color w:val="auto"/>
                      <w:sz w:val="21"/>
                      <w:szCs w:val="21"/>
                    </w:rPr>
                    <w:fldChar w:fldCharType="begin"/>
                  </w:r>
                  <w:r>
                    <w:rPr>
                      <w:rFonts w:hint="eastAsia"/>
                      <w:color w:val="auto"/>
                      <w:sz w:val="21"/>
                      <w:szCs w:val="21"/>
                    </w:rPr>
                    <w:instrText xml:space="preserve"> REF _Ref218624242 \h  \* MERGEFORMAT </w:instrText>
                  </w:r>
                  <w:r>
                    <w:rPr>
                      <w:rFonts w:hint="eastAsia"/>
                      <w:color w:val="auto"/>
                      <w:sz w:val="21"/>
                      <w:szCs w:val="21"/>
                    </w:rPr>
                    <w:fldChar w:fldCharType="separate"/>
                  </w:r>
                  <w:r>
                    <w:rPr>
                      <w:rFonts w:hint="eastAsia"/>
                      <w:color w:val="auto"/>
                      <w:sz w:val="21"/>
                      <w:szCs w:val="21"/>
                    </w:rPr>
                    <w:t>云南无量山国家级自然保护区南涧管护局关于沙乐光伏发电项目二次选址意见的复函</w:t>
                  </w:r>
                  <w:r>
                    <w:rPr>
                      <w:rFonts w:hint="eastAsia"/>
                      <w:color w:val="auto"/>
                      <w:sz w:val="21"/>
                      <w:szCs w:val="21"/>
                    </w:rPr>
                    <w:fldChar w:fldCharType="end"/>
                  </w:r>
                  <w:r>
                    <w:rPr>
                      <w:rFonts w:hint="eastAsia"/>
                      <w:color w:val="auto"/>
                      <w:sz w:val="21"/>
                      <w:szCs w:val="21"/>
                    </w:rPr>
                    <w:t>》，项目用地不涉及自然保护地。</w:t>
                  </w:r>
                </w:p>
                <w:p w14:paraId="3A83248C">
                  <w:pPr>
                    <w:pStyle w:val="167"/>
                    <w:overflowPunct w:val="0"/>
                    <w:jc w:val="both"/>
                    <w:rPr>
                      <w:rFonts w:hint="eastAsia"/>
                      <w:color w:val="auto"/>
                      <w:sz w:val="21"/>
                      <w:szCs w:val="21"/>
                    </w:rPr>
                  </w:pPr>
                  <w:r>
                    <w:rPr>
                      <w:color w:val="auto"/>
                      <w:sz w:val="21"/>
                      <w:szCs w:val="21"/>
                    </w:rPr>
                    <w:t>本项目为光伏发电项目，光伏支架由28块光伏组件按2（行）×14（列）的布置方式组成一个支架单元，光伏组件最低端离地距离2.5m，满足云南省复合型光伏项目用地要求。该支架形式主要通过架高立柱的方式来保证支架下部作业空间，可种植常规露天农业作物，适用地形广，不影响</w:t>
                  </w:r>
                  <w:r>
                    <w:rPr>
                      <w:rFonts w:hint="eastAsia"/>
                      <w:color w:val="auto"/>
                      <w:sz w:val="21"/>
                      <w:szCs w:val="21"/>
                    </w:rPr>
                    <w:t>植被</w:t>
                  </w:r>
                  <w:r>
                    <w:rPr>
                      <w:color w:val="auto"/>
                      <w:sz w:val="21"/>
                      <w:szCs w:val="21"/>
                    </w:rPr>
                    <w:t>生长且不改变土地利用性质</w:t>
                  </w:r>
                  <w:r>
                    <w:rPr>
                      <w:rFonts w:hint="eastAsia"/>
                      <w:color w:val="auto"/>
                      <w:sz w:val="21"/>
                      <w:szCs w:val="21"/>
                    </w:rPr>
                    <w:t>，符合绿色发展要求</w:t>
                  </w:r>
                  <w:r>
                    <w:rPr>
                      <w:color w:val="auto"/>
                      <w:sz w:val="21"/>
                      <w:szCs w:val="21"/>
                    </w:rPr>
                    <w:t>。</w:t>
                  </w:r>
                </w:p>
              </w:tc>
              <w:tc>
                <w:tcPr>
                  <w:tcW w:w="508" w:type="dxa"/>
                  <w:vAlign w:val="center"/>
                </w:tcPr>
                <w:p w14:paraId="541DDA16">
                  <w:pPr>
                    <w:pStyle w:val="167"/>
                    <w:overflowPunct w:val="0"/>
                    <w:rPr>
                      <w:rFonts w:hint="eastAsia"/>
                      <w:color w:val="auto"/>
                      <w:sz w:val="21"/>
                      <w:szCs w:val="21"/>
                    </w:rPr>
                  </w:pPr>
                  <w:r>
                    <w:rPr>
                      <w:rFonts w:hint="eastAsia"/>
                      <w:color w:val="auto"/>
                      <w:sz w:val="21"/>
                      <w:szCs w:val="21"/>
                    </w:rPr>
                    <w:t>符合</w:t>
                  </w:r>
                </w:p>
              </w:tc>
            </w:tr>
            <w:tr w14:paraId="52C2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restart"/>
                  <w:vAlign w:val="center"/>
                </w:tcPr>
                <w:p w14:paraId="1306BFBE">
                  <w:pPr>
                    <w:pStyle w:val="167"/>
                    <w:overflowPunct w:val="0"/>
                    <w:rPr>
                      <w:rFonts w:hint="eastAsia"/>
                      <w:color w:val="auto"/>
                      <w:sz w:val="21"/>
                      <w:szCs w:val="21"/>
                    </w:rPr>
                  </w:pPr>
                  <w:r>
                    <w:rPr>
                      <w:rFonts w:hint="eastAsia"/>
                      <w:color w:val="auto"/>
                      <w:sz w:val="21"/>
                      <w:szCs w:val="21"/>
                    </w:rPr>
                    <w:t>02 区域协同发展 构建开放协同区域发展格局</w:t>
                  </w:r>
                </w:p>
              </w:tc>
              <w:tc>
                <w:tcPr>
                  <w:tcW w:w="708" w:type="dxa"/>
                  <w:vAlign w:val="center"/>
                </w:tcPr>
                <w:p w14:paraId="04F68790">
                  <w:pPr>
                    <w:pStyle w:val="167"/>
                    <w:overflowPunct w:val="0"/>
                    <w:rPr>
                      <w:rFonts w:hint="eastAsia"/>
                      <w:color w:val="auto"/>
                      <w:sz w:val="21"/>
                      <w:szCs w:val="21"/>
                    </w:rPr>
                  </w:pPr>
                  <w:r>
                    <w:rPr>
                      <w:rFonts w:hint="eastAsia"/>
                      <w:color w:val="auto"/>
                      <w:sz w:val="21"/>
                      <w:szCs w:val="21"/>
                    </w:rPr>
                    <w:t>2.2 生态环境共治共保、产业协作共兴</w:t>
                  </w:r>
                </w:p>
              </w:tc>
              <w:tc>
                <w:tcPr>
                  <w:tcW w:w="2268" w:type="dxa"/>
                  <w:vAlign w:val="center"/>
                </w:tcPr>
                <w:p w14:paraId="00BB40E2">
                  <w:pPr>
                    <w:pStyle w:val="167"/>
                    <w:overflowPunct w:val="0"/>
                    <w:jc w:val="both"/>
                    <w:rPr>
                      <w:rFonts w:hint="eastAsia"/>
                      <w:color w:val="auto"/>
                      <w:sz w:val="21"/>
                      <w:szCs w:val="21"/>
                    </w:rPr>
                  </w:pPr>
                  <w:r>
                    <w:rPr>
                      <w:rFonts w:hint="eastAsia"/>
                      <w:color w:val="auto"/>
                      <w:sz w:val="21"/>
                      <w:szCs w:val="21"/>
                    </w:rPr>
                    <w:t>加强黑惠江、澜沧江及其水系生态保护，建设生态廊道；加强黑惠江、澜沧江生态治理，打造区域重要生态节点。</w:t>
                  </w:r>
                </w:p>
              </w:tc>
              <w:tc>
                <w:tcPr>
                  <w:tcW w:w="2727" w:type="dxa"/>
                  <w:vAlign w:val="center"/>
                </w:tcPr>
                <w:p w14:paraId="2AB4DFF7">
                  <w:pPr>
                    <w:pStyle w:val="167"/>
                    <w:overflowPunct w:val="0"/>
                    <w:jc w:val="both"/>
                    <w:rPr>
                      <w:rFonts w:hint="eastAsia"/>
                      <w:color w:val="auto"/>
                      <w:sz w:val="21"/>
                      <w:szCs w:val="21"/>
                    </w:rPr>
                  </w:pPr>
                  <w:r>
                    <w:rPr>
                      <w:rFonts w:hint="eastAsia"/>
                      <w:color w:val="auto"/>
                      <w:sz w:val="21"/>
                      <w:szCs w:val="21"/>
                    </w:rPr>
                    <w:t>本工程为光伏发电项目，</w:t>
                  </w:r>
                  <w:r>
                    <w:rPr>
                      <w:color w:val="auto"/>
                      <w:sz w:val="21"/>
                      <w:szCs w:val="21"/>
                    </w:rPr>
                    <w:t>本项目施工期和运</w:t>
                  </w:r>
                  <w:r>
                    <w:rPr>
                      <w:rFonts w:hint="eastAsia"/>
                      <w:color w:val="auto"/>
                      <w:sz w:val="21"/>
                      <w:szCs w:val="21"/>
                    </w:rPr>
                    <w:t>行期</w:t>
                  </w:r>
                  <w:r>
                    <w:rPr>
                      <w:color w:val="auto"/>
                      <w:sz w:val="21"/>
                      <w:szCs w:val="21"/>
                    </w:rPr>
                    <w:t>实施后，生产生活废污水均处理后回用，无外排污水，</w:t>
                  </w:r>
                  <w:r>
                    <w:rPr>
                      <w:rFonts w:hint="eastAsia"/>
                      <w:color w:val="auto"/>
                      <w:sz w:val="21"/>
                      <w:szCs w:val="21"/>
                    </w:rPr>
                    <w:t>对黑惠江、澜沧江影响较小。</w:t>
                  </w:r>
                </w:p>
              </w:tc>
              <w:tc>
                <w:tcPr>
                  <w:tcW w:w="508" w:type="dxa"/>
                  <w:vAlign w:val="center"/>
                </w:tcPr>
                <w:p w14:paraId="7800D39B">
                  <w:pPr>
                    <w:pStyle w:val="167"/>
                    <w:overflowPunct w:val="0"/>
                    <w:rPr>
                      <w:rFonts w:hint="eastAsia"/>
                      <w:color w:val="auto"/>
                      <w:sz w:val="21"/>
                      <w:szCs w:val="21"/>
                    </w:rPr>
                  </w:pPr>
                  <w:r>
                    <w:rPr>
                      <w:rFonts w:hint="eastAsia"/>
                      <w:color w:val="auto"/>
                      <w:sz w:val="21"/>
                      <w:szCs w:val="21"/>
                    </w:rPr>
                    <w:t>符合</w:t>
                  </w:r>
                </w:p>
              </w:tc>
            </w:tr>
            <w:tr w14:paraId="2242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176256B0">
                  <w:pPr>
                    <w:pStyle w:val="167"/>
                    <w:overflowPunct w:val="0"/>
                    <w:jc w:val="both"/>
                    <w:rPr>
                      <w:rFonts w:hint="eastAsia"/>
                      <w:color w:val="auto"/>
                      <w:sz w:val="21"/>
                      <w:szCs w:val="21"/>
                    </w:rPr>
                  </w:pPr>
                </w:p>
              </w:tc>
              <w:tc>
                <w:tcPr>
                  <w:tcW w:w="708" w:type="dxa"/>
                  <w:vAlign w:val="center"/>
                </w:tcPr>
                <w:p w14:paraId="32A44966">
                  <w:pPr>
                    <w:pStyle w:val="167"/>
                    <w:overflowPunct w:val="0"/>
                    <w:rPr>
                      <w:rFonts w:hint="eastAsia"/>
                      <w:color w:val="auto"/>
                      <w:sz w:val="21"/>
                      <w:szCs w:val="21"/>
                    </w:rPr>
                  </w:pPr>
                  <w:r>
                    <w:rPr>
                      <w:rFonts w:hint="eastAsia"/>
                      <w:color w:val="auto"/>
                      <w:sz w:val="21"/>
                      <w:szCs w:val="21"/>
                    </w:rPr>
                    <w:t>2.4 统筹划定落实“三区三线”</w:t>
                  </w:r>
                </w:p>
              </w:tc>
              <w:tc>
                <w:tcPr>
                  <w:tcW w:w="2268" w:type="dxa"/>
                  <w:vAlign w:val="center"/>
                </w:tcPr>
                <w:p w14:paraId="63A08F04">
                  <w:pPr>
                    <w:pStyle w:val="167"/>
                    <w:overflowPunct w:val="0"/>
                    <w:jc w:val="both"/>
                    <w:rPr>
                      <w:rFonts w:hint="eastAsia"/>
                      <w:color w:val="auto"/>
                      <w:sz w:val="21"/>
                      <w:szCs w:val="21"/>
                    </w:rPr>
                  </w:pPr>
                  <w:r>
                    <w:rPr>
                      <w:rFonts w:hint="eastAsia"/>
                      <w:color w:val="auto"/>
                      <w:sz w:val="21"/>
                      <w:szCs w:val="21"/>
                    </w:rPr>
                    <w:t>坚持最严格的耕地保护制度，坚守基本生态控制线，统筹划定永久基本农田、生态保护红线、城镇开发边界三条控制线，作为调整经济结构、规划产业发展、推进城镇化不可逾越的红线。</w:t>
                  </w:r>
                </w:p>
              </w:tc>
              <w:tc>
                <w:tcPr>
                  <w:tcW w:w="2727" w:type="dxa"/>
                  <w:vAlign w:val="center"/>
                </w:tcPr>
                <w:p w14:paraId="219B78CD">
                  <w:pPr>
                    <w:pStyle w:val="167"/>
                    <w:overflowPunct w:val="0"/>
                    <w:jc w:val="both"/>
                    <w:rPr>
                      <w:rFonts w:hint="eastAsia"/>
                      <w:color w:val="auto"/>
                      <w:sz w:val="21"/>
                      <w:szCs w:val="21"/>
                    </w:rPr>
                  </w:pPr>
                  <w:r>
                    <w:rPr>
                      <w:rFonts w:hint="eastAsia"/>
                      <w:color w:val="auto"/>
                      <w:sz w:val="21"/>
                      <w:szCs w:val="21"/>
                    </w:rPr>
                    <w:t>根据云南省自然资源厅发布的“三区三线”划定成果及《</w:t>
                  </w:r>
                  <w:r>
                    <w:rPr>
                      <w:rFonts w:hint="eastAsia"/>
                      <w:color w:val="auto"/>
                      <w:sz w:val="21"/>
                      <w:szCs w:val="21"/>
                    </w:rPr>
                    <w:fldChar w:fldCharType="begin"/>
                  </w:r>
                  <w:r>
                    <w:rPr>
                      <w:rFonts w:hint="eastAsia"/>
                      <w:color w:val="auto"/>
                      <w:sz w:val="21"/>
                      <w:szCs w:val="21"/>
                    </w:rPr>
                    <w:instrText xml:space="preserve"> REF _Ref218539235 \h  \* MERGEFORMAT </w:instrText>
                  </w:r>
                  <w:r>
                    <w:rPr>
                      <w:rFonts w:hint="eastAsia"/>
                      <w:color w:val="auto"/>
                      <w:sz w:val="21"/>
                      <w:szCs w:val="21"/>
                    </w:rPr>
                    <w:fldChar w:fldCharType="separate"/>
                  </w:r>
                  <w:r>
                    <w:rPr>
                      <w:rFonts w:hint="eastAsia"/>
                      <w:color w:val="auto"/>
                      <w:sz w:val="21"/>
                      <w:szCs w:val="21"/>
                    </w:rPr>
                    <w:t>南涧彝族自治县自然资源局关于沙乐光伏发电项目用地审查意见</w:t>
                  </w:r>
                  <w:r>
                    <w:rPr>
                      <w:rFonts w:hint="eastAsia"/>
                      <w:color w:val="auto"/>
                      <w:sz w:val="21"/>
                      <w:szCs w:val="21"/>
                    </w:rPr>
                    <w:fldChar w:fldCharType="end"/>
                  </w:r>
                  <w:r>
                    <w:rPr>
                      <w:rFonts w:hint="eastAsia"/>
                      <w:color w:val="auto"/>
                      <w:sz w:val="21"/>
                      <w:szCs w:val="21"/>
                    </w:rPr>
                    <w:t>》（见</w:t>
                  </w:r>
                  <w:r>
                    <w:rPr>
                      <w:color w:val="auto"/>
                      <w:sz w:val="21"/>
                      <w:szCs w:val="21"/>
                    </w:rPr>
                    <w:fldChar w:fldCharType="begin"/>
                  </w:r>
                  <w:r>
                    <w:rPr>
                      <w:color w:val="auto"/>
                      <w:sz w:val="21"/>
                      <w:szCs w:val="21"/>
                    </w:rPr>
                    <w:instrText xml:space="preserve"> </w:instrText>
                  </w:r>
                  <w:r>
                    <w:rPr>
                      <w:rFonts w:hint="eastAsia"/>
                      <w:color w:val="auto"/>
                      <w:sz w:val="21"/>
                      <w:szCs w:val="21"/>
                    </w:rPr>
                    <w:instrText xml:space="preserve">REF _Ref155898701 \h</w:instrText>
                  </w:r>
                  <w:r>
                    <w:rPr>
                      <w:color w:val="auto"/>
                      <w:sz w:val="21"/>
                      <w:szCs w:val="21"/>
                    </w:rPr>
                    <w:instrText xml:space="preserve">  \* MERGEFORMAT </w:instrText>
                  </w:r>
                  <w:r>
                    <w:rPr>
                      <w:color w:val="auto"/>
                      <w:sz w:val="21"/>
                      <w:szCs w:val="21"/>
                    </w:rPr>
                    <w:fldChar w:fldCharType="separate"/>
                  </w:r>
                  <w:r>
                    <w:rPr>
                      <w:rFonts w:hint="eastAsia"/>
                      <w:color w:val="auto"/>
                      <w:sz w:val="21"/>
                      <w:szCs w:val="21"/>
                    </w:rPr>
                    <w:t>附件</w:t>
                  </w:r>
                  <w:r>
                    <w:rPr>
                      <w:color w:val="auto"/>
                      <w:sz w:val="21"/>
                      <w:szCs w:val="21"/>
                    </w:rPr>
                    <w:t xml:space="preserve"> 3</w:t>
                  </w:r>
                  <w:r>
                    <w:rPr>
                      <w:color w:val="auto"/>
                      <w:sz w:val="21"/>
                      <w:szCs w:val="21"/>
                    </w:rPr>
                    <w:fldChar w:fldCharType="end"/>
                  </w:r>
                  <w:r>
                    <w:rPr>
                      <w:rFonts w:hint="eastAsia"/>
                      <w:color w:val="auto"/>
                      <w:sz w:val="21"/>
                      <w:szCs w:val="21"/>
                    </w:rPr>
                    <w:t>），本项目</w:t>
                  </w:r>
                  <w:r>
                    <w:rPr>
                      <w:color w:val="auto"/>
                      <w:sz w:val="21"/>
                      <w:szCs w:val="21"/>
                    </w:rPr>
                    <w:t>光伏方阵布局严格遵循"三区三线"管控要求</w:t>
                  </w:r>
                  <w:r>
                    <w:rPr>
                      <w:rFonts w:hint="eastAsia"/>
                      <w:color w:val="auto"/>
                      <w:sz w:val="21"/>
                      <w:szCs w:val="21"/>
                    </w:rPr>
                    <w:t>，不占用永久基本农田、生态保护红线，位于城镇开发边界以外。</w:t>
                  </w:r>
                </w:p>
              </w:tc>
              <w:tc>
                <w:tcPr>
                  <w:tcW w:w="508" w:type="dxa"/>
                  <w:vAlign w:val="center"/>
                </w:tcPr>
                <w:p w14:paraId="64761CF9">
                  <w:pPr>
                    <w:pStyle w:val="167"/>
                    <w:overflowPunct w:val="0"/>
                    <w:rPr>
                      <w:rFonts w:hint="eastAsia"/>
                      <w:color w:val="auto"/>
                      <w:sz w:val="21"/>
                      <w:szCs w:val="21"/>
                    </w:rPr>
                  </w:pPr>
                  <w:r>
                    <w:rPr>
                      <w:rFonts w:hint="eastAsia"/>
                      <w:color w:val="auto"/>
                      <w:sz w:val="21"/>
                      <w:szCs w:val="21"/>
                    </w:rPr>
                    <w:t>符合</w:t>
                  </w:r>
                </w:p>
              </w:tc>
            </w:tr>
            <w:tr w14:paraId="4893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restart"/>
                  <w:vAlign w:val="center"/>
                </w:tcPr>
                <w:p w14:paraId="68933525">
                  <w:pPr>
                    <w:pStyle w:val="167"/>
                    <w:overflowPunct w:val="0"/>
                    <w:rPr>
                      <w:rFonts w:hint="eastAsia"/>
                      <w:color w:val="auto"/>
                      <w:sz w:val="21"/>
                      <w:szCs w:val="21"/>
                    </w:rPr>
                  </w:pPr>
                  <w:r>
                    <w:rPr>
                      <w:rFonts w:hint="eastAsia"/>
                      <w:color w:val="auto"/>
                      <w:sz w:val="21"/>
                      <w:szCs w:val="21"/>
                    </w:rPr>
                    <w:t>03 强化底线约束 维育山清水秀边境生态屏障</w:t>
                  </w:r>
                </w:p>
              </w:tc>
              <w:tc>
                <w:tcPr>
                  <w:tcW w:w="708" w:type="dxa"/>
                  <w:vMerge w:val="restart"/>
                  <w:vAlign w:val="center"/>
                </w:tcPr>
                <w:p w14:paraId="726ACB11">
                  <w:pPr>
                    <w:pStyle w:val="167"/>
                    <w:overflowPunct w:val="0"/>
                    <w:rPr>
                      <w:rFonts w:hint="eastAsia"/>
                      <w:color w:val="auto"/>
                      <w:sz w:val="21"/>
                      <w:szCs w:val="21"/>
                    </w:rPr>
                  </w:pPr>
                  <w:r>
                    <w:rPr>
                      <w:rFonts w:hint="eastAsia"/>
                      <w:color w:val="auto"/>
                      <w:sz w:val="21"/>
                      <w:szCs w:val="21"/>
                    </w:rPr>
                    <w:t>3.1 锚固“一屏、三廊、多节点”的生态安全格局</w:t>
                  </w:r>
                </w:p>
              </w:tc>
              <w:tc>
                <w:tcPr>
                  <w:tcW w:w="2268" w:type="dxa"/>
                  <w:vAlign w:val="center"/>
                </w:tcPr>
                <w:p w14:paraId="05FD4A55">
                  <w:pPr>
                    <w:pStyle w:val="167"/>
                    <w:overflowPunct w:val="0"/>
                    <w:jc w:val="both"/>
                    <w:rPr>
                      <w:rFonts w:hint="eastAsia"/>
                      <w:color w:val="auto"/>
                      <w:sz w:val="21"/>
                      <w:szCs w:val="21"/>
                    </w:rPr>
                  </w:pPr>
                  <w:r>
                    <w:rPr>
                      <w:rFonts w:hint="eastAsia"/>
                      <w:color w:val="auto"/>
                      <w:sz w:val="21"/>
                      <w:szCs w:val="21"/>
                    </w:rPr>
                    <w:t>一屏 生态屏障</w:t>
                  </w:r>
                </w:p>
                <w:p w14:paraId="61195BCB">
                  <w:pPr>
                    <w:pStyle w:val="167"/>
                    <w:overflowPunct w:val="0"/>
                    <w:jc w:val="both"/>
                    <w:rPr>
                      <w:rFonts w:hint="eastAsia"/>
                      <w:color w:val="auto"/>
                      <w:sz w:val="21"/>
                      <w:szCs w:val="21"/>
                    </w:rPr>
                  </w:pPr>
                  <w:r>
                    <w:rPr>
                      <w:rFonts w:hint="eastAsia"/>
                      <w:color w:val="auto"/>
                      <w:sz w:val="21"/>
                      <w:szCs w:val="21"/>
                    </w:rPr>
                    <w:t>构建“哀牢山—无量山生态屏障”。依托县域内主要的山脉形成生态保护屏障。</w:t>
                  </w:r>
                </w:p>
              </w:tc>
              <w:tc>
                <w:tcPr>
                  <w:tcW w:w="2727" w:type="dxa"/>
                  <w:vMerge w:val="restart"/>
                  <w:vAlign w:val="center"/>
                </w:tcPr>
                <w:p w14:paraId="24E36E70">
                  <w:pPr>
                    <w:pStyle w:val="167"/>
                    <w:overflowPunct w:val="0"/>
                    <w:jc w:val="both"/>
                    <w:rPr>
                      <w:rFonts w:hint="eastAsia"/>
                      <w:color w:val="auto"/>
                      <w:sz w:val="21"/>
                      <w:szCs w:val="21"/>
                    </w:rPr>
                  </w:pPr>
                  <w:r>
                    <w:rPr>
                      <w:color w:val="auto"/>
                      <w:sz w:val="21"/>
                      <w:szCs w:val="21"/>
                    </w:rPr>
                    <w:t>项目用地不涉及</w:t>
                  </w:r>
                  <w:r>
                    <w:rPr>
                      <w:rFonts w:hint="eastAsia"/>
                      <w:color w:val="auto"/>
                      <w:sz w:val="21"/>
                      <w:szCs w:val="21"/>
                    </w:rPr>
                    <w:t>云南无量山国家级自然保护区、云南南涧凤凰山候鸟迁徙地方级自然保护区、云南灵宝山国家级森林公园、云南南涧大龙潭地方级森林公园、云南南涧土林地方级地质公园、母子垦水库等</w:t>
                  </w:r>
                  <w:r>
                    <w:rPr>
                      <w:color w:val="auto"/>
                      <w:sz w:val="21"/>
                      <w:szCs w:val="21"/>
                    </w:rPr>
                    <w:t>保护区，不会破坏保护区的生态系统服务功能和动植物种群数量。</w:t>
                  </w:r>
                </w:p>
              </w:tc>
              <w:tc>
                <w:tcPr>
                  <w:tcW w:w="508" w:type="dxa"/>
                  <w:vAlign w:val="center"/>
                </w:tcPr>
                <w:p w14:paraId="4410838C">
                  <w:pPr>
                    <w:pStyle w:val="167"/>
                    <w:overflowPunct w:val="0"/>
                    <w:rPr>
                      <w:rFonts w:hint="eastAsia"/>
                      <w:color w:val="auto"/>
                      <w:sz w:val="21"/>
                      <w:szCs w:val="21"/>
                    </w:rPr>
                  </w:pPr>
                  <w:r>
                    <w:rPr>
                      <w:rFonts w:hint="eastAsia"/>
                      <w:color w:val="auto"/>
                      <w:sz w:val="21"/>
                      <w:szCs w:val="21"/>
                    </w:rPr>
                    <w:t>符合</w:t>
                  </w:r>
                </w:p>
              </w:tc>
            </w:tr>
            <w:tr w14:paraId="7780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5A2D287C">
                  <w:pPr>
                    <w:pStyle w:val="167"/>
                    <w:overflowPunct w:val="0"/>
                    <w:jc w:val="both"/>
                    <w:rPr>
                      <w:rFonts w:hint="eastAsia"/>
                      <w:color w:val="auto"/>
                      <w:sz w:val="21"/>
                      <w:szCs w:val="21"/>
                    </w:rPr>
                  </w:pPr>
                </w:p>
              </w:tc>
              <w:tc>
                <w:tcPr>
                  <w:tcW w:w="708" w:type="dxa"/>
                  <w:vMerge w:val="continue"/>
                  <w:vAlign w:val="center"/>
                </w:tcPr>
                <w:p w14:paraId="1176F577">
                  <w:pPr>
                    <w:pStyle w:val="167"/>
                    <w:overflowPunct w:val="0"/>
                    <w:rPr>
                      <w:rFonts w:hint="eastAsia"/>
                      <w:color w:val="auto"/>
                      <w:sz w:val="21"/>
                      <w:szCs w:val="21"/>
                    </w:rPr>
                  </w:pPr>
                </w:p>
              </w:tc>
              <w:tc>
                <w:tcPr>
                  <w:tcW w:w="2268" w:type="dxa"/>
                  <w:vAlign w:val="center"/>
                </w:tcPr>
                <w:p w14:paraId="1BB39699">
                  <w:pPr>
                    <w:pStyle w:val="167"/>
                    <w:overflowPunct w:val="0"/>
                    <w:jc w:val="both"/>
                    <w:rPr>
                      <w:rFonts w:hint="eastAsia"/>
                      <w:color w:val="auto"/>
                      <w:sz w:val="21"/>
                      <w:szCs w:val="21"/>
                    </w:rPr>
                  </w:pPr>
                  <w:r>
                    <w:rPr>
                      <w:rFonts w:hint="eastAsia"/>
                      <w:color w:val="auto"/>
                      <w:sz w:val="21"/>
                      <w:szCs w:val="21"/>
                    </w:rPr>
                    <w:t>三廊 生态廊道</w:t>
                  </w:r>
                </w:p>
                <w:p w14:paraId="53A5202E">
                  <w:pPr>
                    <w:pStyle w:val="167"/>
                    <w:overflowPunct w:val="0"/>
                    <w:jc w:val="both"/>
                    <w:rPr>
                      <w:rFonts w:hint="eastAsia"/>
                      <w:color w:val="auto"/>
                      <w:sz w:val="21"/>
                      <w:szCs w:val="21"/>
                    </w:rPr>
                  </w:pPr>
                  <w:r>
                    <w:rPr>
                      <w:rFonts w:hint="eastAsia"/>
                      <w:color w:val="auto"/>
                      <w:sz w:val="21"/>
                      <w:szCs w:val="21"/>
                    </w:rPr>
                    <w:t>加强生态廊道区域用地管控与生态修复，提升各类生态要素连通性，形成结构完整、功能健康的生态网络。</w:t>
                  </w:r>
                </w:p>
              </w:tc>
              <w:tc>
                <w:tcPr>
                  <w:tcW w:w="2727" w:type="dxa"/>
                  <w:vMerge w:val="continue"/>
                  <w:vAlign w:val="center"/>
                </w:tcPr>
                <w:p w14:paraId="00D0722F">
                  <w:pPr>
                    <w:pStyle w:val="167"/>
                    <w:overflowPunct w:val="0"/>
                    <w:jc w:val="both"/>
                    <w:rPr>
                      <w:rFonts w:hint="eastAsia"/>
                      <w:color w:val="auto"/>
                      <w:sz w:val="21"/>
                      <w:szCs w:val="21"/>
                    </w:rPr>
                  </w:pPr>
                </w:p>
              </w:tc>
              <w:tc>
                <w:tcPr>
                  <w:tcW w:w="508" w:type="dxa"/>
                  <w:vAlign w:val="center"/>
                </w:tcPr>
                <w:p w14:paraId="57B93703">
                  <w:pPr>
                    <w:pStyle w:val="167"/>
                    <w:overflowPunct w:val="0"/>
                    <w:rPr>
                      <w:rFonts w:hint="eastAsia"/>
                      <w:color w:val="auto"/>
                      <w:sz w:val="21"/>
                      <w:szCs w:val="21"/>
                    </w:rPr>
                  </w:pPr>
                  <w:r>
                    <w:rPr>
                      <w:rFonts w:hint="eastAsia"/>
                      <w:color w:val="auto"/>
                      <w:sz w:val="21"/>
                      <w:szCs w:val="21"/>
                    </w:rPr>
                    <w:t>符合</w:t>
                  </w:r>
                </w:p>
              </w:tc>
            </w:tr>
            <w:tr w14:paraId="358F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3" w:type="dxa"/>
                  <w:vMerge w:val="continue"/>
                  <w:vAlign w:val="center"/>
                </w:tcPr>
                <w:p w14:paraId="0E6E5CF2">
                  <w:pPr>
                    <w:pStyle w:val="167"/>
                    <w:overflowPunct w:val="0"/>
                    <w:jc w:val="both"/>
                    <w:rPr>
                      <w:rFonts w:hint="eastAsia"/>
                      <w:color w:val="auto"/>
                      <w:sz w:val="21"/>
                      <w:szCs w:val="21"/>
                    </w:rPr>
                  </w:pPr>
                </w:p>
              </w:tc>
              <w:tc>
                <w:tcPr>
                  <w:tcW w:w="708" w:type="dxa"/>
                  <w:vMerge w:val="continue"/>
                  <w:vAlign w:val="center"/>
                </w:tcPr>
                <w:p w14:paraId="3AF071C7">
                  <w:pPr>
                    <w:pStyle w:val="167"/>
                    <w:overflowPunct w:val="0"/>
                    <w:rPr>
                      <w:rFonts w:hint="eastAsia"/>
                      <w:color w:val="auto"/>
                      <w:sz w:val="21"/>
                      <w:szCs w:val="21"/>
                    </w:rPr>
                  </w:pPr>
                </w:p>
              </w:tc>
              <w:tc>
                <w:tcPr>
                  <w:tcW w:w="2268" w:type="dxa"/>
                  <w:vAlign w:val="center"/>
                </w:tcPr>
                <w:p w14:paraId="3549AC2C">
                  <w:pPr>
                    <w:pStyle w:val="167"/>
                    <w:overflowPunct w:val="0"/>
                    <w:jc w:val="both"/>
                    <w:rPr>
                      <w:rFonts w:hint="eastAsia"/>
                      <w:color w:val="auto"/>
                      <w:sz w:val="21"/>
                      <w:szCs w:val="21"/>
                    </w:rPr>
                  </w:pPr>
                  <w:r>
                    <w:rPr>
                      <w:rFonts w:hint="eastAsia"/>
                      <w:color w:val="auto"/>
                      <w:sz w:val="21"/>
                      <w:szCs w:val="21"/>
                    </w:rPr>
                    <w:t>多节点 生态节点</w:t>
                  </w:r>
                </w:p>
                <w:p w14:paraId="665ED565">
                  <w:pPr>
                    <w:pStyle w:val="167"/>
                    <w:overflowPunct w:val="0"/>
                    <w:jc w:val="both"/>
                    <w:rPr>
                      <w:rFonts w:hint="eastAsia"/>
                      <w:color w:val="auto"/>
                      <w:sz w:val="21"/>
                      <w:szCs w:val="21"/>
                    </w:rPr>
                  </w:pPr>
                  <w:r>
                    <w:rPr>
                      <w:rFonts w:hint="eastAsia"/>
                      <w:color w:val="auto"/>
                      <w:sz w:val="21"/>
                      <w:szCs w:val="21"/>
                    </w:rPr>
                    <w:t>即云南无量山国家级自然保护区、云南南涧凤凰山候鸟迁徙地方级自然保护区、云南灵宝山国家级森林公园、云南南涧大龙潭地方级森林公园、云南南涧土林地方级地质公园、母子垦水库等重要生态节点结合县域自然特征形成片区之间的生态廊道。</w:t>
                  </w:r>
                </w:p>
              </w:tc>
              <w:tc>
                <w:tcPr>
                  <w:tcW w:w="2727" w:type="dxa"/>
                  <w:vMerge w:val="continue"/>
                  <w:vAlign w:val="center"/>
                </w:tcPr>
                <w:p w14:paraId="5F2D737C">
                  <w:pPr>
                    <w:pStyle w:val="167"/>
                    <w:overflowPunct w:val="0"/>
                    <w:jc w:val="both"/>
                    <w:rPr>
                      <w:rFonts w:hint="eastAsia"/>
                      <w:color w:val="auto"/>
                      <w:sz w:val="21"/>
                      <w:szCs w:val="21"/>
                    </w:rPr>
                  </w:pPr>
                </w:p>
              </w:tc>
              <w:tc>
                <w:tcPr>
                  <w:tcW w:w="508" w:type="dxa"/>
                  <w:vAlign w:val="center"/>
                </w:tcPr>
                <w:p w14:paraId="6DB4362F">
                  <w:pPr>
                    <w:pStyle w:val="167"/>
                    <w:overflowPunct w:val="0"/>
                    <w:rPr>
                      <w:rFonts w:hint="eastAsia"/>
                      <w:color w:val="auto"/>
                      <w:sz w:val="21"/>
                      <w:szCs w:val="21"/>
                    </w:rPr>
                  </w:pPr>
                  <w:r>
                    <w:rPr>
                      <w:rFonts w:hint="eastAsia"/>
                      <w:color w:val="auto"/>
                      <w:sz w:val="21"/>
                      <w:szCs w:val="21"/>
                    </w:rPr>
                    <w:t>符合</w:t>
                  </w:r>
                </w:p>
              </w:tc>
            </w:tr>
            <w:tr w14:paraId="7FE4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vAlign w:val="center"/>
                </w:tcPr>
                <w:p w14:paraId="60921AD1">
                  <w:pPr>
                    <w:pStyle w:val="167"/>
                    <w:overflowPunct w:val="0"/>
                    <w:jc w:val="both"/>
                    <w:rPr>
                      <w:rFonts w:hint="eastAsia"/>
                      <w:color w:val="auto"/>
                      <w:sz w:val="21"/>
                      <w:szCs w:val="21"/>
                    </w:rPr>
                  </w:pPr>
                </w:p>
              </w:tc>
              <w:tc>
                <w:tcPr>
                  <w:tcW w:w="708" w:type="dxa"/>
                  <w:vAlign w:val="center"/>
                </w:tcPr>
                <w:p w14:paraId="601BA196">
                  <w:pPr>
                    <w:pStyle w:val="167"/>
                    <w:overflowPunct w:val="0"/>
                    <w:rPr>
                      <w:rFonts w:hint="eastAsia"/>
                      <w:color w:val="auto"/>
                      <w:sz w:val="21"/>
                      <w:szCs w:val="21"/>
                    </w:rPr>
                  </w:pPr>
                  <w:r>
                    <w:rPr>
                      <w:rFonts w:hint="eastAsia"/>
                      <w:color w:val="auto"/>
                      <w:sz w:val="21"/>
                      <w:szCs w:val="21"/>
                    </w:rPr>
                    <w:t>3.2 整合优化“2+4”自然保护地体系</w:t>
                  </w:r>
                </w:p>
              </w:tc>
              <w:tc>
                <w:tcPr>
                  <w:tcW w:w="2268" w:type="dxa"/>
                  <w:vAlign w:val="center"/>
                </w:tcPr>
                <w:p w14:paraId="1F12D348">
                  <w:pPr>
                    <w:pStyle w:val="167"/>
                    <w:overflowPunct w:val="0"/>
                    <w:jc w:val="both"/>
                    <w:rPr>
                      <w:rFonts w:hint="eastAsia"/>
                      <w:color w:val="auto"/>
                      <w:sz w:val="21"/>
                      <w:szCs w:val="21"/>
                    </w:rPr>
                  </w:pPr>
                  <w:r>
                    <w:rPr>
                      <w:rFonts w:hint="eastAsia"/>
                      <w:color w:val="auto"/>
                      <w:sz w:val="21"/>
                      <w:szCs w:val="21"/>
                    </w:rPr>
                    <w:t>践行生态文明理念，围绕总体生态安全格局，按照自然生态系统完整、物种栖息地连通、保护管理统一的原则，对自然保护区等各类自然保护地进行整合优化，南涧县自然保护地涉及2个自然保护区和4个自然公园，分别为云南无量山国家级自然保护区，南涧凤凰山候鸟迁徙省级自然保护区，云南灵宝山国家森林公园，云南南涧大龙潭地方级森林公园，南涧小湾地方级森林公园，云南南涧土林地方级地质公园，总规模为17609.79公顷。</w:t>
                  </w:r>
                </w:p>
              </w:tc>
              <w:tc>
                <w:tcPr>
                  <w:tcW w:w="2727" w:type="dxa"/>
                  <w:vMerge w:val="continue"/>
                  <w:vAlign w:val="center"/>
                </w:tcPr>
                <w:p w14:paraId="30403831">
                  <w:pPr>
                    <w:pStyle w:val="167"/>
                    <w:overflowPunct w:val="0"/>
                    <w:jc w:val="both"/>
                    <w:rPr>
                      <w:rFonts w:hint="eastAsia"/>
                      <w:color w:val="auto"/>
                      <w:sz w:val="21"/>
                      <w:szCs w:val="21"/>
                    </w:rPr>
                  </w:pPr>
                </w:p>
              </w:tc>
              <w:tc>
                <w:tcPr>
                  <w:tcW w:w="508" w:type="dxa"/>
                  <w:vAlign w:val="center"/>
                </w:tcPr>
                <w:p w14:paraId="2AB86AC5">
                  <w:pPr>
                    <w:pStyle w:val="167"/>
                    <w:overflowPunct w:val="0"/>
                    <w:rPr>
                      <w:rFonts w:hint="eastAsia"/>
                      <w:color w:val="auto"/>
                      <w:sz w:val="21"/>
                      <w:szCs w:val="21"/>
                    </w:rPr>
                  </w:pPr>
                  <w:r>
                    <w:rPr>
                      <w:rFonts w:hint="eastAsia"/>
                      <w:color w:val="auto"/>
                      <w:sz w:val="21"/>
                      <w:szCs w:val="21"/>
                    </w:rPr>
                    <w:t>符合</w:t>
                  </w:r>
                </w:p>
              </w:tc>
            </w:tr>
            <w:tr w14:paraId="1CF6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vAlign w:val="center"/>
                </w:tcPr>
                <w:p w14:paraId="0A6047B1">
                  <w:pPr>
                    <w:pStyle w:val="167"/>
                    <w:overflowPunct w:val="0"/>
                    <w:jc w:val="both"/>
                    <w:rPr>
                      <w:rFonts w:hint="eastAsia"/>
                      <w:color w:val="auto"/>
                      <w:sz w:val="21"/>
                      <w:szCs w:val="21"/>
                    </w:rPr>
                  </w:pPr>
                </w:p>
              </w:tc>
              <w:tc>
                <w:tcPr>
                  <w:tcW w:w="708" w:type="dxa"/>
                  <w:vAlign w:val="center"/>
                </w:tcPr>
                <w:p w14:paraId="2AAAF857">
                  <w:pPr>
                    <w:pStyle w:val="167"/>
                    <w:overflowPunct w:val="0"/>
                    <w:rPr>
                      <w:rFonts w:hint="eastAsia"/>
                      <w:color w:val="auto"/>
                      <w:sz w:val="21"/>
                      <w:szCs w:val="21"/>
                    </w:rPr>
                  </w:pPr>
                  <w:r>
                    <w:rPr>
                      <w:rFonts w:hint="eastAsia"/>
                      <w:color w:val="auto"/>
                      <w:sz w:val="21"/>
                      <w:szCs w:val="21"/>
                    </w:rPr>
                    <w:t>3.3 保护和提升重点生态系统功能</w:t>
                  </w:r>
                </w:p>
              </w:tc>
              <w:tc>
                <w:tcPr>
                  <w:tcW w:w="2268" w:type="dxa"/>
                  <w:vAlign w:val="center"/>
                </w:tcPr>
                <w:p w14:paraId="7C05ED6E">
                  <w:pPr>
                    <w:pStyle w:val="167"/>
                    <w:overflowPunct w:val="0"/>
                    <w:jc w:val="both"/>
                    <w:rPr>
                      <w:rFonts w:hint="eastAsia"/>
                      <w:color w:val="auto"/>
                      <w:sz w:val="21"/>
                      <w:szCs w:val="21"/>
                    </w:rPr>
                  </w:pPr>
                  <w:r>
                    <w:rPr>
                      <w:rFonts w:hint="eastAsia"/>
                      <w:color w:val="auto"/>
                      <w:sz w:val="21"/>
                      <w:szCs w:val="21"/>
                    </w:rPr>
                    <w:t>加强南涧县澜沧江流域、灰河流域湿地、无量山国家级自然保护区等重点生态系统功能，关系全域生态安全，需要在空间开发中严格限制进行大规模开发，强化重点地区环境保护和管理。</w:t>
                  </w:r>
                </w:p>
              </w:tc>
              <w:tc>
                <w:tcPr>
                  <w:tcW w:w="2727" w:type="dxa"/>
                  <w:vAlign w:val="center"/>
                </w:tcPr>
                <w:p w14:paraId="0A728E46">
                  <w:pPr>
                    <w:pStyle w:val="167"/>
                    <w:overflowPunct w:val="0"/>
                    <w:jc w:val="both"/>
                    <w:rPr>
                      <w:rFonts w:hint="eastAsia"/>
                      <w:color w:val="auto"/>
                      <w:sz w:val="21"/>
                      <w:szCs w:val="21"/>
                    </w:rPr>
                  </w:pPr>
                  <w:r>
                    <w:rPr>
                      <w:rFonts w:hint="eastAsia"/>
                      <w:color w:val="auto"/>
                      <w:sz w:val="21"/>
                      <w:szCs w:val="21"/>
                    </w:rPr>
                    <w:t>根据《</w:t>
                  </w:r>
                  <w:r>
                    <w:rPr>
                      <w:rFonts w:hint="eastAsia"/>
                      <w:color w:val="auto"/>
                      <w:sz w:val="21"/>
                      <w:szCs w:val="21"/>
                    </w:rPr>
                    <w:fldChar w:fldCharType="begin"/>
                  </w:r>
                  <w:r>
                    <w:rPr>
                      <w:rFonts w:hint="eastAsia"/>
                      <w:color w:val="auto"/>
                      <w:sz w:val="21"/>
                      <w:szCs w:val="21"/>
                    </w:rPr>
                    <w:instrText xml:space="preserve"> REF _Ref218625276 \h  \* MERGEFORMAT </w:instrText>
                  </w:r>
                  <w:r>
                    <w:rPr>
                      <w:rFonts w:hint="eastAsia"/>
                      <w:color w:val="auto"/>
                      <w:sz w:val="21"/>
                      <w:szCs w:val="21"/>
                    </w:rPr>
                    <w:fldChar w:fldCharType="separate"/>
                  </w:r>
                  <w:r>
                    <w:rPr>
                      <w:rFonts w:hint="eastAsia"/>
                      <w:color w:val="auto"/>
                      <w:sz w:val="21"/>
                      <w:szCs w:val="21"/>
                    </w:rPr>
                    <w:t>南涧彝族自治县林业和草原局关于沙乐光伏发电项目选址意见</w:t>
                  </w:r>
                  <w:r>
                    <w:rPr>
                      <w:rFonts w:hint="eastAsia"/>
                      <w:color w:val="auto"/>
                      <w:sz w:val="21"/>
                      <w:szCs w:val="21"/>
                    </w:rPr>
                    <w:fldChar w:fldCharType="end"/>
                  </w:r>
                  <w:r>
                    <w:rPr>
                      <w:rFonts w:hint="eastAsia"/>
                      <w:color w:val="auto"/>
                      <w:sz w:val="21"/>
                      <w:szCs w:val="21"/>
                    </w:rPr>
                    <w:t>》，项目建设不涉及国家公园、自然保护区、森林公园、风景名胜区、草原公园等各类自然保护地，世界自然遗产地，野生动物重要栖息地，珍稀濒危和极小种群野生植物重要原生境和天然林保护重点区域。</w:t>
                  </w:r>
                </w:p>
              </w:tc>
              <w:tc>
                <w:tcPr>
                  <w:tcW w:w="508" w:type="dxa"/>
                  <w:vAlign w:val="center"/>
                </w:tcPr>
                <w:p w14:paraId="67C8C9E7">
                  <w:pPr>
                    <w:pStyle w:val="167"/>
                    <w:overflowPunct w:val="0"/>
                    <w:rPr>
                      <w:rFonts w:hint="eastAsia"/>
                      <w:color w:val="auto"/>
                      <w:sz w:val="21"/>
                      <w:szCs w:val="21"/>
                    </w:rPr>
                  </w:pPr>
                  <w:r>
                    <w:rPr>
                      <w:rFonts w:hint="eastAsia"/>
                      <w:color w:val="auto"/>
                      <w:sz w:val="21"/>
                      <w:szCs w:val="21"/>
                    </w:rPr>
                    <w:t>符合</w:t>
                  </w:r>
                </w:p>
              </w:tc>
            </w:tr>
          </w:tbl>
          <w:p w14:paraId="376A8CA8">
            <w:pPr>
              <w:keepNext/>
              <w:autoSpaceDE w:val="0"/>
              <w:autoSpaceDN w:val="0"/>
              <w:adjustRightInd w:val="0"/>
              <w:snapToGrid w:val="0"/>
              <w:ind w:firstLine="480"/>
              <w:rPr>
                <w:color w:val="auto"/>
              </w:rPr>
            </w:pPr>
            <w:r>
              <w:rPr>
                <w:rFonts w:hint="eastAsia"/>
                <w:color w:val="auto"/>
              </w:rPr>
              <w:t>综上，项目与《南涧彝族自治县国土空间总体规划（2021-2035年）》相关要求相符。</w:t>
            </w:r>
          </w:p>
          <w:p w14:paraId="0DA2E63F">
            <w:pPr>
              <w:pStyle w:val="23"/>
              <w:spacing w:line="360" w:lineRule="auto"/>
              <w:ind w:left="0" w:leftChars="0" w:firstLine="0" w:firstLineChars="0"/>
              <w:rPr>
                <w:rFonts w:cs="Times New Roman"/>
                <w:b/>
                <w:bCs/>
                <w:color w:val="auto"/>
                <w:kern w:val="0"/>
              </w:rPr>
            </w:pPr>
            <w:r>
              <w:rPr>
                <w:rFonts w:hint="eastAsia" w:cs="Times New Roman"/>
                <w:b/>
                <w:bCs/>
                <w:color w:val="auto"/>
                <w:kern w:val="0"/>
              </w:rPr>
              <w:t>五、与《南涧县“十四五”能源发展规划（2021-2025年）》符合性分析</w:t>
            </w:r>
          </w:p>
          <w:p w14:paraId="3D67B0DD">
            <w:pPr>
              <w:ind w:firstLine="480"/>
              <w:rPr>
                <w:color w:val="auto"/>
              </w:rPr>
            </w:pPr>
            <w:r>
              <w:rPr>
                <w:color w:val="auto"/>
              </w:rPr>
              <w:t>2022年3月11日南涧彝族自治县人民政府办公室关于印发《南涧县“十四五”能源发展规划（2021</w:t>
            </w:r>
            <w:r>
              <w:rPr>
                <w:rFonts w:hint="eastAsia"/>
                <w:color w:val="auto"/>
              </w:rPr>
              <w:t>-</w:t>
            </w:r>
            <w:r>
              <w:rPr>
                <w:color w:val="auto"/>
              </w:rPr>
              <w:t>2025年）》的通知，规划能源建设目标为到2025年，全县大力推进以风能、太阳能为主的新能源开发利用，装机容量达到1000MW以上，总投资55亿元以上。为促进南涧县太阳能资源的合理有序利用开发，“十四五”期间按照总体规划、分期实施的原则，分批、分期实施开发。规划光伏项目23个，规划装机容量总计875MW。</w:t>
            </w:r>
          </w:p>
          <w:p w14:paraId="4DF8EE0B">
            <w:pPr>
              <w:ind w:firstLine="480"/>
              <w:rPr>
                <w:color w:val="auto"/>
              </w:rPr>
            </w:pPr>
            <w:r>
              <w:rPr>
                <w:color w:val="auto"/>
              </w:rPr>
              <w:t>本项目为光伏发电项目，项目采用农/茶光互补开发方式，属于规划倡导的产业方案，项目所产电能可以在大理州境内进行消纳。因此，本项目的建设符合《南涧县“十四五”能源发展规划（2021</w:t>
            </w:r>
            <w:r>
              <w:rPr>
                <w:rFonts w:hint="eastAsia"/>
                <w:color w:val="auto"/>
              </w:rPr>
              <w:t>-</w:t>
            </w:r>
            <w:r>
              <w:rPr>
                <w:color w:val="auto"/>
              </w:rPr>
              <w:t>2025年）》。</w:t>
            </w:r>
          </w:p>
        </w:tc>
      </w:tr>
      <w:tr w14:paraId="5447B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92" w:type="dxa"/>
            <w:tcBorders>
              <w:top w:val="single" w:color="auto" w:sz="4" w:space="0"/>
              <w:bottom w:val="single" w:color="auto" w:sz="8" w:space="0"/>
            </w:tcBorders>
            <w:tcMar>
              <w:top w:w="16" w:type="dxa"/>
              <w:left w:w="16" w:type="dxa"/>
              <w:right w:w="16" w:type="dxa"/>
            </w:tcMar>
            <w:vAlign w:val="center"/>
          </w:tcPr>
          <w:p w14:paraId="293D1B5D">
            <w:pPr>
              <w:pStyle w:val="165"/>
              <w:spacing w:line="240" w:lineRule="auto"/>
              <w:jc w:val="center"/>
              <w:rPr>
                <w:color w:val="auto"/>
                <w:sz w:val="21"/>
                <w:szCs w:val="21"/>
              </w:rPr>
            </w:pPr>
            <w:bookmarkStart w:id="147" w:name="_Toc112173893"/>
            <w:bookmarkStart w:id="148" w:name="_Toc136794164"/>
            <w:bookmarkStart w:id="149" w:name="_Toc156144122"/>
            <w:bookmarkStart w:id="150" w:name="_Toc112424233"/>
            <w:bookmarkStart w:id="151" w:name="_Toc29546"/>
            <w:bookmarkStart w:id="152" w:name="_Toc156137808"/>
            <w:bookmarkStart w:id="153" w:name="_Hlk56690880"/>
            <w:bookmarkStart w:id="154" w:name="_Toc159349001"/>
            <w:bookmarkStart w:id="155" w:name="_Toc158491233"/>
            <w:bookmarkStart w:id="156" w:name="_Toc160473774"/>
            <w:bookmarkStart w:id="157" w:name="_Toc112165598"/>
            <w:bookmarkStart w:id="158" w:name="_Toc136794289"/>
            <w:bookmarkStart w:id="159" w:name="_Toc160730850"/>
            <w:bookmarkStart w:id="160" w:name="_Toc161415528"/>
            <w:bookmarkStart w:id="161" w:name="_Toc177072378"/>
            <w:bookmarkStart w:id="162" w:name="_Toc26098"/>
            <w:bookmarkStart w:id="163" w:name="_Toc177072806"/>
            <w:bookmarkStart w:id="164" w:name="_Toc181732790"/>
            <w:bookmarkStart w:id="165" w:name="_Toc181293512"/>
            <w:bookmarkStart w:id="166" w:name="_Toc177482878"/>
            <w:bookmarkStart w:id="167" w:name="_Toc177488190"/>
            <w:bookmarkStart w:id="168" w:name="_Toc181738197"/>
            <w:r>
              <w:rPr>
                <w:rFonts w:hint="eastAsia"/>
                <w:color w:val="auto"/>
                <w:sz w:val="21"/>
                <w:szCs w:val="21"/>
              </w:rPr>
              <w:t>其他</w:t>
            </w:r>
            <w:r>
              <w:rPr>
                <w:color w:val="auto"/>
                <w:sz w:val="21"/>
                <w:szCs w:val="21"/>
              </w:rPr>
              <w:t>符合性分析</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tc>
        <w:tc>
          <w:tcPr>
            <w:tcW w:w="6946" w:type="dxa"/>
            <w:gridSpan w:val="3"/>
            <w:tcBorders>
              <w:top w:val="single" w:color="auto" w:sz="4" w:space="0"/>
              <w:bottom w:val="single" w:color="auto" w:sz="8" w:space="0"/>
            </w:tcBorders>
            <w:tcMar>
              <w:top w:w="16" w:type="dxa"/>
              <w:left w:w="16" w:type="dxa"/>
              <w:right w:w="16" w:type="dxa"/>
            </w:tcMar>
            <w:vAlign w:val="center"/>
          </w:tcPr>
          <w:p w14:paraId="284F843F">
            <w:pPr>
              <w:pStyle w:val="3"/>
              <w:spacing w:before="72" w:after="72"/>
              <w:rPr>
                <w:color w:val="auto"/>
              </w:rPr>
            </w:pPr>
            <w:bookmarkStart w:id="169" w:name="_Toc177072379"/>
            <w:bookmarkStart w:id="170" w:name="_Toc177482879"/>
            <w:bookmarkStart w:id="171" w:name="_Toc177072807"/>
            <w:bookmarkStart w:id="172" w:name="_Toc177488191"/>
            <w:bookmarkStart w:id="173" w:name="_Toc25383"/>
            <w:bookmarkStart w:id="174" w:name="_Toc112165599"/>
            <w:bookmarkStart w:id="175" w:name="_Toc160473775"/>
            <w:bookmarkStart w:id="176" w:name="_Toc8352"/>
            <w:bookmarkStart w:id="177" w:name="_Toc156137809"/>
            <w:bookmarkStart w:id="178" w:name="_Toc158491234"/>
            <w:bookmarkStart w:id="179" w:name="_Toc112173894"/>
            <w:bookmarkStart w:id="180" w:name="_Toc136794290"/>
            <w:bookmarkStart w:id="181" w:name="_Toc112424234"/>
            <w:bookmarkStart w:id="182" w:name="_Toc136794165"/>
            <w:bookmarkStart w:id="183" w:name="_Toc156144123"/>
            <w:bookmarkStart w:id="184" w:name="_Toc159349002"/>
            <w:bookmarkStart w:id="185" w:name="_Toc160730851"/>
            <w:bookmarkStart w:id="186" w:name="_Toc161415529"/>
            <w:bookmarkStart w:id="187" w:name="_Toc181293513"/>
            <w:bookmarkStart w:id="188" w:name="_Toc181738198"/>
            <w:bookmarkStart w:id="189" w:name="_Toc181732791"/>
            <w:r>
              <w:rPr>
                <w:color w:val="auto"/>
              </w:rPr>
              <w:t>产业政策符合性分析</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0D9126FA">
            <w:pPr>
              <w:autoSpaceDE w:val="0"/>
              <w:autoSpaceDN w:val="0"/>
              <w:adjustRightInd w:val="0"/>
              <w:snapToGrid w:val="0"/>
              <w:ind w:firstLine="480"/>
              <w:rPr>
                <w:color w:val="auto"/>
                <w:kern w:val="0"/>
                <w:szCs w:val="21"/>
              </w:rPr>
            </w:pPr>
            <w:r>
              <w:rPr>
                <w:color w:val="auto"/>
                <w:kern w:val="0"/>
                <w:szCs w:val="21"/>
              </w:rPr>
              <w:t>根据国务院发布的</w:t>
            </w:r>
            <w:r>
              <w:rPr>
                <w:rFonts w:hint="eastAsia"/>
                <w:color w:val="auto"/>
                <w:kern w:val="0"/>
                <w:szCs w:val="21"/>
              </w:rPr>
              <w:t>《产业结构调整指导目录（20</w:t>
            </w:r>
            <w:r>
              <w:rPr>
                <w:color w:val="auto"/>
                <w:kern w:val="0"/>
                <w:szCs w:val="21"/>
              </w:rPr>
              <w:t>24</w:t>
            </w:r>
            <w:r>
              <w:rPr>
                <w:rFonts w:hint="eastAsia"/>
                <w:color w:val="auto"/>
                <w:kern w:val="0"/>
                <w:szCs w:val="21"/>
              </w:rPr>
              <w:t>年本）》（中华人民共和国国家发展和改革委员会令，第7号）</w:t>
            </w:r>
            <w:r>
              <w:rPr>
                <w:color w:val="auto"/>
                <w:kern w:val="0"/>
                <w:szCs w:val="21"/>
              </w:rPr>
              <w:t>，本项目属于其中的鼓励类第五项</w:t>
            </w:r>
            <w:r>
              <w:rPr>
                <w:rFonts w:hint="eastAsia"/>
                <w:color w:val="auto"/>
                <w:kern w:val="0"/>
                <w:szCs w:val="21"/>
              </w:rPr>
              <w:t>“</w:t>
            </w:r>
            <w:r>
              <w:rPr>
                <w:color w:val="auto"/>
                <w:kern w:val="0"/>
                <w:szCs w:val="21"/>
              </w:rPr>
              <w:t>新能源</w:t>
            </w:r>
            <w:r>
              <w:rPr>
                <w:rFonts w:hint="eastAsia"/>
                <w:color w:val="auto"/>
                <w:kern w:val="0"/>
                <w:szCs w:val="21"/>
              </w:rPr>
              <w:t>”</w:t>
            </w:r>
            <w:r>
              <w:rPr>
                <w:color w:val="auto"/>
                <w:kern w:val="0"/>
                <w:szCs w:val="21"/>
              </w:rPr>
              <w:t>中的第</w:t>
            </w:r>
            <w:r>
              <w:rPr>
                <w:rFonts w:hint="eastAsia"/>
                <w:color w:val="auto"/>
                <w:kern w:val="0"/>
                <w:szCs w:val="21"/>
              </w:rPr>
              <w:t>2</w:t>
            </w:r>
            <w:r>
              <w:rPr>
                <w:color w:val="auto"/>
                <w:kern w:val="0"/>
                <w:szCs w:val="21"/>
              </w:rPr>
              <w:t>条</w:t>
            </w:r>
            <w:r>
              <w:rPr>
                <w:rFonts w:hint="eastAsia"/>
                <w:color w:val="auto"/>
                <w:kern w:val="0"/>
                <w:szCs w:val="21"/>
              </w:rPr>
              <w:t>“太阳能热发电集热系统、高效率低成本太阳能光伏发电技术研发与产业化，太阳能中高温利用技术开发与设备制造”</w:t>
            </w:r>
            <w:r>
              <w:rPr>
                <w:color w:val="auto"/>
                <w:kern w:val="0"/>
                <w:szCs w:val="21"/>
              </w:rPr>
              <w:t>。</w:t>
            </w:r>
          </w:p>
          <w:p w14:paraId="1491003E">
            <w:pPr>
              <w:ind w:firstLine="480"/>
              <w:rPr>
                <w:color w:val="auto"/>
                <w:szCs w:val="21"/>
              </w:rPr>
            </w:pPr>
            <w:bookmarkStart w:id="190" w:name="_Hlk156835101"/>
            <w:bookmarkStart w:id="191" w:name="_Hlk181624432"/>
            <w:r>
              <w:rPr>
                <w:color w:val="auto"/>
                <w:szCs w:val="21"/>
              </w:rPr>
              <w:t>项目于20</w:t>
            </w:r>
            <w:r>
              <w:rPr>
                <w:rFonts w:hint="eastAsia"/>
                <w:color w:val="auto"/>
                <w:szCs w:val="21"/>
              </w:rPr>
              <w:t>25</w:t>
            </w:r>
            <w:r>
              <w:rPr>
                <w:color w:val="auto"/>
                <w:szCs w:val="21"/>
              </w:rPr>
              <w:t>年</w:t>
            </w:r>
            <w:r>
              <w:rPr>
                <w:rFonts w:hint="eastAsia"/>
                <w:color w:val="auto"/>
                <w:szCs w:val="21"/>
              </w:rPr>
              <w:t>8</w:t>
            </w:r>
            <w:r>
              <w:rPr>
                <w:color w:val="auto"/>
                <w:szCs w:val="21"/>
              </w:rPr>
              <w:t>月</w:t>
            </w:r>
            <w:r>
              <w:rPr>
                <w:rFonts w:hint="eastAsia"/>
                <w:color w:val="auto"/>
                <w:szCs w:val="21"/>
              </w:rPr>
              <w:t>28</w:t>
            </w:r>
            <w:r>
              <w:rPr>
                <w:color w:val="auto"/>
                <w:szCs w:val="21"/>
              </w:rPr>
              <w:t>日已取得</w:t>
            </w:r>
            <w:r>
              <w:rPr>
                <w:rFonts w:hint="eastAsia"/>
                <w:color w:val="auto"/>
                <w:szCs w:val="21"/>
              </w:rPr>
              <w:t>南涧彝族自治县发展和改革局</w:t>
            </w:r>
            <w:r>
              <w:rPr>
                <w:color w:val="auto"/>
                <w:szCs w:val="21"/>
              </w:rPr>
              <w:t>投资项目备案证（备案项目代码：2508-532926-04-01-458229）</w:t>
            </w:r>
            <w:bookmarkEnd w:id="190"/>
            <w:r>
              <w:rPr>
                <w:color w:val="auto"/>
                <w:szCs w:val="21"/>
              </w:rPr>
              <w:t>。</w:t>
            </w:r>
          </w:p>
          <w:bookmarkEnd w:id="191"/>
          <w:p w14:paraId="19C2FF93">
            <w:pPr>
              <w:pStyle w:val="3"/>
              <w:spacing w:before="72" w:after="72"/>
              <w:rPr>
                <w:color w:val="auto"/>
              </w:rPr>
            </w:pPr>
            <w:bookmarkStart w:id="192" w:name="_Toc112424235"/>
            <w:bookmarkStart w:id="193" w:name="_Toc112165600"/>
            <w:bookmarkStart w:id="194" w:name="_Toc136794166"/>
            <w:bookmarkStart w:id="195" w:name="_Toc136794291"/>
            <w:bookmarkStart w:id="196" w:name="_Toc17836"/>
            <w:bookmarkStart w:id="197" w:name="_Toc6764"/>
            <w:bookmarkStart w:id="198" w:name="_Toc156137810"/>
            <w:bookmarkStart w:id="199" w:name="_Toc181732792"/>
            <w:bookmarkStart w:id="200" w:name="_Toc156144124"/>
            <w:bookmarkStart w:id="201" w:name="_Toc161415530"/>
            <w:bookmarkStart w:id="202" w:name="_Toc159349003"/>
            <w:bookmarkStart w:id="203" w:name="_Toc177488192"/>
            <w:bookmarkStart w:id="204" w:name="_Toc177072380"/>
            <w:bookmarkStart w:id="205" w:name="_Toc160473776"/>
            <w:bookmarkStart w:id="206" w:name="_Toc177072808"/>
            <w:bookmarkStart w:id="207" w:name="_Toc181293514"/>
            <w:bookmarkStart w:id="208" w:name="_Toc158491235"/>
            <w:bookmarkStart w:id="209" w:name="_Toc112173895"/>
            <w:bookmarkStart w:id="210" w:name="_Toc177482880"/>
            <w:bookmarkStart w:id="211" w:name="_Toc160730852"/>
            <w:bookmarkStart w:id="212" w:name="_Toc181738199"/>
            <w:r>
              <w:rPr>
                <w:color w:val="auto"/>
              </w:rPr>
              <w:t>与</w:t>
            </w:r>
            <w:r>
              <w:rPr>
                <w:rFonts w:hint="eastAsia"/>
                <w:color w:val="auto"/>
              </w:rPr>
              <w:t>“</w:t>
            </w:r>
            <w:bookmarkStart w:id="213" w:name="OLE_LINK16"/>
            <w:r>
              <w:rPr>
                <w:rFonts w:hint="eastAsia"/>
                <w:color w:val="auto"/>
              </w:rPr>
              <w:t>生态环境分区管控</w:t>
            </w:r>
            <w:bookmarkEnd w:id="213"/>
            <w:r>
              <w:rPr>
                <w:rFonts w:hint="eastAsia"/>
                <w:color w:val="auto"/>
              </w:rPr>
              <w:t>”要求的符合性分析</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8D374F4">
            <w:pPr>
              <w:ind w:firstLine="480"/>
              <w:rPr>
                <w:color w:val="auto"/>
                <w:szCs w:val="21"/>
              </w:rPr>
            </w:pPr>
            <w:r>
              <w:rPr>
                <w:rFonts w:hint="eastAsia"/>
                <w:color w:val="auto"/>
                <w:szCs w:val="21"/>
              </w:rPr>
              <w:t>根据“大理白族自治州生态环境局关于印发《大理州生态环境分区管控动态更新调整方案（2023年）》的通知”（大环发〔2024〕44号），项目与大理州“生态环境分区管控”的</w:t>
            </w:r>
            <w:r>
              <w:rPr>
                <w:color w:val="auto"/>
                <w:szCs w:val="21"/>
              </w:rPr>
              <w:t>符合性分析如下</w:t>
            </w:r>
            <w:r>
              <w:rPr>
                <w:rFonts w:hint="eastAsia"/>
                <w:color w:val="auto"/>
                <w:szCs w:val="21"/>
              </w:rPr>
              <w:t>：</w:t>
            </w:r>
          </w:p>
          <w:p w14:paraId="388D1478">
            <w:pPr>
              <w:ind w:firstLine="480" w:firstLineChars="0"/>
              <w:rPr>
                <w:b/>
                <w:bCs/>
                <w:color w:val="auto"/>
                <w:szCs w:val="21"/>
              </w:rPr>
            </w:pPr>
            <w:r>
              <w:rPr>
                <w:rFonts w:hint="eastAsia"/>
                <w:b/>
                <w:bCs/>
                <w:color w:val="auto"/>
                <w:szCs w:val="21"/>
              </w:rPr>
              <w:t>（一）与生态环境管控总体要求的相符性分析</w:t>
            </w:r>
          </w:p>
          <w:p w14:paraId="17571205">
            <w:pPr>
              <w:ind w:firstLine="480"/>
              <w:rPr>
                <w:color w:val="auto"/>
                <w:szCs w:val="21"/>
              </w:rPr>
            </w:pPr>
            <w:r>
              <w:rPr>
                <w:rFonts w:cs="Times New Roman"/>
                <w:color w:val="auto"/>
                <w:szCs w:val="21"/>
              </w:rPr>
              <w:t>据《大理州生态环境分区管控动态更新调整方案（2023年）》，生态环境管控准入清单，</w:t>
            </w:r>
            <w:r>
              <w:rPr>
                <w:rFonts w:hint="eastAsia" w:cs="Times New Roman"/>
                <w:color w:val="auto"/>
                <w:szCs w:val="21"/>
              </w:rPr>
              <w:t>本次项目</w:t>
            </w:r>
            <w:r>
              <w:rPr>
                <w:rFonts w:cs="Times New Roman"/>
                <w:color w:val="auto"/>
                <w:szCs w:val="21"/>
              </w:rPr>
              <w:t>涉及</w:t>
            </w:r>
            <w:r>
              <w:rPr>
                <w:rFonts w:hint="eastAsia" w:cs="Times New Roman"/>
                <w:color w:val="auto"/>
                <w:szCs w:val="21"/>
              </w:rPr>
              <w:t>大理州</w:t>
            </w:r>
            <w:r>
              <w:rPr>
                <w:rFonts w:cs="Times New Roman"/>
                <w:color w:val="auto"/>
                <w:szCs w:val="21"/>
              </w:rPr>
              <w:t>生态环境分区管控中的一般管控单元</w:t>
            </w:r>
            <w:r>
              <w:rPr>
                <w:rFonts w:hint="eastAsia" w:cs="Times New Roman"/>
                <w:color w:val="auto"/>
                <w:szCs w:val="21"/>
              </w:rPr>
              <w:t>和一般生态空间优先保护单元</w:t>
            </w:r>
            <w:r>
              <w:rPr>
                <w:rFonts w:cs="Times New Roman"/>
                <w:color w:val="auto"/>
                <w:szCs w:val="21"/>
              </w:rPr>
              <w:t>（详见</w:t>
            </w:r>
            <w:r>
              <w:rPr>
                <w:rFonts w:cs="Times New Roman"/>
                <w:color w:val="auto"/>
                <w:szCs w:val="21"/>
                <w:highlight w:val="yellow"/>
              </w:rPr>
              <w:fldChar w:fldCharType="begin"/>
            </w:r>
            <w:r>
              <w:rPr>
                <w:rFonts w:cs="Times New Roman"/>
                <w:color w:val="auto"/>
                <w:szCs w:val="21"/>
              </w:rPr>
              <w:instrText xml:space="preserve"> REF _Ref218625490 \h </w:instrText>
            </w:r>
            <w:r>
              <w:rPr>
                <w:rFonts w:cs="Times New Roman"/>
                <w:color w:val="auto"/>
                <w:szCs w:val="21"/>
                <w:highlight w:val="yellow"/>
              </w:rPr>
              <w:fldChar w:fldCharType="separate"/>
            </w:r>
            <w:r>
              <w:rPr>
                <w:rFonts w:hint="eastAsia"/>
                <w:color w:val="auto"/>
                <w:szCs w:val="32"/>
              </w:rPr>
              <w:t xml:space="preserve">附图 </w:t>
            </w:r>
            <w:r>
              <w:rPr>
                <w:color w:val="auto"/>
                <w:szCs w:val="32"/>
              </w:rPr>
              <w:t>10</w:t>
            </w:r>
            <w:r>
              <w:rPr>
                <w:rFonts w:cs="Times New Roman"/>
                <w:color w:val="auto"/>
                <w:szCs w:val="21"/>
                <w:highlight w:val="yellow"/>
              </w:rPr>
              <w:fldChar w:fldCharType="end"/>
            </w:r>
            <w:r>
              <w:rPr>
                <w:rFonts w:cs="Times New Roman"/>
                <w:color w:val="auto"/>
                <w:szCs w:val="21"/>
              </w:rPr>
              <w:t>）</w:t>
            </w:r>
            <w:r>
              <w:rPr>
                <w:rFonts w:hint="eastAsia"/>
                <w:color w:val="auto"/>
                <w:szCs w:val="21"/>
              </w:rPr>
              <w:t>。根据《</w:t>
            </w:r>
            <w:r>
              <w:rPr>
                <w:color w:val="auto"/>
                <w:szCs w:val="21"/>
              </w:rPr>
              <w:fldChar w:fldCharType="begin"/>
            </w:r>
            <w:r>
              <w:rPr>
                <w:color w:val="auto"/>
                <w:szCs w:val="21"/>
              </w:rPr>
              <w:instrText xml:space="preserve"> </w:instrText>
            </w:r>
            <w:r>
              <w:rPr>
                <w:rFonts w:hint="eastAsia"/>
                <w:color w:val="auto"/>
                <w:szCs w:val="21"/>
              </w:rPr>
              <w:instrText xml:space="preserve">REF _Ref218625276 \h</w:instrText>
            </w:r>
            <w:r>
              <w:rPr>
                <w:color w:val="auto"/>
                <w:szCs w:val="21"/>
              </w:rPr>
              <w:instrText xml:space="preserve"> </w:instrText>
            </w:r>
            <w:r>
              <w:rPr>
                <w:color w:val="auto"/>
                <w:szCs w:val="21"/>
              </w:rPr>
              <w:fldChar w:fldCharType="separate"/>
            </w:r>
            <w:r>
              <w:rPr>
                <w:rFonts w:hint="eastAsia"/>
                <w:color w:val="auto"/>
              </w:rPr>
              <w:t>南涧彝族自治县林业和草原局关于沙乐光伏发电项目选址意见</w:t>
            </w:r>
            <w:r>
              <w:rPr>
                <w:color w:val="auto"/>
                <w:szCs w:val="21"/>
              </w:rPr>
              <w:fldChar w:fldCharType="end"/>
            </w:r>
            <w:r>
              <w:rPr>
                <w:rFonts w:hint="eastAsia"/>
                <w:color w:val="auto"/>
                <w:szCs w:val="21"/>
              </w:rPr>
              <w:t>》，本次项目占地范围不涉及云南省公益林、国家公益林以及天然林。</w:t>
            </w:r>
          </w:p>
          <w:p w14:paraId="025AF5CE">
            <w:pPr>
              <w:keepNext/>
              <w:ind w:firstLine="480"/>
              <w:rPr>
                <w:color w:val="auto"/>
                <w:szCs w:val="21"/>
              </w:rPr>
            </w:pPr>
            <w:r>
              <w:rPr>
                <w:rFonts w:cs="Times New Roman"/>
                <w:color w:val="auto"/>
              </w:rPr>
              <w:t>本工程与大理州生态环境管控总体要求的相符性分析详见下表</w:t>
            </w:r>
            <w:r>
              <w:rPr>
                <w:color w:val="auto"/>
                <w:szCs w:val="21"/>
              </w:rPr>
              <w:t>。</w:t>
            </w:r>
          </w:p>
          <w:p w14:paraId="769484D9">
            <w:pPr>
              <w:pStyle w:val="63"/>
              <w:rPr>
                <w:color w:val="auto"/>
                <w:szCs w:val="21"/>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1.2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szCs w:val="21"/>
              </w:rPr>
              <w:t>与大理州生态环境管控总体要求的相符性分析</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05"/>
              <w:gridCol w:w="3286"/>
              <w:gridCol w:w="2339"/>
            </w:tblGrid>
            <w:tr w14:paraId="0814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0" w:type="pct"/>
                </w:tcPr>
                <w:p w14:paraId="3AB96EB2">
                  <w:pPr>
                    <w:pStyle w:val="170"/>
                    <w:keepNext/>
                    <w:jc w:val="both"/>
                    <w:rPr>
                      <w:b/>
                      <w:bCs/>
                      <w:color w:val="auto"/>
                      <w:spacing w:val="0"/>
                      <w:kern w:val="0"/>
                      <w:sz w:val="21"/>
                      <w:szCs w:val="21"/>
                    </w:rPr>
                  </w:pPr>
                  <w:r>
                    <w:rPr>
                      <w:b/>
                      <w:bCs/>
                      <w:color w:val="auto"/>
                      <w:spacing w:val="0"/>
                      <w:kern w:val="0"/>
                      <w:sz w:val="21"/>
                      <w:szCs w:val="21"/>
                    </w:rPr>
                    <w:t>管控领域</w:t>
                  </w:r>
                </w:p>
              </w:tc>
              <w:tc>
                <w:tcPr>
                  <w:tcW w:w="2746" w:type="pct"/>
                  <w:gridSpan w:val="2"/>
                  <w:vAlign w:val="center"/>
                </w:tcPr>
                <w:p w14:paraId="76D888CA">
                  <w:pPr>
                    <w:pStyle w:val="170"/>
                    <w:keepNext/>
                    <w:rPr>
                      <w:b/>
                      <w:bCs/>
                      <w:color w:val="auto"/>
                      <w:spacing w:val="0"/>
                      <w:kern w:val="0"/>
                      <w:sz w:val="21"/>
                      <w:szCs w:val="21"/>
                    </w:rPr>
                  </w:pPr>
                  <w:r>
                    <w:rPr>
                      <w:b/>
                      <w:bCs/>
                      <w:color w:val="auto"/>
                      <w:spacing w:val="0"/>
                      <w:kern w:val="0"/>
                      <w:sz w:val="21"/>
                      <w:szCs w:val="21"/>
                    </w:rPr>
                    <w:t>管控要求</w:t>
                  </w:r>
                </w:p>
              </w:tc>
              <w:tc>
                <w:tcPr>
                  <w:tcW w:w="1694" w:type="pct"/>
                  <w:vAlign w:val="center"/>
                </w:tcPr>
                <w:p w14:paraId="6C049D53">
                  <w:pPr>
                    <w:pStyle w:val="170"/>
                    <w:keepNext/>
                    <w:rPr>
                      <w:b/>
                      <w:bCs/>
                      <w:color w:val="auto"/>
                      <w:spacing w:val="0"/>
                      <w:kern w:val="0"/>
                      <w:sz w:val="21"/>
                      <w:szCs w:val="21"/>
                    </w:rPr>
                  </w:pPr>
                  <w:r>
                    <w:rPr>
                      <w:b/>
                      <w:bCs/>
                      <w:color w:val="auto"/>
                      <w:spacing w:val="0"/>
                      <w:kern w:val="0"/>
                      <w:sz w:val="21"/>
                      <w:szCs w:val="21"/>
                    </w:rPr>
                    <w:t>相符性分析</w:t>
                  </w:r>
                </w:p>
              </w:tc>
            </w:tr>
            <w:tr w14:paraId="7F16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restart"/>
                  <w:vAlign w:val="center"/>
                </w:tcPr>
                <w:p w14:paraId="10E89331">
                  <w:pPr>
                    <w:pStyle w:val="170"/>
                    <w:keepNext/>
                    <w:jc w:val="both"/>
                    <w:rPr>
                      <w:color w:val="auto"/>
                      <w:spacing w:val="0"/>
                      <w:kern w:val="0"/>
                      <w:sz w:val="21"/>
                      <w:szCs w:val="21"/>
                    </w:rPr>
                  </w:pPr>
                  <w:r>
                    <w:rPr>
                      <w:color w:val="auto"/>
                      <w:spacing w:val="0"/>
                      <w:kern w:val="0"/>
                      <w:sz w:val="21"/>
                      <w:szCs w:val="21"/>
                    </w:rPr>
                    <w:t>大理州</w:t>
                  </w:r>
                </w:p>
              </w:tc>
              <w:tc>
                <w:tcPr>
                  <w:tcW w:w="366" w:type="pct"/>
                  <w:vMerge w:val="restart"/>
                  <w:vAlign w:val="center"/>
                </w:tcPr>
                <w:p w14:paraId="4563872E">
                  <w:pPr>
                    <w:pStyle w:val="170"/>
                    <w:keepNext/>
                    <w:rPr>
                      <w:color w:val="auto"/>
                      <w:spacing w:val="0"/>
                      <w:kern w:val="0"/>
                      <w:sz w:val="21"/>
                      <w:szCs w:val="21"/>
                    </w:rPr>
                  </w:pPr>
                  <w:r>
                    <w:rPr>
                      <w:color w:val="auto"/>
                      <w:spacing w:val="0"/>
                      <w:kern w:val="0"/>
                      <w:sz w:val="21"/>
                      <w:szCs w:val="21"/>
                    </w:rPr>
                    <w:t>空间布局约束</w:t>
                  </w:r>
                </w:p>
              </w:tc>
              <w:tc>
                <w:tcPr>
                  <w:tcW w:w="2380" w:type="pct"/>
                  <w:vAlign w:val="center"/>
                </w:tcPr>
                <w:p w14:paraId="1645DB63">
                  <w:pPr>
                    <w:pStyle w:val="170"/>
                    <w:keepNext/>
                    <w:jc w:val="both"/>
                    <w:rPr>
                      <w:color w:val="auto"/>
                      <w:spacing w:val="0"/>
                      <w:kern w:val="0"/>
                      <w:sz w:val="21"/>
                      <w:szCs w:val="21"/>
                    </w:rPr>
                  </w:pPr>
                  <w:r>
                    <w:rPr>
                      <w:color w:val="auto"/>
                      <w:spacing w:val="0"/>
                      <w:kern w:val="0"/>
                      <w:sz w:val="21"/>
                      <w:szCs w:val="21"/>
                    </w:rPr>
                    <w:t>1.严格落实国家产业政策、国家产业结构调整指导目录。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p>
              </w:tc>
              <w:tc>
                <w:tcPr>
                  <w:tcW w:w="1694" w:type="pct"/>
                  <w:vAlign w:val="center"/>
                </w:tcPr>
                <w:p w14:paraId="10FE191E">
                  <w:pPr>
                    <w:pStyle w:val="170"/>
                    <w:keepNext/>
                    <w:jc w:val="both"/>
                    <w:rPr>
                      <w:color w:val="auto"/>
                      <w:spacing w:val="0"/>
                      <w:kern w:val="0"/>
                      <w:sz w:val="21"/>
                      <w:szCs w:val="21"/>
                    </w:rPr>
                  </w:pPr>
                  <w:r>
                    <w:rPr>
                      <w:color w:val="auto"/>
                      <w:spacing w:val="0"/>
                      <w:kern w:val="0"/>
                      <w:sz w:val="21"/>
                      <w:szCs w:val="21"/>
                    </w:rPr>
                    <w:t>1.根据国家发展和改革委员会颁布的《产业结构调整指导目录（2024年本）》（中华人民共和国国家发展和改革委员会令，第7号），本项目属于其中的鼓励类第五项“新能源”中的第2条“太阳能热发电集热系统、高效率低成本太阳能光伏发电技术研发与产业化，太阳能中高温利用技术开发与设备制造”。属于鼓励类项目，符合国家产业政策，不属于落后产能。</w:t>
                  </w:r>
                </w:p>
              </w:tc>
            </w:tr>
            <w:tr w14:paraId="6187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1729E39E">
                  <w:pPr>
                    <w:pStyle w:val="170"/>
                    <w:keepNext/>
                    <w:rPr>
                      <w:color w:val="auto"/>
                      <w:spacing w:val="0"/>
                      <w:kern w:val="0"/>
                      <w:sz w:val="21"/>
                      <w:szCs w:val="21"/>
                    </w:rPr>
                  </w:pPr>
                </w:p>
              </w:tc>
              <w:tc>
                <w:tcPr>
                  <w:tcW w:w="366" w:type="pct"/>
                  <w:vMerge w:val="continue"/>
                  <w:vAlign w:val="center"/>
                </w:tcPr>
                <w:p w14:paraId="3D0DCFC8">
                  <w:pPr>
                    <w:pStyle w:val="170"/>
                    <w:keepNext/>
                    <w:rPr>
                      <w:color w:val="auto"/>
                      <w:spacing w:val="0"/>
                      <w:kern w:val="0"/>
                      <w:sz w:val="21"/>
                      <w:szCs w:val="21"/>
                    </w:rPr>
                  </w:pPr>
                </w:p>
              </w:tc>
              <w:tc>
                <w:tcPr>
                  <w:tcW w:w="2380" w:type="pct"/>
                  <w:vAlign w:val="center"/>
                </w:tcPr>
                <w:p w14:paraId="55E90C03">
                  <w:pPr>
                    <w:pStyle w:val="170"/>
                    <w:keepNext/>
                    <w:jc w:val="both"/>
                    <w:rPr>
                      <w:color w:val="auto"/>
                      <w:spacing w:val="0"/>
                      <w:kern w:val="0"/>
                      <w:sz w:val="21"/>
                      <w:szCs w:val="21"/>
                    </w:rPr>
                  </w:pPr>
                  <w:r>
                    <w:rPr>
                      <w:color w:val="auto"/>
                      <w:spacing w:val="0"/>
                      <w:kern w:val="0"/>
                      <w:sz w:val="21"/>
                      <w:szCs w:val="21"/>
                    </w:rPr>
                    <w:t>2.禁止在合规园区外新建、扩建钢铁、石化、化工、焦化、建材、有色、制浆造纸等高污染项目（高污染项目严格按照《环境保护综合名录》“高污染”产品名录执行）。禁止新建、扩建不符合国家石化、现代煤化工等产业规划布局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694" w:type="pct"/>
                  <w:vMerge w:val="restart"/>
                  <w:vAlign w:val="center"/>
                </w:tcPr>
                <w:p w14:paraId="687EBF8E">
                  <w:pPr>
                    <w:pStyle w:val="170"/>
                    <w:jc w:val="both"/>
                    <w:rPr>
                      <w:color w:val="auto"/>
                      <w:spacing w:val="0"/>
                      <w:kern w:val="0"/>
                      <w:sz w:val="21"/>
                      <w:szCs w:val="21"/>
                    </w:rPr>
                  </w:pPr>
                  <w:r>
                    <w:rPr>
                      <w:color w:val="auto"/>
                      <w:spacing w:val="0"/>
                      <w:kern w:val="0"/>
                      <w:sz w:val="21"/>
                      <w:szCs w:val="21"/>
                    </w:rPr>
                    <w:t>2.3.本工程属于电力行业基础设施建设项目，不属于钢铁、石化、化工、焦化、建材、有色、制浆造纸等高污染项目。</w:t>
                  </w:r>
                </w:p>
              </w:tc>
            </w:tr>
            <w:tr w14:paraId="6793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2AA1D0B9">
                  <w:pPr>
                    <w:pStyle w:val="170"/>
                    <w:keepNext/>
                    <w:rPr>
                      <w:color w:val="auto"/>
                      <w:spacing w:val="0"/>
                      <w:kern w:val="0"/>
                      <w:sz w:val="21"/>
                      <w:szCs w:val="21"/>
                    </w:rPr>
                  </w:pPr>
                </w:p>
              </w:tc>
              <w:tc>
                <w:tcPr>
                  <w:tcW w:w="366" w:type="pct"/>
                  <w:vMerge w:val="continue"/>
                  <w:vAlign w:val="center"/>
                </w:tcPr>
                <w:p w14:paraId="1CD1157D">
                  <w:pPr>
                    <w:pStyle w:val="170"/>
                    <w:keepNext/>
                    <w:rPr>
                      <w:color w:val="auto"/>
                      <w:spacing w:val="0"/>
                      <w:kern w:val="0"/>
                      <w:sz w:val="21"/>
                      <w:szCs w:val="21"/>
                    </w:rPr>
                  </w:pPr>
                </w:p>
              </w:tc>
              <w:tc>
                <w:tcPr>
                  <w:tcW w:w="2380" w:type="pct"/>
                  <w:vAlign w:val="center"/>
                </w:tcPr>
                <w:p w14:paraId="1C320C71">
                  <w:pPr>
                    <w:pStyle w:val="170"/>
                    <w:keepNext/>
                    <w:jc w:val="both"/>
                    <w:rPr>
                      <w:color w:val="auto"/>
                      <w:spacing w:val="0"/>
                      <w:kern w:val="0"/>
                      <w:sz w:val="21"/>
                      <w:szCs w:val="21"/>
                    </w:rPr>
                  </w:pPr>
                  <w:r>
                    <w:rPr>
                      <w:color w:val="auto"/>
                      <w:spacing w:val="0"/>
                      <w:kern w:val="0"/>
                      <w:sz w:val="21"/>
                      <w:szCs w:val="21"/>
                    </w:rPr>
                    <w:t>3.坚决遏制高耗能、高排放、低水平项目盲目发展，项目审批严格落实国家和云南省相关政策要求。加大钢铁、水泥熟料、烧结砖瓦等行业落后产能淘汰和过剩产能压减力度，加快落后低效和过剩产能化解淘汰，严禁新增钢铁、焦炭、水泥、平板玻璃等行业产能，实施粗钢产能清理整顿，依法依规推动小屠宰及肉类加工、小磷肥企业退出，推动重污染企业搬迁入园或依法关闭。</w:t>
                  </w:r>
                </w:p>
              </w:tc>
              <w:tc>
                <w:tcPr>
                  <w:tcW w:w="1694" w:type="pct"/>
                  <w:vMerge w:val="continue"/>
                  <w:vAlign w:val="center"/>
                </w:tcPr>
                <w:p w14:paraId="47140F16">
                  <w:pPr>
                    <w:pStyle w:val="170"/>
                    <w:keepNext/>
                    <w:jc w:val="both"/>
                    <w:rPr>
                      <w:color w:val="auto"/>
                      <w:spacing w:val="0"/>
                      <w:kern w:val="0"/>
                      <w:sz w:val="21"/>
                      <w:szCs w:val="21"/>
                    </w:rPr>
                  </w:pPr>
                </w:p>
              </w:tc>
            </w:tr>
            <w:tr w14:paraId="6CA1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23F379B5">
                  <w:pPr>
                    <w:pStyle w:val="170"/>
                    <w:keepNext/>
                    <w:rPr>
                      <w:color w:val="auto"/>
                      <w:spacing w:val="0"/>
                      <w:kern w:val="0"/>
                      <w:sz w:val="21"/>
                      <w:szCs w:val="21"/>
                    </w:rPr>
                  </w:pPr>
                </w:p>
              </w:tc>
              <w:tc>
                <w:tcPr>
                  <w:tcW w:w="366" w:type="pct"/>
                  <w:vMerge w:val="continue"/>
                  <w:vAlign w:val="center"/>
                </w:tcPr>
                <w:p w14:paraId="4E90E90C">
                  <w:pPr>
                    <w:pStyle w:val="170"/>
                    <w:keepNext/>
                    <w:rPr>
                      <w:color w:val="auto"/>
                      <w:spacing w:val="0"/>
                      <w:kern w:val="0"/>
                      <w:sz w:val="21"/>
                      <w:szCs w:val="21"/>
                    </w:rPr>
                  </w:pPr>
                </w:p>
              </w:tc>
              <w:tc>
                <w:tcPr>
                  <w:tcW w:w="2380" w:type="pct"/>
                  <w:vAlign w:val="center"/>
                </w:tcPr>
                <w:p w14:paraId="28495876">
                  <w:pPr>
                    <w:pStyle w:val="170"/>
                    <w:keepNext/>
                    <w:jc w:val="both"/>
                    <w:rPr>
                      <w:color w:val="auto"/>
                      <w:spacing w:val="0"/>
                      <w:kern w:val="0"/>
                      <w:sz w:val="21"/>
                      <w:szCs w:val="21"/>
                    </w:rPr>
                  </w:pPr>
                  <w:r>
                    <w:rPr>
                      <w:color w:val="auto"/>
                      <w:spacing w:val="0"/>
                      <w:kern w:val="0"/>
                      <w:sz w:val="21"/>
                      <w:szCs w:val="21"/>
                    </w:rPr>
                    <w:t>4.禁止在金沙江干流、九大高原湖泊（洱海）保护区、保留区内投资建设不利于水资源及自然生态保护的项目。禁止在金沙江干流建设除党中央、国务院、国家投资主管部门、省级有关部门批复同意以外的过江基础设施项目；禁止未经许可在金沙江干流、九大高原湖泊（洱海）流域新设、改设或扩大排污口。禁止在金沙江干流禁捕水域开展天然渔业资源生产性捕捞。</w:t>
                  </w:r>
                </w:p>
              </w:tc>
              <w:tc>
                <w:tcPr>
                  <w:tcW w:w="1694" w:type="pct"/>
                  <w:vAlign w:val="center"/>
                </w:tcPr>
                <w:p w14:paraId="20D37E50">
                  <w:pPr>
                    <w:pStyle w:val="170"/>
                    <w:keepNext/>
                    <w:jc w:val="both"/>
                    <w:rPr>
                      <w:color w:val="auto"/>
                      <w:spacing w:val="0"/>
                      <w:kern w:val="0"/>
                      <w:sz w:val="21"/>
                      <w:szCs w:val="21"/>
                    </w:rPr>
                  </w:pPr>
                  <w:r>
                    <w:rPr>
                      <w:color w:val="auto"/>
                      <w:spacing w:val="0"/>
                      <w:kern w:val="0"/>
                      <w:sz w:val="21"/>
                      <w:szCs w:val="21"/>
                    </w:rPr>
                    <w:t>4.本工程属于电力行业基础设施建设项目，项目施工期污废水不外排，运营期光伏板清洗废水用于灌溉板下植物，不产生生活污水，因此，本项目建设不会对附近水环境产生影响。</w:t>
                  </w:r>
                </w:p>
              </w:tc>
            </w:tr>
            <w:tr w14:paraId="73CA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0927FF7D">
                  <w:pPr>
                    <w:pStyle w:val="170"/>
                    <w:keepNext/>
                    <w:rPr>
                      <w:color w:val="auto"/>
                      <w:spacing w:val="0"/>
                      <w:kern w:val="0"/>
                      <w:sz w:val="21"/>
                      <w:szCs w:val="21"/>
                    </w:rPr>
                  </w:pPr>
                </w:p>
              </w:tc>
              <w:tc>
                <w:tcPr>
                  <w:tcW w:w="366" w:type="pct"/>
                  <w:vMerge w:val="continue"/>
                  <w:vAlign w:val="center"/>
                </w:tcPr>
                <w:p w14:paraId="5E8120B8">
                  <w:pPr>
                    <w:pStyle w:val="170"/>
                    <w:keepNext/>
                    <w:rPr>
                      <w:color w:val="auto"/>
                      <w:spacing w:val="0"/>
                      <w:kern w:val="0"/>
                      <w:sz w:val="21"/>
                      <w:szCs w:val="21"/>
                    </w:rPr>
                  </w:pPr>
                </w:p>
              </w:tc>
              <w:tc>
                <w:tcPr>
                  <w:tcW w:w="2380" w:type="pct"/>
                  <w:vAlign w:val="center"/>
                </w:tcPr>
                <w:p w14:paraId="1AD12988">
                  <w:pPr>
                    <w:pStyle w:val="170"/>
                    <w:keepNext/>
                    <w:jc w:val="both"/>
                    <w:rPr>
                      <w:color w:val="auto"/>
                      <w:spacing w:val="0"/>
                      <w:kern w:val="0"/>
                      <w:sz w:val="21"/>
                      <w:szCs w:val="21"/>
                    </w:rPr>
                  </w:pPr>
                  <w:r>
                    <w:rPr>
                      <w:color w:val="auto"/>
                      <w:spacing w:val="0"/>
                      <w:kern w:val="0"/>
                      <w:sz w:val="21"/>
                      <w:szCs w:val="21"/>
                    </w:rPr>
                    <w:t>5.禁止在金沙江干流和九大高原湖泊（洱海）岸线一公里范围内新建、扩建化工园区和化工项目。禁止在金沙江干流岸线三公里范围内新建、改建、扩建尾矿库、冶炼渣库和磷石膏库，以提升安全、生态环境保护水平为目的的改建除外。</w:t>
                  </w:r>
                </w:p>
              </w:tc>
              <w:tc>
                <w:tcPr>
                  <w:tcW w:w="1694" w:type="pct"/>
                  <w:vAlign w:val="center"/>
                </w:tcPr>
                <w:p w14:paraId="65331574">
                  <w:pPr>
                    <w:pStyle w:val="170"/>
                    <w:keepNext/>
                    <w:jc w:val="both"/>
                    <w:rPr>
                      <w:color w:val="auto"/>
                      <w:spacing w:val="0"/>
                      <w:kern w:val="0"/>
                      <w:sz w:val="21"/>
                      <w:szCs w:val="21"/>
                    </w:rPr>
                  </w:pPr>
                  <w:r>
                    <w:rPr>
                      <w:color w:val="auto"/>
                      <w:spacing w:val="0"/>
                      <w:kern w:val="0"/>
                      <w:sz w:val="21"/>
                      <w:szCs w:val="21"/>
                    </w:rPr>
                    <w:t>5.本工程属于电力行业基础设施建设项目，不属于新建、改建、扩建尾矿库、冶炼渣库和磷石膏库。</w:t>
                  </w:r>
                </w:p>
              </w:tc>
            </w:tr>
            <w:tr w14:paraId="545F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4C2CD115">
                  <w:pPr>
                    <w:pStyle w:val="170"/>
                    <w:keepNext/>
                    <w:rPr>
                      <w:color w:val="auto"/>
                      <w:spacing w:val="0"/>
                      <w:kern w:val="0"/>
                      <w:sz w:val="21"/>
                      <w:szCs w:val="21"/>
                    </w:rPr>
                  </w:pPr>
                </w:p>
              </w:tc>
              <w:tc>
                <w:tcPr>
                  <w:tcW w:w="366" w:type="pct"/>
                  <w:vMerge w:val="continue"/>
                  <w:vAlign w:val="center"/>
                </w:tcPr>
                <w:p w14:paraId="6E5DF7B4">
                  <w:pPr>
                    <w:pStyle w:val="170"/>
                    <w:keepNext/>
                    <w:rPr>
                      <w:color w:val="auto"/>
                      <w:spacing w:val="0"/>
                      <w:kern w:val="0"/>
                      <w:sz w:val="21"/>
                      <w:szCs w:val="21"/>
                    </w:rPr>
                  </w:pPr>
                </w:p>
              </w:tc>
              <w:tc>
                <w:tcPr>
                  <w:tcW w:w="2380" w:type="pct"/>
                  <w:vAlign w:val="center"/>
                </w:tcPr>
                <w:p w14:paraId="25F4B5DE">
                  <w:pPr>
                    <w:pStyle w:val="170"/>
                    <w:keepNext/>
                    <w:jc w:val="both"/>
                    <w:rPr>
                      <w:color w:val="auto"/>
                      <w:spacing w:val="0"/>
                      <w:kern w:val="0"/>
                      <w:sz w:val="21"/>
                      <w:szCs w:val="21"/>
                    </w:rPr>
                  </w:pPr>
                  <w:r>
                    <w:rPr>
                      <w:color w:val="auto"/>
                      <w:spacing w:val="0"/>
                      <w:kern w:val="0"/>
                      <w:sz w:val="21"/>
                      <w:szCs w:val="21"/>
                    </w:rPr>
                    <w:t>6.加强河湖水域岸线空间管控，严格落实澜沧江相关管控要求，合理安排河湖管理保护控制地带，加强对河湖周边房地产、工矿企业、化工园区等“贴线”开发管控。</w:t>
                  </w:r>
                </w:p>
              </w:tc>
              <w:tc>
                <w:tcPr>
                  <w:tcW w:w="1694" w:type="pct"/>
                  <w:vAlign w:val="center"/>
                </w:tcPr>
                <w:p w14:paraId="37F1DAB1">
                  <w:pPr>
                    <w:pStyle w:val="170"/>
                    <w:keepNext/>
                    <w:jc w:val="both"/>
                    <w:rPr>
                      <w:color w:val="auto"/>
                      <w:spacing w:val="0"/>
                      <w:kern w:val="0"/>
                      <w:sz w:val="21"/>
                      <w:szCs w:val="21"/>
                    </w:rPr>
                  </w:pPr>
                  <w:r>
                    <w:rPr>
                      <w:color w:val="auto"/>
                      <w:spacing w:val="0"/>
                      <w:kern w:val="0"/>
                      <w:sz w:val="21"/>
                      <w:szCs w:val="21"/>
                    </w:rPr>
                    <w:t>6.本项目位于</w:t>
                  </w:r>
                  <w:r>
                    <w:rPr>
                      <w:rFonts w:hint="eastAsia"/>
                      <w:color w:val="auto"/>
                      <w:spacing w:val="0"/>
                      <w:kern w:val="0"/>
                      <w:sz w:val="21"/>
                      <w:szCs w:val="21"/>
                    </w:rPr>
                    <w:t>公郎镇山坡地带</w:t>
                  </w:r>
                  <w:r>
                    <w:rPr>
                      <w:color w:val="auto"/>
                      <w:spacing w:val="0"/>
                      <w:kern w:val="0"/>
                      <w:sz w:val="21"/>
                      <w:szCs w:val="21"/>
                    </w:rPr>
                    <w:t>附近，不属于湖水域岸线范围。</w:t>
                  </w:r>
                </w:p>
              </w:tc>
            </w:tr>
            <w:tr w14:paraId="1AC8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7264D603">
                  <w:pPr>
                    <w:pStyle w:val="170"/>
                    <w:keepNext/>
                    <w:rPr>
                      <w:color w:val="auto"/>
                      <w:spacing w:val="0"/>
                      <w:kern w:val="0"/>
                      <w:sz w:val="21"/>
                      <w:szCs w:val="21"/>
                    </w:rPr>
                  </w:pPr>
                </w:p>
              </w:tc>
              <w:tc>
                <w:tcPr>
                  <w:tcW w:w="366" w:type="pct"/>
                  <w:vMerge w:val="continue"/>
                  <w:vAlign w:val="center"/>
                </w:tcPr>
                <w:p w14:paraId="21733411">
                  <w:pPr>
                    <w:pStyle w:val="170"/>
                    <w:keepNext/>
                    <w:rPr>
                      <w:color w:val="auto"/>
                      <w:spacing w:val="0"/>
                      <w:kern w:val="0"/>
                      <w:sz w:val="21"/>
                      <w:szCs w:val="21"/>
                    </w:rPr>
                  </w:pPr>
                </w:p>
              </w:tc>
              <w:tc>
                <w:tcPr>
                  <w:tcW w:w="2380" w:type="pct"/>
                  <w:vAlign w:val="center"/>
                </w:tcPr>
                <w:p w14:paraId="5BA13722">
                  <w:pPr>
                    <w:pStyle w:val="170"/>
                    <w:keepNext/>
                    <w:jc w:val="both"/>
                    <w:rPr>
                      <w:color w:val="auto"/>
                      <w:spacing w:val="0"/>
                      <w:kern w:val="0"/>
                      <w:sz w:val="21"/>
                      <w:szCs w:val="21"/>
                    </w:rPr>
                  </w:pPr>
                  <w:r>
                    <w:rPr>
                      <w:color w:val="auto"/>
                      <w:spacing w:val="0"/>
                      <w:kern w:val="0"/>
                      <w:sz w:val="21"/>
                      <w:szCs w:val="21"/>
                    </w:rPr>
                    <w:t>7.全面加强洱海流域空间管控，严控洱海流域建设活动。在洱海流域范围内禁止布局高污染、高排放的矿冶建材、重化工等产业，加快流域内砖瓦（新型建材除外）等建材产业的搬迁及非煤矿山生态修复，流域内不再布局水泥、砖瓦（新型建材除外）等生产企业，全面关停洱海流域除地热、矿泉水之外的所有矿山。</w:t>
                  </w:r>
                </w:p>
              </w:tc>
              <w:tc>
                <w:tcPr>
                  <w:tcW w:w="1694" w:type="pct"/>
                  <w:vAlign w:val="center"/>
                </w:tcPr>
                <w:p w14:paraId="52CCEDB7">
                  <w:pPr>
                    <w:pStyle w:val="170"/>
                    <w:keepNext/>
                    <w:jc w:val="both"/>
                    <w:rPr>
                      <w:color w:val="auto"/>
                      <w:spacing w:val="0"/>
                      <w:kern w:val="0"/>
                      <w:sz w:val="21"/>
                      <w:szCs w:val="21"/>
                    </w:rPr>
                  </w:pPr>
                  <w:r>
                    <w:rPr>
                      <w:color w:val="auto"/>
                      <w:spacing w:val="0"/>
                      <w:kern w:val="0"/>
                      <w:sz w:val="21"/>
                      <w:szCs w:val="21"/>
                    </w:rPr>
                    <w:t>7.本工程属于电力行业基础设施建设项目，不属于高污染、高排放的矿冶建材、重化工等产业，项目选址位于</w:t>
                  </w:r>
                  <w:r>
                    <w:rPr>
                      <w:rFonts w:hint="eastAsia"/>
                      <w:color w:val="auto"/>
                      <w:spacing w:val="0"/>
                      <w:kern w:val="0"/>
                      <w:sz w:val="21"/>
                      <w:szCs w:val="21"/>
                    </w:rPr>
                    <w:t>公郎镇山坡地带</w:t>
                  </w:r>
                  <w:r>
                    <w:rPr>
                      <w:color w:val="auto"/>
                      <w:spacing w:val="0"/>
                      <w:kern w:val="0"/>
                      <w:sz w:val="21"/>
                      <w:szCs w:val="21"/>
                    </w:rPr>
                    <w:t>附近，不属于洱海流域。</w:t>
                  </w:r>
                </w:p>
              </w:tc>
            </w:tr>
            <w:tr w14:paraId="669A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1453DA96">
                  <w:pPr>
                    <w:pStyle w:val="170"/>
                    <w:keepNext/>
                    <w:rPr>
                      <w:color w:val="auto"/>
                      <w:spacing w:val="0"/>
                      <w:kern w:val="0"/>
                      <w:sz w:val="21"/>
                      <w:szCs w:val="21"/>
                    </w:rPr>
                  </w:pPr>
                </w:p>
              </w:tc>
              <w:tc>
                <w:tcPr>
                  <w:tcW w:w="366" w:type="pct"/>
                  <w:vMerge w:val="continue"/>
                  <w:vAlign w:val="center"/>
                </w:tcPr>
                <w:p w14:paraId="6FF556F9">
                  <w:pPr>
                    <w:pStyle w:val="170"/>
                    <w:keepNext/>
                    <w:rPr>
                      <w:color w:val="auto"/>
                      <w:spacing w:val="0"/>
                      <w:kern w:val="0"/>
                      <w:sz w:val="21"/>
                      <w:szCs w:val="21"/>
                    </w:rPr>
                  </w:pPr>
                </w:p>
              </w:tc>
              <w:tc>
                <w:tcPr>
                  <w:tcW w:w="2380" w:type="pct"/>
                  <w:vAlign w:val="center"/>
                </w:tcPr>
                <w:p w14:paraId="32168E49">
                  <w:pPr>
                    <w:pStyle w:val="170"/>
                    <w:keepNext/>
                    <w:jc w:val="both"/>
                    <w:rPr>
                      <w:color w:val="auto"/>
                      <w:spacing w:val="0"/>
                      <w:kern w:val="0"/>
                      <w:sz w:val="21"/>
                      <w:szCs w:val="21"/>
                    </w:rPr>
                  </w:pPr>
                  <w:r>
                    <w:rPr>
                      <w:color w:val="auto"/>
                      <w:spacing w:val="0"/>
                      <w:kern w:val="0"/>
                      <w:sz w:val="21"/>
                      <w:szCs w:val="21"/>
                    </w:rPr>
                    <w:t>8.新建旅游景区禁止破坏生态环境，限制在生态脆弱地区布局。根据景区承载能力进行功能分区管理，确定游客容量上限。</w:t>
                  </w:r>
                </w:p>
              </w:tc>
              <w:tc>
                <w:tcPr>
                  <w:tcW w:w="1694" w:type="pct"/>
                  <w:vAlign w:val="center"/>
                </w:tcPr>
                <w:p w14:paraId="265D5BDD">
                  <w:pPr>
                    <w:pStyle w:val="170"/>
                    <w:keepNext/>
                    <w:jc w:val="both"/>
                    <w:rPr>
                      <w:color w:val="auto"/>
                      <w:spacing w:val="0"/>
                      <w:kern w:val="0"/>
                      <w:sz w:val="21"/>
                      <w:szCs w:val="21"/>
                    </w:rPr>
                  </w:pPr>
                  <w:r>
                    <w:rPr>
                      <w:color w:val="auto"/>
                      <w:spacing w:val="0"/>
                      <w:kern w:val="0"/>
                      <w:sz w:val="21"/>
                      <w:szCs w:val="21"/>
                    </w:rPr>
                    <w:t>8.本工程位于大理州</w:t>
                  </w:r>
                  <w:r>
                    <w:rPr>
                      <w:rFonts w:hint="eastAsia"/>
                      <w:color w:val="auto"/>
                      <w:spacing w:val="0"/>
                      <w:kern w:val="0"/>
                      <w:sz w:val="21"/>
                      <w:szCs w:val="21"/>
                    </w:rPr>
                    <w:t>公郎镇山坡地带</w:t>
                  </w:r>
                  <w:r>
                    <w:rPr>
                      <w:color w:val="auto"/>
                      <w:spacing w:val="0"/>
                      <w:kern w:val="0"/>
                      <w:sz w:val="21"/>
                      <w:szCs w:val="21"/>
                    </w:rPr>
                    <w:t>附近的坡地上，不属于旅游景区内新建项目。</w:t>
                  </w:r>
                </w:p>
              </w:tc>
            </w:tr>
            <w:tr w14:paraId="502E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3D6C4FAB">
                  <w:pPr>
                    <w:pStyle w:val="170"/>
                    <w:keepNext/>
                    <w:rPr>
                      <w:color w:val="auto"/>
                      <w:spacing w:val="0"/>
                      <w:kern w:val="0"/>
                      <w:sz w:val="21"/>
                      <w:szCs w:val="21"/>
                    </w:rPr>
                  </w:pPr>
                </w:p>
              </w:tc>
              <w:tc>
                <w:tcPr>
                  <w:tcW w:w="366" w:type="pct"/>
                  <w:vMerge w:val="continue"/>
                  <w:vAlign w:val="center"/>
                </w:tcPr>
                <w:p w14:paraId="7F39313A">
                  <w:pPr>
                    <w:pStyle w:val="170"/>
                    <w:keepNext/>
                    <w:rPr>
                      <w:color w:val="auto"/>
                      <w:spacing w:val="0"/>
                      <w:kern w:val="0"/>
                      <w:sz w:val="21"/>
                      <w:szCs w:val="21"/>
                    </w:rPr>
                  </w:pPr>
                </w:p>
              </w:tc>
              <w:tc>
                <w:tcPr>
                  <w:tcW w:w="2380" w:type="pct"/>
                  <w:vAlign w:val="center"/>
                </w:tcPr>
                <w:p w14:paraId="502283AB">
                  <w:pPr>
                    <w:pStyle w:val="170"/>
                    <w:keepNext/>
                    <w:jc w:val="both"/>
                    <w:rPr>
                      <w:color w:val="auto"/>
                      <w:spacing w:val="0"/>
                      <w:kern w:val="0"/>
                      <w:sz w:val="21"/>
                      <w:szCs w:val="21"/>
                    </w:rPr>
                  </w:pPr>
                  <w:r>
                    <w:rPr>
                      <w:color w:val="auto"/>
                      <w:spacing w:val="0"/>
                      <w:kern w:val="0"/>
                      <w:sz w:val="21"/>
                      <w:szCs w:val="21"/>
                    </w:rPr>
                    <w:t>9.落实云南省碳达峰碳中和相关要求，处理好发展和减排、整体和局部、长远目标和短期目标、政府和市场的关系，坚定不移走生态优先、绿色低碳的高质量发展道路。</w:t>
                  </w:r>
                </w:p>
              </w:tc>
              <w:tc>
                <w:tcPr>
                  <w:tcW w:w="1694" w:type="pct"/>
                  <w:vAlign w:val="center"/>
                </w:tcPr>
                <w:p w14:paraId="57220BDD">
                  <w:pPr>
                    <w:pStyle w:val="170"/>
                    <w:keepNext/>
                    <w:jc w:val="both"/>
                    <w:rPr>
                      <w:color w:val="auto"/>
                      <w:spacing w:val="0"/>
                      <w:kern w:val="0"/>
                      <w:sz w:val="21"/>
                      <w:szCs w:val="21"/>
                    </w:rPr>
                  </w:pPr>
                  <w:r>
                    <w:rPr>
                      <w:color w:val="auto"/>
                      <w:spacing w:val="0"/>
                      <w:kern w:val="0"/>
                      <w:sz w:val="21"/>
                      <w:szCs w:val="21"/>
                    </w:rPr>
                    <w:t>9.本工程属于电力行业基础设施建设项目，符合绿色低碳</w:t>
                  </w:r>
                  <w:r>
                    <w:rPr>
                      <w:rFonts w:hint="eastAsia"/>
                      <w:color w:val="auto"/>
                      <w:spacing w:val="0"/>
                      <w:kern w:val="0"/>
                      <w:sz w:val="21"/>
                      <w:szCs w:val="21"/>
                    </w:rPr>
                    <w:t>的</w:t>
                  </w:r>
                  <w:r>
                    <w:rPr>
                      <w:color w:val="auto"/>
                      <w:spacing w:val="0"/>
                      <w:kern w:val="0"/>
                      <w:sz w:val="21"/>
                      <w:szCs w:val="21"/>
                    </w:rPr>
                    <w:t>要求。</w:t>
                  </w:r>
                </w:p>
              </w:tc>
            </w:tr>
            <w:tr w14:paraId="0239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10EF5B76">
                  <w:pPr>
                    <w:pStyle w:val="170"/>
                    <w:keepNext/>
                    <w:rPr>
                      <w:color w:val="auto"/>
                      <w:spacing w:val="0"/>
                      <w:kern w:val="0"/>
                      <w:sz w:val="21"/>
                      <w:szCs w:val="21"/>
                    </w:rPr>
                  </w:pPr>
                </w:p>
              </w:tc>
              <w:tc>
                <w:tcPr>
                  <w:tcW w:w="366" w:type="pct"/>
                  <w:vMerge w:val="restart"/>
                  <w:vAlign w:val="center"/>
                </w:tcPr>
                <w:p w14:paraId="4994729E">
                  <w:pPr>
                    <w:pStyle w:val="170"/>
                    <w:keepNext/>
                    <w:rPr>
                      <w:color w:val="auto"/>
                      <w:spacing w:val="0"/>
                      <w:kern w:val="0"/>
                      <w:sz w:val="21"/>
                      <w:szCs w:val="21"/>
                    </w:rPr>
                  </w:pPr>
                  <w:r>
                    <w:rPr>
                      <w:color w:val="auto"/>
                      <w:spacing w:val="0"/>
                      <w:kern w:val="0"/>
                      <w:sz w:val="21"/>
                      <w:szCs w:val="21"/>
                    </w:rPr>
                    <w:t>污染物排放管控</w:t>
                  </w:r>
                </w:p>
              </w:tc>
              <w:tc>
                <w:tcPr>
                  <w:tcW w:w="2380" w:type="pct"/>
                  <w:vAlign w:val="center"/>
                </w:tcPr>
                <w:p w14:paraId="5EFDEC71">
                  <w:pPr>
                    <w:pStyle w:val="170"/>
                    <w:keepNext/>
                    <w:jc w:val="both"/>
                    <w:rPr>
                      <w:color w:val="auto"/>
                      <w:spacing w:val="0"/>
                      <w:kern w:val="0"/>
                      <w:sz w:val="21"/>
                      <w:szCs w:val="21"/>
                    </w:rPr>
                  </w:pPr>
                  <w:r>
                    <w:rPr>
                      <w:color w:val="auto"/>
                      <w:spacing w:val="0"/>
                      <w:kern w:val="0"/>
                      <w:sz w:val="21"/>
                      <w:szCs w:val="21"/>
                    </w:rPr>
                    <w:t>1.开展城镇截污治污、农业面源污染治理、入河排污口整治等。全力推动西洱河四级坝断面脱劣治理。以北三江（弥苴河、永安江、罗时江）片区和南部两河（波罗江、白塔河）、漾弓江为重点，完善城镇污水收集处理设施，积极防治农业农村面源污染，完善水环境监管体系；推进剑湖、礼社江-龙树桥等水质波动断面的水环境综合整治，稳固水体达标成效。</w:t>
                  </w:r>
                </w:p>
              </w:tc>
              <w:tc>
                <w:tcPr>
                  <w:tcW w:w="1694" w:type="pct"/>
                  <w:vAlign w:val="center"/>
                </w:tcPr>
                <w:p w14:paraId="4E648B1C">
                  <w:pPr>
                    <w:pStyle w:val="170"/>
                    <w:keepNext/>
                    <w:jc w:val="both"/>
                    <w:rPr>
                      <w:color w:val="auto"/>
                      <w:spacing w:val="0"/>
                      <w:kern w:val="0"/>
                      <w:sz w:val="21"/>
                      <w:szCs w:val="21"/>
                    </w:rPr>
                  </w:pPr>
                  <w:r>
                    <w:rPr>
                      <w:color w:val="auto"/>
                      <w:spacing w:val="0"/>
                      <w:kern w:val="0"/>
                      <w:sz w:val="21"/>
                      <w:szCs w:val="21"/>
                    </w:rPr>
                    <w:t>1.本工程属于电力行业基础设施建设项目，项目施工期污废水不外排，运营期光伏板清洗废水用于灌溉板下植物，不产生生活污水，因此，本项目建设不会对附近水环境产生影响。</w:t>
                  </w:r>
                </w:p>
              </w:tc>
            </w:tr>
            <w:tr w14:paraId="603C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73CD8CD0">
                  <w:pPr>
                    <w:pStyle w:val="170"/>
                    <w:keepNext/>
                    <w:rPr>
                      <w:color w:val="auto"/>
                      <w:spacing w:val="0"/>
                      <w:kern w:val="0"/>
                      <w:sz w:val="21"/>
                      <w:szCs w:val="21"/>
                    </w:rPr>
                  </w:pPr>
                </w:p>
              </w:tc>
              <w:tc>
                <w:tcPr>
                  <w:tcW w:w="366" w:type="pct"/>
                  <w:vMerge w:val="continue"/>
                  <w:vAlign w:val="center"/>
                </w:tcPr>
                <w:p w14:paraId="2F9FF4E3">
                  <w:pPr>
                    <w:pStyle w:val="170"/>
                    <w:keepNext/>
                    <w:rPr>
                      <w:color w:val="auto"/>
                      <w:spacing w:val="0"/>
                      <w:kern w:val="0"/>
                      <w:sz w:val="21"/>
                      <w:szCs w:val="21"/>
                    </w:rPr>
                  </w:pPr>
                </w:p>
              </w:tc>
              <w:tc>
                <w:tcPr>
                  <w:tcW w:w="2380" w:type="pct"/>
                  <w:vAlign w:val="center"/>
                </w:tcPr>
                <w:p w14:paraId="26827378">
                  <w:pPr>
                    <w:pStyle w:val="170"/>
                    <w:keepNext/>
                    <w:jc w:val="both"/>
                    <w:rPr>
                      <w:color w:val="auto"/>
                      <w:spacing w:val="0"/>
                      <w:kern w:val="0"/>
                      <w:sz w:val="21"/>
                      <w:szCs w:val="21"/>
                    </w:rPr>
                  </w:pPr>
                  <w:r>
                    <w:rPr>
                      <w:color w:val="auto"/>
                      <w:spacing w:val="0"/>
                      <w:kern w:val="0"/>
                      <w:sz w:val="21"/>
                      <w:szCs w:val="21"/>
                    </w:rPr>
                    <w:t>2.严格保护城乡集中式饮用水水源地，整治饮用水源保护区内的污染源，确保饮用水安全。到2025年，县级以上集中式饮用水水源水质达到或优于Ⅲ类比例达到100%。</w:t>
                  </w:r>
                </w:p>
              </w:tc>
              <w:tc>
                <w:tcPr>
                  <w:tcW w:w="1694" w:type="pct"/>
                  <w:vAlign w:val="center"/>
                </w:tcPr>
                <w:p w14:paraId="7594959D">
                  <w:pPr>
                    <w:pStyle w:val="170"/>
                    <w:keepNext/>
                    <w:jc w:val="both"/>
                    <w:rPr>
                      <w:color w:val="auto"/>
                      <w:spacing w:val="0"/>
                      <w:kern w:val="0"/>
                      <w:sz w:val="21"/>
                      <w:szCs w:val="21"/>
                    </w:rPr>
                  </w:pPr>
                  <w:r>
                    <w:rPr>
                      <w:color w:val="auto"/>
                      <w:spacing w:val="0"/>
                      <w:kern w:val="0"/>
                      <w:sz w:val="21"/>
                      <w:szCs w:val="21"/>
                    </w:rPr>
                    <w:t>2.根据《</w:t>
                  </w:r>
                  <w:r>
                    <w:rPr>
                      <w:color w:val="auto"/>
                      <w:spacing w:val="0"/>
                      <w:kern w:val="0"/>
                      <w:sz w:val="21"/>
                      <w:szCs w:val="21"/>
                    </w:rPr>
                    <w:fldChar w:fldCharType="begin"/>
                  </w:r>
                  <w:r>
                    <w:rPr>
                      <w:color w:val="auto"/>
                      <w:spacing w:val="0"/>
                      <w:kern w:val="0"/>
                      <w:sz w:val="21"/>
                      <w:szCs w:val="21"/>
                    </w:rPr>
                    <w:instrText xml:space="preserve"> REF _Ref218542484 \h  \* MERGEFORMAT </w:instrText>
                  </w:r>
                  <w:r>
                    <w:rPr>
                      <w:color w:val="auto"/>
                      <w:spacing w:val="0"/>
                      <w:kern w:val="0"/>
                      <w:sz w:val="21"/>
                      <w:szCs w:val="21"/>
                    </w:rPr>
                    <w:fldChar w:fldCharType="separate"/>
                  </w:r>
                  <w:r>
                    <w:rPr>
                      <w:rFonts w:hint="eastAsia"/>
                      <w:color w:val="auto"/>
                      <w:kern w:val="0"/>
                      <w:sz w:val="21"/>
                      <w:szCs w:val="21"/>
                    </w:rPr>
                    <w:t>大理白族自治州生态环境局南涧分局关于沙乐光伏发电项目二次选址的意见</w:t>
                  </w:r>
                  <w:r>
                    <w:rPr>
                      <w:color w:val="auto"/>
                      <w:spacing w:val="0"/>
                      <w:kern w:val="0"/>
                      <w:sz w:val="21"/>
                      <w:szCs w:val="21"/>
                    </w:rPr>
                    <w:fldChar w:fldCharType="end"/>
                  </w:r>
                  <w:r>
                    <w:rPr>
                      <w:color w:val="auto"/>
                      <w:spacing w:val="0"/>
                      <w:kern w:val="0"/>
                      <w:sz w:val="21"/>
                      <w:szCs w:val="21"/>
                    </w:rPr>
                    <w:t>》本次项目范围不涉及</w:t>
                  </w:r>
                  <w:r>
                    <w:rPr>
                      <w:rFonts w:hint="eastAsia"/>
                      <w:color w:val="auto"/>
                      <w:spacing w:val="0"/>
                      <w:kern w:val="0"/>
                      <w:sz w:val="21"/>
                      <w:szCs w:val="21"/>
                    </w:rPr>
                    <w:t>南涧</w:t>
                  </w:r>
                  <w:r>
                    <w:rPr>
                      <w:color w:val="auto"/>
                      <w:spacing w:val="0"/>
                      <w:kern w:val="0"/>
                      <w:sz w:val="21"/>
                      <w:szCs w:val="21"/>
                    </w:rPr>
                    <w:t>县饮用水源保护范围。</w:t>
                  </w:r>
                </w:p>
              </w:tc>
            </w:tr>
            <w:tr w14:paraId="665C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0DCAAF0E">
                  <w:pPr>
                    <w:pStyle w:val="170"/>
                    <w:keepNext/>
                    <w:rPr>
                      <w:color w:val="auto"/>
                      <w:spacing w:val="0"/>
                      <w:kern w:val="0"/>
                      <w:sz w:val="21"/>
                      <w:szCs w:val="21"/>
                    </w:rPr>
                  </w:pPr>
                </w:p>
              </w:tc>
              <w:tc>
                <w:tcPr>
                  <w:tcW w:w="366" w:type="pct"/>
                  <w:vMerge w:val="continue"/>
                  <w:vAlign w:val="center"/>
                </w:tcPr>
                <w:p w14:paraId="33AA5F30">
                  <w:pPr>
                    <w:pStyle w:val="170"/>
                    <w:keepNext/>
                    <w:rPr>
                      <w:color w:val="auto"/>
                      <w:spacing w:val="0"/>
                      <w:kern w:val="0"/>
                      <w:sz w:val="21"/>
                      <w:szCs w:val="21"/>
                    </w:rPr>
                  </w:pPr>
                </w:p>
              </w:tc>
              <w:tc>
                <w:tcPr>
                  <w:tcW w:w="2380" w:type="pct"/>
                  <w:vAlign w:val="center"/>
                </w:tcPr>
                <w:p w14:paraId="2A1289A2">
                  <w:pPr>
                    <w:pStyle w:val="170"/>
                    <w:keepNext/>
                    <w:jc w:val="both"/>
                    <w:rPr>
                      <w:color w:val="auto"/>
                      <w:spacing w:val="0"/>
                      <w:kern w:val="0"/>
                      <w:sz w:val="21"/>
                      <w:szCs w:val="21"/>
                    </w:rPr>
                  </w:pPr>
                  <w:r>
                    <w:rPr>
                      <w:color w:val="auto"/>
                      <w:spacing w:val="0"/>
                      <w:kern w:val="0"/>
                      <w:sz w:val="21"/>
                      <w:szCs w:val="21"/>
                    </w:rPr>
                    <w:t>3.推动PM和臭氧协同控制，加大氮氧化物、挥发性有机物（VOCs）和温室气体协同减排力度。推进钢铁、有色、化工、建材等行业节能低碳改造。以石化、化工、工业涂装、包装印刷、油品储运销、汽车维修（维护）等领域为重点，安全高效推进挥发性有机物综合治理，实施原辅材料和产品源头替代。明确重点行业二氧化碳排放达峰目标，开展重大项目二氧化碳排放评价，控制工业、交通、建筑等行业温室气体排放。</w:t>
                  </w:r>
                </w:p>
              </w:tc>
              <w:tc>
                <w:tcPr>
                  <w:tcW w:w="1694" w:type="pct"/>
                  <w:vAlign w:val="center"/>
                </w:tcPr>
                <w:p w14:paraId="2436D37C">
                  <w:pPr>
                    <w:pStyle w:val="170"/>
                    <w:keepNext/>
                    <w:jc w:val="both"/>
                    <w:rPr>
                      <w:color w:val="auto"/>
                      <w:spacing w:val="0"/>
                      <w:kern w:val="0"/>
                      <w:sz w:val="21"/>
                      <w:szCs w:val="21"/>
                    </w:rPr>
                  </w:pPr>
                  <w:r>
                    <w:rPr>
                      <w:color w:val="auto"/>
                      <w:spacing w:val="0"/>
                      <w:kern w:val="0"/>
                      <w:sz w:val="21"/>
                      <w:szCs w:val="21"/>
                    </w:rPr>
                    <w:t>3.本工程属于电力行业基础设施建设项目，不产生PM2.5、臭氧、VOCs等有害气体。</w:t>
                  </w:r>
                </w:p>
              </w:tc>
            </w:tr>
            <w:tr w14:paraId="4A58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73BB0E6A">
                  <w:pPr>
                    <w:pStyle w:val="170"/>
                    <w:keepNext/>
                    <w:rPr>
                      <w:color w:val="auto"/>
                      <w:spacing w:val="0"/>
                      <w:kern w:val="0"/>
                      <w:sz w:val="21"/>
                      <w:szCs w:val="21"/>
                    </w:rPr>
                  </w:pPr>
                </w:p>
              </w:tc>
              <w:tc>
                <w:tcPr>
                  <w:tcW w:w="366" w:type="pct"/>
                  <w:vMerge w:val="continue"/>
                  <w:vAlign w:val="center"/>
                </w:tcPr>
                <w:p w14:paraId="6A24DEC8">
                  <w:pPr>
                    <w:pStyle w:val="170"/>
                    <w:keepNext/>
                    <w:rPr>
                      <w:color w:val="auto"/>
                      <w:spacing w:val="0"/>
                      <w:kern w:val="0"/>
                      <w:sz w:val="21"/>
                      <w:szCs w:val="21"/>
                    </w:rPr>
                  </w:pPr>
                </w:p>
              </w:tc>
              <w:tc>
                <w:tcPr>
                  <w:tcW w:w="2380" w:type="pct"/>
                  <w:vAlign w:val="center"/>
                </w:tcPr>
                <w:p w14:paraId="23839C9D">
                  <w:pPr>
                    <w:pStyle w:val="170"/>
                    <w:keepNext/>
                    <w:jc w:val="both"/>
                    <w:rPr>
                      <w:color w:val="auto"/>
                      <w:spacing w:val="0"/>
                      <w:kern w:val="0"/>
                      <w:sz w:val="21"/>
                      <w:szCs w:val="21"/>
                    </w:rPr>
                  </w:pPr>
                  <w:r>
                    <w:rPr>
                      <w:color w:val="auto"/>
                      <w:spacing w:val="0"/>
                      <w:kern w:val="0"/>
                      <w:sz w:val="21"/>
                      <w:szCs w:val="21"/>
                    </w:rPr>
                    <w:t>4.以祥云、鹤庆、云龙、剑川等为重金属污染重点治理区，以大理市经济技术开发区、鹤庆兴鹤产业园区、祥云财富产业园区等为土壤污染重点企业集聚区，建立完善全州土壤环境重点监管企业名单，并纳入重点污染源进行监管，实行名单动态更新。建立土壤污染隐患排查制度，保证持续有效防止有毒有害物质渗漏、流失、扬散，防范土壤污染。受污染耕地安全利用率完成省级下达目标，重点建设用地安全利用率有效保障。</w:t>
                  </w:r>
                </w:p>
              </w:tc>
              <w:tc>
                <w:tcPr>
                  <w:tcW w:w="1694" w:type="pct"/>
                  <w:vAlign w:val="center"/>
                </w:tcPr>
                <w:p w14:paraId="0B1BF37A">
                  <w:pPr>
                    <w:pStyle w:val="170"/>
                    <w:keepNext/>
                    <w:jc w:val="both"/>
                    <w:rPr>
                      <w:color w:val="auto"/>
                      <w:spacing w:val="0"/>
                      <w:kern w:val="0"/>
                      <w:sz w:val="21"/>
                      <w:szCs w:val="21"/>
                    </w:rPr>
                  </w:pPr>
                  <w:r>
                    <w:rPr>
                      <w:color w:val="auto"/>
                      <w:spacing w:val="0"/>
                      <w:kern w:val="0"/>
                      <w:sz w:val="21"/>
                      <w:szCs w:val="21"/>
                    </w:rPr>
                    <w:t>4.本工程属于电力行业基础设施建设项目，不涉及土壤特征污染物，不会造成土壤污染。</w:t>
                  </w:r>
                </w:p>
              </w:tc>
            </w:tr>
            <w:tr w14:paraId="3FE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383DCFD1">
                  <w:pPr>
                    <w:pStyle w:val="170"/>
                    <w:keepNext/>
                    <w:rPr>
                      <w:color w:val="auto"/>
                      <w:spacing w:val="0"/>
                      <w:kern w:val="0"/>
                      <w:sz w:val="21"/>
                      <w:szCs w:val="21"/>
                    </w:rPr>
                  </w:pPr>
                </w:p>
              </w:tc>
              <w:tc>
                <w:tcPr>
                  <w:tcW w:w="366" w:type="pct"/>
                  <w:vMerge w:val="continue"/>
                  <w:vAlign w:val="center"/>
                </w:tcPr>
                <w:p w14:paraId="365A473D">
                  <w:pPr>
                    <w:pStyle w:val="170"/>
                    <w:keepNext/>
                    <w:rPr>
                      <w:color w:val="auto"/>
                      <w:spacing w:val="0"/>
                      <w:kern w:val="0"/>
                      <w:sz w:val="21"/>
                      <w:szCs w:val="21"/>
                    </w:rPr>
                  </w:pPr>
                </w:p>
              </w:tc>
              <w:tc>
                <w:tcPr>
                  <w:tcW w:w="2380" w:type="pct"/>
                  <w:vAlign w:val="center"/>
                </w:tcPr>
                <w:p w14:paraId="406BBF7C">
                  <w:pPr>
                    <w:pStyle w:val="170"/>
                    <w:keepNext/>
                    <w:jc w:val="both"/>
                    <w:rPr>
                      <w:color w:val="auto"/>
                      <w:spacing w:val="0"/>
                      <w:kern w:val="0"/>
                      <w:sz w:val="21"/>
                      <w:szCs w:val="21"/>
                    </w:rPr>
                  </w:pPr>
                  <w:r>
                    <w:rPr>
                      <w:color w:val="auto"/>
                      <w:spacing w:val="0"/>
                      <w:kern w:val="0"/>
                      <w:sz w:val="21"/>
                      <w:szCs w:val="21"/>
                    </w:rPr>
                    <w:t>5.加强固体废物污染防治，建立固体废物部门联动监管长效机制，提高固体废物规范化管理水平，遏制固体废物特别是危险废物非法转移、倾倒、处置。</w:t>
                  </w:r>
                </w:p>
              </w:tc>
              <w:tc>
                <w:tcPr>
                  <w:tcW w:w="1694" w:type="pct"/>
                  <w:vAlign w:val="center"/>
                </w:tcPr>
                <w:p w14:paraId="009DC71A">
                  <w:pPr>
                    <w:pStyle w:val="170"/>
                    <w:keepNext/>
                    <w:jc w:val="both"/>
                    <w:rPr>
                      <w:color w:val="auto"/>
                      <w:spacing w:val="0"/>
                      <w:kern w:val="0"/>
                      <w:sz w:val="21"/>
                      <w:szCs w:val="21"/>
                    </w:rPr>
                  </w:pPr>
                  <w:r>
                    <w:rPr>
                      <w:color w:val="auto"/>
                      <w:spacing w:val="0"/>
                      <w:kern w:val="0"/>
                      <w:sz w:val="21"/>
                      <w:szCs w:val="21"/>
                    </w:rPr>
                    <w:t>5.本工程属于电力行业基础设施建设项目，不涉及危险废物非法转移、倾倒、处置。</w:t>
                  </w:r>
                </w:p>
              </w:tc>
            </w:tr>
            <w:tr w14:paraId="21A3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55745ED9">
                  <w:pPr>
                    <w:pStyle w:val="170"/>
                    <w:keepNext/>
                    <w:rPr>
                      <w:color w:val="auto"/>
                      <w:spacing w:val="0"/>
                      <w:kern w:val="0"/>
                      <w:sz w:val="21"/>
                      <w:szCs w:val="21"/>
                    </w:rPr>
                  </w:pPr>
                </w:p>
              </w:tc>
              <w:tc>
                <w:tcPr>
                  <w:tcW w:w="366" w:type="pct"/>
                  <w:vMerge w:val="continue"/>
                  <w:vAlign w:val="center"/>
                </w:tcPr>
                <w:p w14:paraId="6C679B4C">
                  <w:pPr>
                    <w:pStyle w:val="170"/>
                    <w:keepNext/>
                    <w:rPr>
                      <w:color w:val="auto"/>
                      <w:spacing w:val="0"/>
                      <w:kern w:val="0"/>
                      <w:sz w:val="21"/>
                      <w:szCs w:val="21"/>
                    </w:rPr>
                  </w:pPr>
                </w:p>
              </w:tc>
              <w:tc>
                <w:tcPr>
                  <w:tcW w:w="2380" w:type="pct"/>
                  <w:vAlign w:val="center"/>
                </w:tcPr>
                <w:p w14:paraId="5DBDA519">
                  <w:pPr>
                    <w:pStyle w:val="170"/>
                    <w:keepNext/>
                    <w:jc w:val="both"/>
                    <w:rPr>
                      <w:color w:val="auto"/>
                      <w:spacing w:val="0"/>
                      <w:kern w:val="0"/>
                      <w:sz w:val="21"/>
                      <w:szCs w:val="21"/>
                    </w:rPr>
                  </w:pPr>
                  <w:r>
                    <w:rPr>
                      <w:color w:val="auto"/>
                      <w:spacing w:val="0"/>
                      <w:kern w:val="0"/>
                      <w:sz w:val="21"/>
                      <w:szCs w:val="21"/>
                    </w:rPr>
                    <w:t>6.2025年大理州地表水国控断面达到或好于Ⅲ类水体比例应达到94.4%，地表水国控断面劣V类水体比例应为0，洱海湖心断面（洱海湖心、洱海北部湖心及小关邑）水质达到Ⅱ类。</w:t>
                  </w:r>
                </w:p>
              </w:tc>
              <w:tc>
                <w:tcPr>
                  <w:tcW w:w="1694" w:type="pct"/>
                  <w:vMerge w:val="restart"/>
                  <w:vAlign w:val="center"/>
                </w:tcPr>
                <w:p w14:paraId="4F739EE6">
                  <w:pPr>
                    <w:pStyle w:val="170"/>
                    <w:keepNext/>
                    <w:jc w:val="both"/>
                    <w:rPr>
                      <w:color w:val="auto"/>
                      <w:spacing w:val="0"/>
                      <w:kern w:val="0"/>
                      <w:sz w:val="21"/>
                      <w:szCs w:val="21"/>
                    </w:rPr>
                  </w:pPr>
                  <w:r>
                    <w:rPr>
                      <w:color w:val="auto"/>
                      <w:spacing w:val="0"/>
                      <w:kern w:val="0"/>
                      <w:sz w:val="21"/>
                      <w:szCs w:val="21"/>
                    </w:rPr>
                    <w:t>6.</w:t>
                  </w:r>
                  <w:r>
                    <w:rPr>
                      <w:color w:val="auto"/>
                      <w:kern w:val="0"/>
                      <w:sz w:val="21"/>
                      <w:szCs w:val="21"/>
                    </w:rPr>
                    <w:t>7.8.9.10</w:t>
                  </w:r>
                  <w:r>
                    <w:rPr>
                      <w:color w:val="auto"/>
                      <w:spacing w:val="0"/>
                      <w:kern w:val="0"/>
                      <w:sz w:val="21"/>
                      <w:szCs w:val="21"/>
                    </w:rPr>
                    <w:t>本工程属于电力行业基础设施建设项目，不产生PM2.5、臭氧、VOCs等有害气体，项目施工期污废水不外排，运营期光伏板清洗废水用于灌溉板下植物，不产生生活污水，因此，本项目建设不会对附近水环境产生影响。</w:t>
                  </w:r>
                </w:p>
              </w:tc>
            </w:tr>
            <w:tr w14:paraId="2479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2476E48F">
                  <w:pPr>
                    <w:pStyle w:val="170"/>
                    <w:keepNext/>
                    <w:rPr>
                      <w:color w:val="auto"/>
                      <w:spacing w:val="0"/>
                      <w:kern w:val="0"/>
                      <w:sz w:val="21"/>
                      <w:szCs w:val="21"/>
                    </w:rPr>
                  </w:pPr>
                </w:p>
              </w:tc>
              <w:tc>
                <w:tcPr>
                  <w:tcW w:w="366" w:type="pct"/>
                  <w:vMerge w:val="continue"/>
                  <w:vAlign w:val="center"/>
                </w:tcPr>
                <w:p w14:paraId="002B05FD">
                  <w:pPr>
                    <w:pStyle w:val="170"/>
                    <w:keepNext/>
                    <w:rPr>
                      <w:color w:val="auto"/>
                      <w:spacing w:val="0"/>
                      <w:kern w:val="0"/>
                      <w:sz w:val="21"/>
                      <w:szCs w:val="21"/>
                    </w:rPr>
                  </w:pPr>
                </w:p>
              </w:tc>
              <w:tc>
                <w:tcPr>
                  <w:tcW w:w="2380" w:type="pct"/>
                  <w:vAlign w:val="center"/>
                </w:tcPr>
                <w:p w14:paraId="0D916BB1">
                  <w:pPr>
                    <w:pStyle w:val="170"/>
                    <w:keepNext/>
                    <w:jc w:val="both"/>
                    <w:rPr>
                      <w:color w:val="auto"/>
                      <w:spacing w:val="0"/>
                      <w:kern w:val="0"/>
                      <w:sz w:val="21"/>
                      <w:szCs w:val="21"/>
                    </w:rPr>
                  </w:pPr>
                  <w:r>
                    <w:rPr>
                      <w:color w:val="auto"/>
                      <w:spacing w:val="0"/>
                      <w:kern w:val="0"/>
                      <w:sz w:val="21"/>
                      <w:szCs w:val="21"/>
                    </w:rPr>
                    <w:t>7.加大环境污染物减排力度，到2025年，化学需氧量、氨氮、氮氧化物、挥发性有机物排放总量等主要污染物重点工程减排量为5142吨、206吨、1010吨、445吨。</w:t>
                  </w:r>
                </w:p>
              </w:tc>
              <w:tc>
                <w:tcPr>
                  <w:tcW w:w="1694" w:type="pct"/>
                  <w:vMerge w:val="continue"/>
                  <w:vAlign w:val="center"/>
                </w:tcPr>
                <w:p w14:paraId="1EDD224C">
                  <w:pPr>
                    <w:pStyle w:val="170"/>
                    <w:keepNext/>
                    <w:jc w:val="both"/>
                    <w:rPr>
                      <w:color w:val="auto"/>
                      <w:spacing w:val="0"/>
                      <w:kern w:val="0"/>
                      <w:sz w:val="21"/>
                      <w:szCs w:val="21"/>
                    </w:rPr>
                  </w:pPr>
                </w:p>
              </w:tc>
            </w:tr>
            <w:tr w14:paraId="127B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6346A374">
                  <w:pPr>
                    <w:pStyle w:val="170"/>
                    <w:keepNext/>
                    <w:rPr>
                      <w:color w:val="auto"/>
                      <w:spacing w:val="0"/>
                      <w:kern w:val="0"/>
                      <w:sz w:val="21"/>
                      <w:szCs w:val="21"/>
                    </w:rPr>
                  </w:pPr>
                </w:p>
              </w:tc>
              <w:tc>
                <w:tcPr>
                  <w:tcW w:w="366" w:type="pct"/>
                  <w:vMerge w:val="continue"/>
                  <w:vAlign w:val="center"/>
                </w:tcPr>
                <w:p w14:paraId="27F981BE">
                  <w:pPr>
                    <w:pStyle w:val="170"/>
                    <w:keepNext/>
                    <w:rPr>
                      <w:color w:val="auto"/>
                      <w:spacing w:val="0"/>
                      <w:kern w:val="0"/>
                      <w:sz w:val="21"/>
                      <w:szCs w:val="21"/>
                    </w:rPr>
                  </w:pPr>
                </w:p>
              </w:tc>
              <w:tc>
                <w:tcPr>
                  <w:tcW w:w="2380" w:type="pct"/>
                  <w:vAlign w:val="center"/>
                </w:tcPr>
                <w:p w14:paraId="29F31F61">
                  <w:pPr>
                    <w:pStyle w:val="170"/>
                    <w:keepNext/>
                    <w:jc w:val="both"/>
                    <w:rPr>
                      <w:color w:val="auto"/>
                      <w:spacing w:val="0"/>
                      <w:kern w:val="0"/>
                      <w:sz w:val="21"/>
                      <w:szCs w:val="21"/>
                    </w:rPr>
                  </w:pPr>
                  <w:r>
                    <w:rPr>
                      <w:color w:val="auto"/>
                      <w:spacing w:val="0"/>
                      <w:kern w:val="0"/>
                      <w:sz w:val="21"/>
                      <w:szCs w:val="21"/>
                    </w:rPr>
                    <w:t>8.加强重金属污染防治，严格环境准入管理。到2025年，重点行业重点重金属污染物排放量比2020年下降10%。</w:t>
                  </w:r>
                </w:p>
              </w:tc>
              <w:tc>
                <w:tcPr>
                  <w:tcW w:w="1694" w:type="pct"/>
                  <w:vMerge w:val="continue"/>
                  <w:vAlign w:val="center"/>
                </w:tcPr>
                <w:p w14:paraId="6F079F68">
                  <w:pPr>
                    <w:pStyle w:val="170"/>
                    <w:keepNext/>
                    <w:jc w:val="both"/>
                    <w:rPr>
                      <w:color w:val="auto"/>
                      <w:spacing w:val="0"/>
                      <w:kern w:val="0"/>
                      <w:sz w:val="21"/>
                      <w:szCs w:val="21"/>
                    </w:rPr>
                  </w:pPr>
                </w:p>
              </w:tc>
            </w:tr>
            <w:tr w14:paraId="2F50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1EE3E663">
                  <w:pPr>
                    <w:pStyle w:val="170"/>
                    <w:keepNext/>
                    <w:rPr>
                      <w:color w:val="auto"/>
                      <w:spacing w:val="0"/>
                      <w:kern w:val="0"/>
                      <w:sz w:val="21"/>
                      <w:szCs w:val="21"/>
                    </w:rPr>
                  </w:pPr>
                </w:p>
              </w:tc>
              <w:tc>
                <w:tcPr>
                  <w:tcW w:w="366" w:type="pct"/>
                  <w:vMerge w:val="continue"/>
                  <w:vAlign w:val="center"/>
                </w:tcPr>
                <w:p w14:paraId="280A17D1">
                  <w:pPr>
                    <w:pStyle w:val="170"/>
                    <w:keepNext/>
                    <w:rPr>
                      <w:color w:val="auto"/>
                      <w:spacing w:val="0"/>
                      <w:kern w:val="0"/>
                      <w:sz w:val="21"/>
                      <w:szCs w:val="21"/>
                    </w:rPr>
                  </w:pPr>
                </w:p>
              </w:tc>
              <w:tc>
                <w:tcPr>
                  <w:tcW w:w="2380" w:type="pct"/>
                  <w:vAlign w:val="center"/>
                </w:tcPr>
                <w:p w14:paraId="26407B14">
                  <w:pPr>
                    <w:pStyle w:val="170"/>
                    <w:keepNext/>
                    <w:jc w:val="both"/>
                    <w:rPr>
                      <w:color w:val="auto"/>
                      <w:spacing w:val="0"/>
                      <w:kern w:val="0"/>
                      <w:sz w:val="21"/>
                      <w:szCs w:val="21"/>
                    </w:rPr>
                  </w:pPr>
                  <w:r>
                    <w:rPr>
                      <w:color w:val="auto"/>
                      <w:spacing w:val="0"/>
                      <w:kern w:val="0"/>
                      <w:sz w:val="21"/>
                      <w:szCs w:val="21"/>
                    </w:rPr>
                    <w:t>9.到2025年，大理州州府所在地大理市PM2.5监测值不得超过15μg/m³，城市空气质量优良天数比例不得低于99.7%，无重污染天数。</w:t>
                  </w:r>
                </w:p>
              </w:tc>
              <w:tc>
                <w:tcPr>
                  <w:tcW w:w="1694" w:type="pct"/>
                  <w:vMerge w:val="continue"/>
                  <w:vAlign w:val="center"/>
                </w:tcPr>
                <w:p w14:paraId="12BE730E">
                  <w:pPr>
                    <w:pStyle w:val="170"/>
                    <w:keepNext/>
                    <w:jc w:val="both"/>
                    <w:rPr>
                      <w:color w:val="auto"/>
                      <w:spacing w:val="0"/>
                      <w:kern w:val="0"/>
                      <w:sz w:val="21"/>
                      <w:szCs w:val="21"/>
                    </w:rPr>
                  </w:pPr>
                </w:p>
              </w:tc>
            </w:tr>
            <w:tr w14:paraId="6F44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3FC41DCC">
                  <w:pPr>
                    <w:pStyle w:val="170"/>
                    <w:keepNext/>
                    <w:rPr>
                      <w:color w:val="auto"/>
                      <w:spacing w:val="0"/>
                      <w:kern w:val="0"/>
                      <w:sz w:val="21"/>
                      <w:szCs w:val="21"/>
                    </w:rPr>
                  </w:pPr>
                </w:p>
              </w:tc>
              <w:tc>
                <w:tcPr>
                  <w:tcW w:w="366" w:type="pct"/>
                  <w:vMerge w:val="continue"/>
                  <w:vAlign w:val="center"/>
                </w:tcPr>
                <w:p w14:paraId="61B7F326">
                  <w:pPr>
                    <w:pStyle w:val="170"/>
                    <w:keepNext/>
                    <w:rPr>
                      <w:color w:val="auto"/>
                      <w:spacing w:val="0"/>
                      <w:kern w:val="0"/>
                      <w:sz w:val="21"/>
                      <w:szCs w:val="21"/>
                    </w:rPr>
                  </w:pPr>
                </w:p>
              </w:tc>
              <w:tc>
                <w:tcPr>
                  <w:tcW w:w="2380" w:type="pct"/>
                  <w:vAlign w:val="center"/>
                </w:tcPr>
                <w:p w14:paraId="68F7E30D">
                  <w:pPr>
                    <w:pStyle w:val="170"/>
                    <w:keepNext/>
                    <w:jc w:val="both"/>
                    <w:rPr>
                      <w:color w:val="auto"/>
                      <w:spacing w:val="0"/>
                      <w:kern w:val="0"/>
                      <w:sz w:val="21"/>
                      <w:szCs w:val="21"/>
                    </w:rPr>
                  </w:pPr>
                  <w:r>
                    <w:rPr>
                      <w:color w:val="auto"/>
                      <w:spacing w:val="0"/>
                      <w:kern w:val="0"/>
                      <w:sz w:val="21"/>
                      <w:szCs w:val="21"/>
                    </w:rPr>
                    <w:t>10.到2025年，全州农村生活污水治理率达52.20%，生活垃圾处理设施覆盖率达到80%以上，城市生活垃圾资源化利用率达到60%左右，焚烧处理能力占无害化处理能力比重达到65%左右，城市污泥无害化处置率达到90%以上。农村卫生户厕覆盖率达到70％以上，农膜回收率达到85%以上，农作物秸秆综合利用率稳定在86%以上。</w:t>
                  </w:r>
                </w:p>
              </w:tc>
              <w:tc>
                <w:tcPr>
                  <w:tcW w:w="1694" w:type="pct"/>
                  <w:vMerge w:val="continue"/>
                  <w:vAlign w:val="center"/>
                </w:tcPr>
                <w:p w14:paraId="08CE594B">
                  <w:pPr>
                    <w:pStyle w:val="170"/>
                    <w:keepNext/>
                    <w:jc w:val="both"/>
                    <w:rPr>
                      <w:color w:val="auto"/>
                      <w:spacing w:val="0"/>
                      <w:kern w:val="0"/>
                      <w:sz w:val="21"/>
                      <w:szCs w:val="21"/>
                    </w:rPr>
                  </w:pPr>
                </w:p>
              </w:tc>
            </w:tr>
            <w:tr w14:paraId="697A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2BDCDD3B">
                  <w:pPr>
                    <w:pStyle w:val="170"/>
                    <w:keepNext/>
                    <w:rPr>
                      <w:color w:val="auto"/>
                      <w:spacing w:val="0"/>
                      <w:kern w:val="0"/>
                      <w:sz w:val="21"/>
                      <w:szCs w:val="21"/>
                    </w:rPr>
                  </w:pPr>
                </w:p>
              </w:tc>
              <w:tc>
                <w:tcPr>
                  <w:tcW w:w="366" w:type="pct"/>
                  <w:vMerge w:val="restart"/>
                  <w:vAlign w:val="center"/>
                </w:tcPr>
                <w:p w14:paraId="531FE84A">
                  <w:pPr>
                    <w:pStyle w:val="170"/>
                    <w:keepNext/>
                    <w:rPr>
                      <w:color w:val="auto"/>
                      <w:spacing w:val="0"/>
                      <w:kern w:val="0"/>
                      <w:sz w:val="21"/>
                      <w:szCs w:val="21"/>
                    </w:rPr>
                  </w:pPr>
                  <w:r>
                    <w:rPr>
                      <w:color w:val="auto"/>
                      <w:spacing w:val="0"/>
                      <w:kern w:val="0"/>
                      <w:sz w:val="21"/>
                      <w:szCs w:val="21"/>
                    </w:rPr>
                    <w:t>环境风险防控</w:t>
                  </w:r>
                </w:p>
              </w:tc>
              <w:tc>
                <w:tcPr>
                  <w:tcW w:w="2380" w:type="pct"/>
                  <w:vAlign w:val="center"/>
                </w:tcPr>
                <w:p w14:paraId="0A1F4025">
                  <w:pPr>
                    <w:pStyle w:val="170"/>
                    <w:keepNext/>
                    <w:jc w:val="both"/>
                    <w:rPr>
                      <w:color w:val="auto"/>
                      <w:spacing w:val="0"/>
                      <w:kern w:val="0"/>
                      <w:sz w:val="21"/>
                      <w:szCs w:val="21"/>
                    </w:rPr>
                  </w:pPr>
                  <w:r>
                    <w:rPr>
                      <w:color w:val="auto"/>
                      <w:spacing w:val="0"/>
                      <w:kern w:val="0"/>
                      <w:sz w:val="21"/>
                      <w:szCs w:val="21"/>
                    </w:rPr>
                    <w:t>1.加强环境风险防控和应急管理，完善突发环境事件应急预案，强化落实政府主导、部门协调、分级负责、属地为主、全社会参与的环境风险管控机制，定期开展环境风险隐患排查与整治，提升风险防控和突发环境事件应急处理处置能力。</w:t>
                  </w:r>
                </w:p>
              </w:tc>
              <w:tc>
                <w:tcPr>
                  <w:tcW w:w="1694" w:type="pct"/>
                  <w:vAlign w:val="center"/>
                </w:tcPr>
                <w:p w14:paraId="6BEC7613">
                  <w:pPr>
                    <w:pStyle w:val="170"/>
                    <w:keepNext/>
                    <w:jc w:val="both"/>
                    <w:rPr>
                      <w:color w:val="auto"/>
                      <w:spacing w:val="0"/>
                      <w:kern w:val="0"/>
                      <w:sz w:val="21"/>
                      <w:szCs w:val="21"/>
                    </w:rPr>
                  </w:pPr>
                  <w:r>
                    <w:rPr>
                      <w:color w:val="auto"/>
                      <w:spacing w:val="0"/>
                      <w:kern w:val="0"/>
                      <w:sz w:val="21"/>
                      <w:szCs w:val="21"/>
                    </w:rPr>
                    <w:t>1.</w:t>
                  </w:r>
                  <w:r>
                    <w:rPr>
                      <w:rFonts w:hint="eastAsia"/>
                      <w:color w:val="auto"/>
                      <w:spacing w:val="0"/>
                      <w:kern w:val="0"/>
                      <w:sz w:val="21"/>
                      <w:szCs w:val="21"/>
                    </w:rPr>
                    <w:t>本项目建设后，设置了事故油池，</w:t>
                  </w:r>
                  <w:r>
                    <w:rPr>
                      <w:color w:val="auto"/>
                      <w:spacing w:val="0"/>
                      <w:kern w:val="0"/>
                      <w:sz w:val="21"/>
                      <w:szCs w:val="21"/>
                    </w:rPr>
                    <w:t>事故油池底部和四周设置防渗措施（等效黏土防渗层Mb≥6.0m，K≤1.0×10</w:t>
                  </w:r>
                  <w:r>
                    <w:rPr>
                      <w:color w:val="auto"/>
                      <w:spacing w:val="0"/>
                      <w:kern w:val="0"/>
                      <w:sz w:val="21"/>
                      <w:szCs w:val="21"/>
                      <w:vertAlign w:val="superscript"/>
                    </w:rPr>
                    <w:t>-7</w:t>
                  </w:r>
                  <w:r>
                    <w:rPr>
                      <w:color w:val="auto"/>
                      <w:spacing w:val="0"/>
                      <w:kern w:val="0"/>
                      <w:sz w:val="21"/>
                      <w:szCs w:val="21"/>
                    </w:rPr>
                    <w:t>cm/s），不会对土壤环境造成污染，可预防突发环境风险事件。</w:t>
                  </w:r>
                </w:p>
              </w:tc>
            </w:tr>
            <w:tr w14:paraId="5590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2017E34A">
                  <w:pPr>
                    <w:pStyle w:val="170"/>
                    <w:keepNext/>
                    <w:rPr>
                      <w:color w:val="auto"/>
                      <w:spacing w:val="0"/>
                      <w:kern w:val="0"/>
                      <w:sz w:val="21"/>
                      <w:szCs w:val="21"/>
                    </w:rPr>
                  </w:pPr>
                </w:p>
              </w:tc>
              <w:tc>
                <w:tcPr>
                  <w:tcW w:w="366" w:type="pct"/>
                  <w:vMerge w:val="continue"/>
                  <w:vAlign w:val="center"/>
                </w:tcPr>
                <w:p w14:paraId="4F775643">
                  <w:pPr>
                    <w:pStyle w:val="170"/>
                    <w:keepNext/>
                    <w:rPr>
                      <w:color w:val="auto"/>
                      <w:spacing w:val="0"/>
                      <w:kern w:val="0"/>
                      <w:sz w:val="21"/>
                      <w:szCs w:val="21"/>
                    </w:rPr>
                  </w:pPr>
                </w:p>
              </w:tc>
              <w:tc>
                <w:tcPr>
                  <w:tcW w:w="2380" w:type="pct"/>
                  <w:vAlign w:val="center"/>
                </w:tcPr>
                <w:p w14:paraId="30353403">
                  <w:pPr>
                    <w:pStyle w:val="170"/>
                    <w:keepNext/>
                    <w:jc w:val="both"/>
                    <w:rPr>
                      <w:color w:val="auto"/>
                      <w:spacing w:val="0"/>
                      <w:kern w:val="0"/>
                      <w:sz w:val="21"/>
                      <w:szCs w:val="21"/>
                    </w:rPr>
                  </w:pPr>
                  <w:r>
                    <w:rPr>
                      <w:color w:val="auto"/>
                      <w:spacing w:val="0"/>
                      <w:kern w:val="0"/>
                      <w:sz w:val="21"/>
                      <w:szCs w:val="21"/>
                    </w:rPr>
                    <w:t>2.严格落实以洱海为重点的饮用水水源地应急防控工作机制，确保饮用水水源安全。加强沘江</w:t>
                  </w:r>
                  <w:r>
                    <w:rPr>
                      <w:rFonts w:hint="eastAsia"/>
                      <w:color w:val="auto"/>
                      <w:spacing w:val="0"/>
                      <w:kern w:val="0"/>
                      <w:sz w:val="21"/>
                      <w:szCs w:val="21"/>
                    </w:rPr>
                    <w:t>-</w:t>
                  </w:r>
                  <w:r>
                    <w:rPr>
                      <w:color w:val="auto"/>
                      <w:spacing w:val="0"/>
                      <w:kern w:val="0"/>
                      <w:sz w:val="21"/>
                      <w:szCs w:val="21"/>
                    </w:rPr>
                    <w:t>交汇口、黑惠江</w:t>
                  </w:r>
                  <w:r>
                    <w:rPr>
                      <w:rFonts w:hint="eastAsia"/>
                      <w:color w:val="auto"/>
                      <w:spacing w:val="0"/>
                      <w:kern w:val="0"/>
                      <w:sz w:val="21"/>
                      <w:szCs w:val="21"/>
                    </w:rPr>
                    <w:t>-</w:t>
                  </w:r>
                  <w:r>
                    <w:rPr>
                      <w:color w:val="auto"/>
                      <w:spacing w:val="0"/>
                      <w:kern w:val="0"/>
                      <w:sz w:val="21"/>
                      <w:szCs w:val="21"/>
                    </w:rPr>
                    <w:t>徐村桥、顺濞河</w:t>
                  </w:r>
                  <w:r>
                    <w:rPr>
                      <w:rFonts w:hint="eastAsia"/>
                      <w:color w:val="auto"/>
                      <w:spacing w:val="0"/>
                      <w:kern w:val="0"/>
                      <w:sz w:val="21"/>
                      <w:szCs w:val="21"/>
                    </w:rPr>
                    <w:t>-</w:t>
                  </w:r>
                  <w:r>
                    <w:rPr>
                      <w:color w:val="auto"/>
                      <w:spacing w:val="0"/>
                      <w:kern w:val="0"/>
                      <w:sz w:val="21"/>
                      <w:szCs w:val="21"/>
                    </w:rPr>
                    <w:t>顺濞桥、永平河</w:t>
                  </w:r>
                  <w:r>
                    <w:rPr>
                      <w:rFonts w:hint="eastAsia"/>
                      <w:color w:val="auto"/>
                      <w:spacing w:val="0"/>
                      <w:kern w:val="0"/>
                      <w:sz w:val="21"/>
                      <w:szCs w:val="21"/>
                    </w:rPr>
                    <w:t>-</w:t>
                  </w:r>
                  <w:r>
                    <w:rPr>
                      <w:color w:val="auto"/>
                      <w:spacing w:val="0"/>
                      <w:kern w:val="0"/>
                      <w:sz w:val="21"/>
                      <w:szCs w:val="21"/>
                    </w:rPr>
                    <w:t>水泄、漾弓江</w:t>
                  </w:r>
                  <w:r>
                    <w:rPr>
                      <w:rFonts w:hint="eastAsia"/>
                      <w:color w:val="auto"/>
                      <w:spacing w:val="0"/>
                      <w:kern w:val="0"/>
                      <w:sz w:val="21"/>
                      <w:szCs w:val="21"/>
                    </w:rPr>
                    <w:t>-</w:t>
                  </w:r>
                  <w:r>
                    <w:rPr>
                      <w:color w:val="auto"/>
                      <w:spacing w:val="0"/>
                      <w:kern w:val="0"/>
                      <w:sz w:val="21"/>
                      <w:szCs w:val="21"/>
                    </w:rPr>
                    <w:t>中江、礼社江</w:t>
                  </w:r>
                  <w:r>
                    <w:rPr>
                      <w:rFonts w:hint="eastAsia"/>
                      <w:color w:val="auto"/>
                      <w:spacing w:val="0"/>
                      <w:kern w:val="0"/>
                      <w:sz w:val="21"/>
                      <w:szCs w:val="21"/>
                    </w:rPr>
                    <w:t>-</w:t>
                  </w:r>
                  <w:r>
                    <w:rPr>
                      <w:color w:val="auto"/>
                      <w:spacing w:val="0"/>
                      <w:kern w:val="0"/>
                      <w:sz w:val="21"/>
                      <w:szCs w:val="21"/>
                    </w:rPr>
                    <w:t>回辉登、李仙江</w:t>
                  </w:r>
                  <w:r>
                    <w:rPr>
                      <w:rFonts w:hint="eastAsia"/>
                      <w:color w:val="auto"/>
                      <w:spacing w:val="0"/>
                      <w:kern w:val="0"/>
                      <w:sz w:val="21"/>
                      <w:szCs w:val="21"/>
                    </w:rPr>
                    <w:t>-</w:t>
                  </w:r>
                  <w:r>
                    <w:rPr>
                      <w:color w:val="auto"/>
                      <w:spacing w:val="0"/>
                      <w:kern w:val="0"/>
                      <w:sz w:val="21"/>
                      <w:szCs w:val="21"/>
                    </w:rPr>
                    <w:t>安定等优良水质断面的水环境风险防控。</w:t>
                  </w:r>
                </w:p>
              </w:tc>
              <w:tc>
                <w:tcPr>
                  <w:tcW w:w="1694" w:type="pct"/>
                  <w:vAlign w:val="center"/>
                </w:tcPr>
                <w:p w14:paraId="0419319B">
                  <w:pPr>
                    <w:pStyle w:val="170"/>
                    <w:keepNext/>
                    <w:jc w:val="both"/>
                    <w:rPr>
                      <w:color w:val="auto"/>
                      <w:spacing w:val="0"/>
                      <w:kern w:val="0"/>
                      <w:sz w:val="21"/>
                      <w:szCs w:val="21"/>
                    </w:rPr>
                  </w:pPr>
                  <w:r>
                    <w:rPr>
                      <w:color w:val="auto"/>
                      <w:spacing w:val="0"/>
                      <w:kern w:val="0"/>
                      <w:sz w:val="21"/>
                      <w:szCs w:val="21"/>
                    </w:rPr>
                    <w:t>2.根据《</w:t>
                  </w:r>
                  <w:r>
                    <w:rPr>
                      <w:color w:val="auto"/>
                      <w:spacing w:val="0"/>
                      <w:kern w:val="0"/>
                      <w:sz w:val="21"/>
                      <w:szCs w:val="21"/>
                    </w:rPr>
                    <w:fldChar w:fldCharType="begin"/>
                  </w:r>
                  <w:r>
                    <w:rPr>
                      <w:color w:val="auto"/>
                      <w:spacing w:val="0"/>
                      <w:kern w:val="0"/>
                      <w:sz w:val="21"/>
                      <w:szCs w:val="21"/>
                    </w:rPr>
                    <w:instrText xml:space="preserve"> REF _Ref218542484 \h  \* MERGEFORMAT </w:instrText>
                  </w:r>
                  <w:r>
                    <w:rPr>
                      <w:color w:val="auto"/>
                      <w:spacing w:val="0"/>
                      <w:kern w:val="0"/>
                      <w:sz w:val="21"/>
                      <w:szCs w:val="21"/>
                    </w:rPr>
                    <w:fldChar w:fldCharType="separate"/>
                  </w:r>
                  <w:r>
                    <w:rPr>
                      <w:rFonts w:hint="eastAsia"/>
                      <w:color w:val="auto"/>
                      <w:kern w:val="0"/>
                      <w:sz w:val="21"/>
                      <w:szCs w:val="21"/>
                    </w:rPr>
                    <w:t>大理白族自治州生态环境局南涧分局关于沙乐光伏发电项目二次选址的意见</w:t>
                  </w:r>
                  <w:r>
                    <w:rPr>
                      <w:color w:val="auto"/>
                      <w:spacing w:val="0"/>
                      <w:kern w:val="0"/>
                      <w:sz w:val="21"/>
                      <w:szCs w:val="21"/>
                    </w:rPr>
                    <w:fldChar w:fldCharType="end"/>
                  </w:r>
                  <w:r>
                    <w:rPr>
                      <w:color w:val="auto"/>
                      <w:spacing w:val="0"/>
                      <w:kern w:val="0"/>
                      <w:sz w:val="21"/>
                      <w:szCs w:val="21"/>
                    </w:rPr>
                    <w:t>》</w:t>
                  </w:r>
                  <w:r>
                    <w:rPr>
                      <w:rFonts w:hint="eastAsia"/>
                      <w:color w:val="auto"/>
                      <w:spacing w:val="0"/>
                      <w:kern w:val="0"/>
                      <w:sz w:val="21"/>
                      <w:szCs w:val="21"/>
                    </w:rPr>
                    <w:t>，</w:t>
                  </w:r>
                  <w:r>
                    <w:rPr>
                      <w:color w:val="auto"/>
                      <w:spacing w:val="0"/>
                      <w:kern w:val="0"/>
                      <w:sz w:val="21"/>
                      <w:szCs w:val="21"/>
                    </w:rPr>
                    <w:t>本次项目范围不涉及</w:t>
                  </w:r>
                  <w:r>
                    <w:rPr>
                      <w:rFonts w:hint="eastAsia"/>
                      <w:color w:val="auto"/>
                      <w:spacing w:val="0"/>
                      <w:kern w:val="0"/>
                      <w:sz w:val="21"/>
                      <w:szCs w:val="21"/>
                    </w:rPr>
                    <w:t>南涧</w:t>
                  </w:r>
                  <w:r>
                    <w:rPr>
                      <w:color w:val="auto"/>
                      <w:spacing w:val="0"/>
                      <w:kern w:val="0"/>
                      <w:sz w:val="21"/>
                      <w:szCs w:val="21"/>
                    </w:rPr>
                    <w:t>县饮用水源保护范围。</w:t>
                  </w:r>
                </w:p>
              </w:tc>
            </w:tr>
            <w:tr w14:paraId="716A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2EC766C2">
                  <w:pPr>
                    <w:pStyle w:val="170"/>
                    <w:keepNext/>
                    <w:rPr>
                      <w:color w:val="auto"/>
                      <w:spacing w:val="0"/>
                      <w:kern w:val="0"/>
                      <w:sz w:val="21"/>
                      <w:szCs w:val="21"/>
                    </w:rPr>
                  </w:pPr>
                </w:p>
              </w:tc>
              <w:tc>
                <w:tcPr>
                  <w:tcW w:w="366" w:type="pct"/>
                  <w:vMerge w:val="continue"/>
                  <w:vAlign w:val="center"/>
                </w:tcPr>
                <w:p w14:paraId="32BDF213">
                  <w:pPr>
                    <w:pStyle w:val="170"/>
                    <w:keepNext/>
                    <w:rPr>
                      <w:color w:val="auto"/>
                      <w:spacing w:val="0"/>
                      <w:kern w:val="0"/>
                      <w:sz w:val="21"/>
                      <w:szCs w:val="21"/>
                    </w:rPr>
                  </w:pPr>
                </w:p>
              </w:tc>
              <w:tc>
                <w:tcPr>
                  <w:tcW w:w="2380" w:type="pct"/>
                  <w:vAlign w:val="center"/>
                </w:tcPr>
                <w:p w14:paraId="3BFC9553">
                  <w:pPr>
                    <w:pStyle w:val="170"/>
                    <w:keepNext/>
                    <w:jc w:val="both"/>
                    <w:rPr>
                      <w:color w:val="auto"/>
                      <w:spacing w:val="0"/>
                      <w:kern w:val="0"/>
                      <w:sz w:val="21"/>
                      <w:szCs w:val="21"/>
                    </w:rPr>
                  </w:pPr>
                  <w:r>
                    <w:rPr>
                      <w:color w:val="auto"/>
                      <w:spacing w:val="0"/>
                      <w:kern w:val="0"/>
                      <w:sz w:val="21"/>
                      <w:szCs w:val="21"/>
                    </w:rPr>
                    <w:t>3.加强对长期水质优良断面的环境监管，密切关注主要污染指标浓度值变化，注重风险管控预防，重点推进断面流域内农业农村面源污染控制、城镇生活污染源和工业污染治理等，防止“好水变差”。</w:t>
                  </w:r>
                </w:p>
              </w:tc>
              <w:tc>
                <w:tcPr>
                  <w:tcW w:w="1694" w:type="pct"/>
                  <w:vAlign w:val="center"/>
                </w:tcPr>
                <w:p w14:paraId="63F9637F">
                  <w:pPr>
                    <w:pStyle w:val="170"/>
                    <w:keepNext/>
                    <w:jc w:val="both"/>
                    <w:rPr>
                      <w:color w:val="auto"/>
                      <w:spacing w:val="0"/>
                      <w:kern w:val="0"/>
                      <w:sz w:val="21"/>
                      <w:szCs w:val="21"/>
                    </w:rPr>
                  </w:pPr>
                  <w:r>
                    <w:rPr>
                      <w:color w:val="auto"/>
                      <w:spacing w:val="0"/>
                      <w:kern w:val="0"/>
                      <w:sz w:val="21"/>
                      <w:szCs w:val="21"/>
                    </w:rPr>
                    <w:t>3.本工程属于电力行业基础设施建设项目，项目施工期污废水不外排，运营期光伏板清洗废水用于灌溉板下植物，不产生生活污水，因此，本项目建设不会对附近水环境产生影响。</w:t>
                  </w:r>
                </w:p>
              </w:tc>
            </w:tr>
            <w:tr w14:paraId="0344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2EA7B73D">
                  <w:pPr>
                    <w:pStyle w:val="170"/>
                    <w:keepNext/>
                    <w:rPr>
                      <w:color w:val="auto"/>
                      <w:spacing w:val="0"/>
                      <w:kern w:val="0"/>
                      <w:sz w:val="21"/>
                      <w:szCs w:val="21"/>
                    </w:rPr>
                  </w:pPr>
                </w:p>
              </w:tc>
              <w:tc>
                <w:tcPr>
                  <w:tcW w:w="366" w:type="pct"/>
                  <w:vMerge w:val="continue"/>
                  <w:vAlign w:val="center"/>
                </w:tcPr>
                <w:p w14:paraId="732D6E5B">
                  <w:pPr>
                    <w:pStyle w:val="170"/>
                    <w:keepNext/>
                    <w:rPr>
                      <w:color w:val="auto"/>
                      <w:spacing w:val="0"/>
                      <w:kern w:val="0"/>
                      <w:sz w:val="21"/>
                      <w:szCs w:val="21"/>
                    </w:rPr>
                  </w:pPr>
                </w:p>
              </w:tc>
              <w:tc>
                <w:tcPr>
                  <w:tcW w:w="2380" w:type="pct"/>
                  <w:vAlign w:val="center"/>
                </w:tcPr>
                <w:p w14:paraId="30EF990A">
                  <w:pPr>
                    <w:pStyle w:val="170"/>
                    <w:keepNext/>
                    <w:jc w:val="both"/>
                    <w:rPr>
                      <w:color w:val="auto"/>
                      <w:spacing w:val="0"/>
                      <w:kern w:val="0"/>
                      <w:sz w:val="21"/>
                      <w:szCs w:val="21"/>
                    </w:rPr>
                  </w:pPr>
                  <w:r>
                    <w:rPr>
                      <w:color w:val="auto"/>
                      <w:spacing w:val="0"/>
                      <w:kern w:val="0"/>
                      <w:sz w:val="21"/>
                      <w:szCs w:val="21"/>
                    </w:rPr>
                    <w:t>4.严格尾矿库项目准入，健全完善尾矿库污染防治的长效机制，杜绝非不可抗力因素导致的尾矿库突发环境事件。</w:t>
                  </w:r>
                </w:p>
              </w:tc>
              <w:tc>
                <w:tcPr>
                  <w:tcW w:w="1694" w:type="pct"/>
                  <w:vAlign w:val="center"/>
                </w:tcPr>
                <w:p w14:paraId="72CED166">
                  <w:pPr>
                    <w:pStyle w:val="170"/>
                    <w:keepNext/>
                    <w:jc w:val="both"/>
                    <w:rPr>
                      <w:color w:val="auto"/>
                      <w:spacing w:val="0"/>
                      <w:kern w:val="0"/>
                      <w:sz w:val="21"/>
                      <w:szCs w:val="21"/>
                    </w:rPr>
                  </w:pPr>
                  <w:r>
                    <w:rPr>
                      <w:color w:val="auto"/>
                      <w:spacing w:val="0"/>
                      <w:kern w:val="0"/>
                      <w:sz w:val="21"/>
                      <w:szCs w:val="21"/>
                    </w:rPr>
                    <w:t>4.本工程属于电力行业基础设施建设项目，不属于尾矿库项目。</w:t>
                  </w:r>
                </w:p>
              </w:tc>
            </w:tr>
            <w:tr w14:paraId="14E7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66EBA173">
                  <w:pPr>
                    <w:pStyle w:val="170"/>
                    <w:keepNext/>
                    <w:rPr>
                      <w:color w:val="auto"/>
                      <w:spacing w:val="0"/>
                      <w:kern w:val="0"/>
                      <w:sz w:val="21"/>
                      <w:szCs w:val="21"/>
                    </w:rPr>
                  </w:pPr>
                </w:p>
              </w:tc>
              <w:tc>
                <w:tcPr>
                  <w:tcW w:w="366" w:type="pct"/>
                  <w:vMerge w:val="restart"/>
                  <w:vAlign w:val="center"/>
                </w:tcPr>
                <w:p w14:paraId="789D9D08">
                  <w:pPr>
                    <w:pStyle w:val="170"/>
                    <w:keepNext/>
                    <w:rPr>
                      <w:color w:val="auto"/>
                      <w:spacing w:val="0"/>
                      <w:kern w:val="0"/>
                      <w:sz w:val="21"/>
                      <w:szCs w:val="21"/>
                    </w:rPr>
                  </w:pPr>
                  <w:r>
                    <w:rPr>
                      <w:color w:val="auto"/>
                      <w:spacing w:val="0"/>
                      <w:kern w:val="0"/>
                      <w:sz w:val="21"/>
                      <w:szCs w:val="21"/>
                    </w:rPr>
                    <w:t>资源开发利用效率</w:t>
                  </w:r>
                </w:p>
              </w:tc>
              <w:tc>
                <w:tcPr>
                  <w:tcW w:w="2380" w:type="pct"/>
                  <w:vAlign w:val="center"/>
                </w:tcPr>
                <w:p w14:paraId="519E2E19">
                  <w:pPr>
                    <w:pStyle w:val="170"/>
                    <w:keepNext/>
                    <w:jc w:val="both"/>
                    <w:rPr>
                      <w:color w:val="auto"/>
                      <w:spacing w:val="0"/>
                      <w:kern w:val="0"/>
                      <w:sz w:val="21"/>
                      <w:szCs w:val="21"/>
                    </w:rPr>
                  </w:pPr>
                  <w:r>
                    <w:rPr>
                      <w:color w:val="auto"/>
                      <w:spacing w:val="0"/>
                      <w:kern w:val="0"/>
                      <w:sz w:val="21"/>
                      <w:szCs w:val="21"/>
                    </w:rPr>
                    <w:t>1.强化约束性指标管理，降低水、土地、能源、矿产等资源消耗强度。</w:t>
                  </w:r>
                </w:p>
              </w:tc>
              <w:tc>
                <w:tcPr>
                  <w:tcW w:w="1694" w:type="pct"/>
                  <w:vAlign w:val="center"/>
                </w:tcPr>
                <w:p w14:paraId="3C5B4807">
                  <w:pPr>
                    <w:pStyle w:val="170"/>
                    <w:keepNext/>
                    <w:jc w:val="both"/>
                    <w:rPr>
                      <w:color w:val="auto"/>
                      <w:spacing w:val="0"/>
                      <w:kern w:val="0"/>
                      <w:sz w:val="21"/>
                      <w:szCs w:val="21"/>
                    </w:rPr>
                  </w:pPr>
                  <w:r>
                    <w:rPr>
                      <w:color w:val="auto"/>
                      <w:spacing w:val="0"/>
                      <w:kern w:val="0"/>
                      <w:sz w:val="21"/>
                      <w:szCs w:val="21"/>
                    </w:rPr>
                    <w:t>1.本项目占地约117.06hm</w:t>
                  </w:r>
                  <w:r>
                    <w:rPr>
                      <w:color w:val="auto"/>
                      <w:spacing w:val="0"/>
                      <w:kern w:val="0"/>
                      <w:sz w:val="21"/>
                      <w:szCs w:val="21"/>
                      <w:vertAlign w:val="superscript"/>
                    </w:rPr>
                    <w:t>2</w:t>
                  </w:r>
                  <w:r>
                    <w:rPr>
                      <w:color w:val="auto"/>
                      <w:spacing w:val="0"/>
                      <w:kern w:val="0"/>
                      <w:sz w:val="21"/>
                      <w:szCs w:val="21"/>
                    </w:rPr>
                    <w:t>，项目位于</w:t>
                  </w:r>
                  <w:r>
                    <w:rPr>
                      <w:rFonts w:hint="eastAsia"/>
                      <w:color w:val="auto"/>
                      <w:spacing w:val="0"/>
                      <w:kern w:val="0"/>
                      <w:sz w:val="21"/>
                      <w:szCs w:val="21"/>
                    </w:rPr>
                    <w:t>南涧县</w:t>
                  </w:r>
                  <w:r>
                    <w:rPr>
                      <w:color w:val="auto"/>
                      <w:spacing w:val="0"/>
                      <w:kern w:val="0"/>
                      <w:sz w:val="21"/>
                      <w:szCs w:val="21"/>
                    </w:rPr>
                    <w:t>，其国土面积1739.17km</w:t>
                  </w:r>
                  <w:r>
                    <w:rPr>
                      <w:color w:val="auto"/>
                      <w:spacing w:val="0"/>
                      <w:kern w:val="0"/>
                      <w:sz w:val="21"/>
                      <w:szCs w:val="21"/>
                      <w:vertAlign w:val="superscript"/>
                    </w:rPr>
                    <w:t>2</w:t>
                  </w:r>
                  <w:r>
                    <w:rPr>
                      <w:color w:val="auto"/>
                      <w:spacing w:val="0"/>
                      <w:kern w:val="0"/>
                      <w:sz w:val="21"/>
                      <w:szCs w:val="21"/>
                    </w:rPr>
                    <w:t>，本项目用地占</w:t>
                  </w:r>
                  <w:r>
                    <w:rPr>
                      <w:rFonts w:hint="eastAsia"/>
                      <w:color w:val="auto"/>
                      <w:spacing w:val="0"/>
                      <w:kern w:val="0"/>
                      <w:sz w:val="21"/>
                      <w:szCs w:val="21"/>
                    </w:rPr>
                    <w:t>南涧县</w:t>
                  </w:r>
                  <w:r>
                    <w:rPr>
                      <w:color w:val="auto"/>
                      <w:spacing w:val="0"/>
                      <w:kern w:val="0"/>
                      <w:sz w:val="21"/>
                      <w:szCs w:val="21"/>
                    </w:rPr>
                    <w:t>国土面积的0.0</w:t>
                  </w:r>
                  <w:r>
                    <w:rPr>
                      <w:rFonts w:hint="eastAsia"/>
                      <w:color w:val="auto"/>
                      <w:spacing w:val="0"/>
                      <w:kern w:val="0"/>
                      <w:sz w:val="21"/>
                      <w:szCs w:val="21"/>
                    </w:rPr>
                    <w:t>006</w:t>
                  </w:r>
                  <w:r>
                    <w:rPr>
                      <w:color w:val="auto"/>
                      <w:spacing w:val="0"/>
                      <w:kern w:val="0"/>
                      <w:sz w:val="21"/>
                      <w:szCs w:val="21"/>
                    </w:rPr>
                    <w:t>%，没有突破当前国家资源利用上线。另外，光伏组件清洗废水通过太阳能电池板落入场地土壤中，用于光伏场区植被绿化，不外排，不会突破当地水、土地资源利用上线，符合资源利用相关规定要求。</w:t>
                  </w:r>
                </w:p>
              </w:tc>
            </w:tr>
            <w:tr w14:paraId="1604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7F8FB23A">
                  <w:pPr>
                    <w:pStyle w:val="170"/>
                    <w:keepNext/>
                    <w:rPr>
                      <w:color w:val="auto"/>
                      <w:spacing w:val="0"/>
                      <w:kern w:val="0"/>
                      <w:sz w:val="21"/>
                      <w:szCs w:val="21"/>
                    </w:rPr>
                  </w:pPr>
                </w:p>
              </w:tc>
              <w:tc>
                <w:tcPr>
                  <w:tcW w:w="366" w:type="pct"/>
                  <w:vMerge w:val="continue"/>
                  <w:vAlign w:val="center"/>
                </w:tcPr>
                <w:p w14:paraId="46B5538E">
                  <w:pPr>
                    <w:pStyle w:val="170"/>
                    <w:keepNext/>
                    <w:rPr>
                      <w:color w:val="auto"/>
                      <w:spacing w:val="0"/>
                      <w:kern w:val="0"/>
                      <w:sz w:val="21"/>
                      <w:szCs w:val="21"/>
                    </w:rPr>
                  </w:pPr>
                </w:p>
              </w:tc>
              <w:tc>
                <w:tcPr>
                  <w:tcW w:w="2380" w:type="pct"/>
                  <w:vAlign w:val="center"/>
                </w:tcPr>
                <w:p w14:paraId="35534B6C">
                  <w:pPr>
                    <w:pStyle w:val="170"/>
                    <w:keepNext/>
                    <w:jc w:val="both"/>
                    <w:rPr>
                      <w:color w:val="auto"/>
                      <w:spacing w:val="0"/>
                      <w:kern w:val="0"/>
                      <w:sz w:val="21"/>
                      <w:szCs w:val="21"/>
                    </w:rPr>
                  </w:pPr>
                  <w:r>
                    <w:rPr>
                      <w:color w:val="auto"/>
                      <w:spacing w:val="0"/>
                      <w:kern w:val="0"/>
                      <w:sz w:val="21"/>
                      <w:szCs w:val="21"/>
                    </w:rPr>
                    <w:t>2.实行最严格的水资源管理制度，严格用水总量、强度指标管理，严格取水管控，建立重点监控取水单位名录，强化重点监控取水单位管理。到2025年，全州用水总量控制在14.5亿立方米、万元工业用水量比2020年下降16%。</w:t>
                  </w:r>
                </w:p>
              </w:tc>
              <w:tc>
                <w:tcPr>
                  <w:tcW w:w="1694" w:type="pct"/>
                  <w:vAlign w:val="center"/>
                </w:tcPr>
                <w:p w14:paraId="57814A18">
                  <w:pPr>
                    <w:pStyle w:val="170"/>
                    <w:keepNext/>
                    <w:jc w:val="both"/>
                    <w:rPr>
                      <w:color w:val="auto"/>
                      <w:spacing w:val="0"/>
                      <w:kern w:val="0"/>
                      <w:sz w:val="21"/>
                      <w:szCs w:val="21"/>
                    </w:rPr>
                  </w:pPr>
                  <w:r>
                    <w:rPr>
                      <w:color w:val="auto"/>
                      <w:spacing w:val="0"/>
                      <w:kern w:val="0"/>
                      <w:sz w:val="21"/>
                      <w:szCs w:val="21"/>
                    </w:rPr>
                    <w:t>2.本工程属于电力行业基础设施建设项目，不涉及取水点。</w:t>
                  </w:r>
                </w:p>
              </w:tc>
            </w:tr>
            <w:tr w14:paraId="5311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432655D7">
                  <w:pPr>
                    <w:pStyle w:val="170"/>
                    <w:keepNext/>
                    <w:rPr>
                      <w:color w:val="auto"/>
                      <w:spacing w:val="0"/>
                      <w:kern w:val="0"/>
                      <w:sz w:val="21"/>
                      <w:szCs w:val="21"/>
                    </w:rPr>
                  </w:pPr>
                </w:p>
              </w:tc>
              <w:tc>
                <w:tcPr>
                  <w:tcW w:w="366" w:type="pct"/>
                  <w:vMerge w:val="continue"/>
                  <w:vAlign w:val="center"/>
                </w:tcPr>
                <w:p w14:paraId="30B7F172">
                  <w:pPr>
                    <w:pStyle w:val="170"/>
                    <w:keepNext/>
                    <w:rPr>
                      <w:color w:val="auto"/>
                      <w:spacing w:val="0"/>
                      <w:kern w:val="0"/>
                      <w:sz w:val="21"/>
                      <w:szCs w:val="21"/>
                    </w:rPr>
                  </w:pPr>
                </w:p>
              </w:tc>
              <w:tc>
                <w:tcPr>
                  <w:tcW w:w="2380" w:type="pct"/>
                  <w:vAlign w:val="center"/>
                </w:tcPr>
                <w:p w14:paraId="1BB6822D">
                  <w:pPr>
                    <w:pStyle w:val="170"/>
                    <w:keepNext/>
                    <w:jc w:val="both"/>
                    <w:rPr>
                      <w:color w:val="auto"/>
                      <w:spacing w:val="0"/>
                      <w:kern w:val="0"/>
                      <w:sz w:val="21"/>
                      <w:szCs w:val="21"/>
                    </w:rPr>
                  </w:pPr>
                  <w:r>
                    <w:rPr>
                      <w:color w:val="auto"/>
                      <w:spacing w:val="0"/>
                      <w:kern w:val="0"/>
                      <w:sz w:val="21"/>
                      <w:szCs w:val="21"/>
                    </w:rPr>
                    <w:t>3.坚持最严格的耕地保护制度，严守耕地保护底线不突破。坚持节约用地，严格执行耕地占补平衡等制度，提高土地投资强度和单位面积产出水平。</w:t>
                  </w:r>
                </w:p>
              </w:tc>
              <w:tc>
                <w:tcPr>
                  <w:tcW w:w="1694" w:type="pct"/>
                  <w:vAlign w:val="center"/>
                </w:tcPr>
                <w:p w14:paraId="43ACB112">
                  <w:pPr>
                    <w:pStyle w:val="170"/>
                    <w:keepNext/>
                    <w:jc w:val="both"/>
                    <w:rPr>
                      <w:color w:val="auto"/>
                      <w:spacing w:val="0"/>
                      <w:kern w:val="0"/>
                      <w:sz w:val="21"/>
                      <w:szCs w:val="21"/>
                    </w:rPr>
                  </w:pPr>
                  <w:r>
                    <w:rPr>
                      <w:color w:val="auto"/>
                      <w:spacing w:val="0"/>
                      <w:kern w:val="0"/>
                      <w:sz w:val="21"/>
                      <w:szCs w:val="21"/>
                    </w:rPr>
                    <w:t>3.根据《</w:t>
                  </w:r>
                  <w:r>
                    <w:rPr>
                      <w:color w:val="auto"/>
                      <w:spacing w:val="0"/>
                      <w:kern w:val="0"/>
                      <w:sz w:val="21"/>
                      <w:szCs w:val="21"/>
                    </w:rPr>
                    <w:fldChar w:fldCharType="begin"/>
                  </w:r>
                  <w:r>
                    <w:rPr>
                      <w:color w:val="auto"/>
                      <w:spacing w:val="0"/>
                      <w:kern w:val="0"/>
                      <w:sz w:val="21"/>
                      <w:szCs w:val="21"/>
                    </w:rPr>
                    <w:instrText xml:space="preserve"> REF _Ref218539235 \h  \* MERGEFORMAT </w:instrText>
                  </w:r>
                  <w:r>
                    <w:rPr>
                      <w:color w:val="auto"/>
                      <w:spacing w:val="0"/>
                      <w:kern w:val="0"/>
                      <w:sz w:val="21"/>
                      <w:szCs w:val="21"/>
                    </w:rPr>
                    <w:fldChar w:fldCharType="separate"/>
                  </w:r>
                  <w:r>
                    <w:rPr>
                      <w:rFonts w:hint="eastAsia"/>
                      <w:color w:val="auto"/>
                      <w:kern w:val="0"/>
                      <w:sz w:val="21"/>
                      <w:szCs w:val="21"/>
                    </w:rPr>
                    <w:t>南涧彝族自治县自然资源局关于沙乐光伏发电项目用地审查意见</w:t>
                  </w:r>
                  <w:r>
                    <w:rPr>
                      <w:color w:val="auto"/>
                      <w:spacing w:val="0"/>
                      <w:kern w:val="0"/>
                      <w:sz w:val="21"/>
                      <w:szCs w:val="21"/>
                    </w:rPr>
                    <w:fldChar w:fldCharType="end"/>
                  </w:r>
                  <w:r>
                    <w:rPr>
                      <w:color w:val="auto"/>
                      <w:spacing w:val="0"/>
                      <w:kern w:val="0"/>
                      <w:sz w:val="21"/>
                      <w:szCs w:val="21"/>
                    </w:rPr>
                    <w:t>》，项目选址不占用</w:t>
                  </w:r>
                  <w:r>
                    <w:rPr>
                      <w:rFonts w:hint="eastAsia"/>
                      <w:color w:val="auto"/>
                      <w:spacing w:val="0"/>
                      <w:kern w:val="0"/>
                      <w:sz w:val="21"/>
                      <w:szCs w:val="21"/>
                    </w:rPr>
                    <w:t>耕地</w:t>
                  </w:r>
                  <w:r>
                    <w:rPr>
                      <w:color w:val="auto"/>
                      <w:spacing w:val="0"/>
                      <w:kern w:val="0"/>
                      <w:sz w:val="21"/>
                      <w:szCs w:val="21"/>
                    </w:rPr>
                    <w:t>。</w:t>
                  </w:r>
                </w:p>
              </w:tc>
            </w:tr>
            <w:tr w14:paraId="0026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6BF030E3">
                  <w:pPr>
                    <w:pStyle w:val="170"/>
                    <w:keepNext/>
                    <w:rPr>
                      <w:color w:val="auto"/>
                      <w:spacing w:val="0"/>
                      <w:kern w:val="0"/>
                      <w:sz w:val="21"/>
                      <w:szCs w:val="21"/>
                    </w:rPr>
                  </w:pPr>
                </w:p>
              </w:tc>
              <w:tc>
                <w:tcPr>
                  <w:tcW w:w="366" w:type="pct"/>
                  <w:vMerge w:val="continue"/>
                  <w:vAlign w:val="center"/>
                </w:tcPr>
                <w:p w14:paraId="78905CE9">
                  <w:pPr>
                    <w:pStyle w:val="170"/>
                    <w:keepNext/>
                    <w:rPr>
                      <w:color w:val="auto"/>
                      <w:spacing w:val="0"/>
                      <w:kern w:val="0"/>
                      <w:sz w:val="21"/>
                      <w:szCs w:val="21"/>
                    </w:rPr>
                  </w:pPr>
                </w:p>
              </w:tc>
              <w:tc>
                <w:tcPr>
                  <w:tcW w:w="2380" w:type="pct"/>
                  <w:vAlign w:val="center"/>
                </w:tcPr>
                <w:p w14:paraId="55495EF0">
                  <w:pPr>
                    <w:pStyle w:val="170"/>
                    <w:keepNext/>
                    <w:jc w:val="both"/>
                    <w:rPr>
                      <w:color w:val="auto"/>
                      <w:spacing w:val="0"/>
                      <w:kern w:val="0"/>
                      <w:sz w:val="21"/>
                      <w:szCs w:val="21"/>
                    </w:rPr>
                  </w:pPr>
                  <w:r>
                    <w:rPr>
                      <w:color w:val="auto"/>
                      <w:spacing w:val="0"/>
                      <w:kern w:val="0"/>
                      <w:sz w:val="21"/>
                      <w:szCs w:val="21"/>
                    </w:rPr>
                    <w:t>4.全州单位GDP能耗持续下降，能耗增量控制目标达到省考核要求。</w:t>
                  </w:r>
                </w:p>
              </w:tc>
              <w:tc>
                <w:tcPr>
                  <w:tcW w:w="1694" w:type="pct"/>
                  <w:vAlign w:val="center"/>
                </w:tcPr>
                <w:p w14:paraId="7ACC069C">
                  <w:pPr>
                    <w:pStyle w:val="170"/>
                    <w:keepNext/>
                    <w:jc w:val="both"/>
                    <w:rPr>
                      <w:color w:val="auto"/>
                      <w:spacing w:val="0"/>
                      <w:kern w:val="0"/>
                      <w:sz w:val="21"/>
                      <w:szCs w:val="21"/>
                    </w:rPr>
                  </w:pPr>
                  <w:r>
                    <w:rPr>
                      <w:rFonts w:hint="eastAsia"/>
                      <w:color w:val="auto"/>
                      <w:spacing w:val="0"/>
                      <w:kern w:val="0"/>
                      <w:sz w:val="21"/>
                      <w:szCs w:val="21"/>
                    </w:rPr>
                    <w:t>4</w:t>
                  </w:r>
                  <w:r>
                    <w:rPr>
                      <w:color w:val="auto"/>
                      <w:spacing w:val="0"/>
                      <w:kern w:val="0"/>
                      <w:sz w:val="21"/>
                      <w:szCs w:val="21"/>
                    </w:rPr>
                    <w:t>.本项目属于光伏发电项目，不属于能耗项目。</w:t>
                  </w:r>
                </w:p>
              </w:tc>
            </w:tr>
            <w:tr w14:paraId="1004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0" w:type="pct"/>
                  <w:vMerge w:val="continue"/>
                </w:tcPr>
                <w:p w14:paraId="5FC8B5C7">
                  <w:pPr>
                    <w:pStyle w:val="170"/>
                    <w:keepNext/>
                    <w:rPr>
                      <w:color w:val="auto"/>
                      <w:spacing w:val="0"/>
                      <w:kern w:val="0"/>
                      <w:sz w:val="21"/>
                      <w:szCs w:val="21"/>
                    </w:rPr>
                  </w:pPr>
                </w:p>
              </w:tc>
              <w:tc>
                <w:tcPr>
                  <w:tcW w:w="366" w:type="pct"/>
                  <w:vMerge w:val="continue"/>
                  <w:vAlign w:val="center"/>
                </w:tcPr>
                <w:p w14:paraId="31F270A8">
                  <w:pPr>
                    <w:pStyle w:val="170"/>
                    <w:keepNext/>
                    <w:rPr>
                      <w:color w:val="auto"/>
                      <w:spacing w:val="0"/>
                      <w:kern w:val="0"/>
                      <w:sz w:val="21"/>
                      <w:szCs w:val="21"/>
                    </w:rPr>
                  </w:pPr>
                </w:p>
              </w:tc>
              <w:tc>
                <w:tcPr>
                  <w:tcW w:w="2380" w:type="pct"/>
                  <w:vAlign w:val="center"/>
                </w:tcPr>
                <w:p w14:paraId="3CD8AB55">
                  <w:pPr>
                    <w:pStyle w:val="170"/>
                    <w:keepNext/>
                    <w:jc w:val="both"/>
                    <w:rPr>
                      <w:color w:val="auto"/>
                      <w:spacing w:val="0"/>
                      <w:kern w:val="0"/>
                      <w:sz w:val="21"/>
                      <w:szCs w:val="21"/>
                    </w:rPr>
                  </w:pPr>
                  <w:r>
                    <w:rPr>
                      <w:color w:val="auto"/>
                      <w:spacing w:val="0"/>
                      <w:kern w:val="0"/>
                      <w:sz w:val="21"/>
                      <w:szCs w:val="21"/>
                    </w:rPr>
                    <w:t>5.不再新建30万吨/年以下露天铁矿、10万吨/年以下地下铁矿。原则上不再新建年产矿石量30万吨以下的铜矿。不再新建日处理岩金矿石300吨以下的露天采选项目、100吨以下的地下采选项目。不再新建60万吨/年以下矿（井）盐项目等准入要求。限制开采高硫、高砷、高灰、高氟煤、砂金、砂铁。禁止开采可耕地砖瓦用粘土、原生汞矿。</w:t>
                  </w:r>
                </w:p>
              </w:tc>
              <w:tc>
                <w:tcPr>
                  <w:tcW w:w="1694" w:type="pct"/>
                  <w:vAlign w:val="center"/>
                </w:tcPr>
                <w:p w14:paraId="5F31AE99">
                  <w:pPr>
                    <w:pStyle w:val="170"/>
                    <w:keepNext/>
                    <w:jc w:val="both"/>
                    <w:rPr>
                      <w:color w:val="auto"/>
                      <w:spacing w:val="0"/>
                      <w:kern w:val="0"/>
                      <w:sz w:val="21"/>
                      <w:szCs w:val="21"/>
                    </w:rPr>
                  </w:pPr>
                  <w:r>
                    <w:rPr>
                      <w:color w:val="auto"/>
                      <w:spacing w:val="0"/>
                      <w:kern w:val="0"/>
                      <w:sz w:val="21"/>
                      <w:szCs w:val="21"/>
                    </w:rPr>
                    <w:t>5.本工程属于电力行业基础设施建设项目，不处于采矿项目。</w:t>
                  </w:r>
                </w:p>
              </w:tc>
            </w:tr>
          </w:tbl>
          <w:p w14:paraId="0B2BB3E4">
            <w:pPr>
              <w:ind w:firstLine="482"/>
              <w:rPr>
                <w:b/>
                <w:bCs/>
                <w:color w:val="auto"/>
                <w:szCs w:val="21"/>
              </w:rPr>
            </w:pPr>
            <w:r>
              <w:rPr>
                <w:b/>
                <w:bCs/>
                <w:color w:val="auto"/>
                <w:szCs w:val="21"/>
              </w:rPr>
              <w:t>（二）</w:t>
            </w:r>
            <w:r>
              <w:rPr>
                <w:rFonts w:hint="eastAsia"/>
                <w:b/>
                <w:bCs/>
                <w:color w:val="auto"/>
                <w:szCs w:val="21"/>
              </w:rPr>
              <w:t>生态环境准入清单符合性分析</w:t>
            </w:r>
          </w:p>
          <w:p w14:paraId="072BC6BC">
            <w:pPr>
              <w:ind w:firstLine="480"/>
              <w:rPr>
                <w:color w:val="auto"/>
                <w:szCs w:val="21"/>
              </w:rPr>
            </w:pPr>
            <w:r>
              <w:rPr>
                <w:color w:val="auto"/>
                <w:szCs w:val="21"/>
              </w:rPr>
              <w:t>本</w:t>
            </w:r>
            <w:r>
              <w:rPr>
                <w:rFonts w:hint="eastAsia"/>
                <w:color w:val="auto"/>
                <w:szCs w:val="21"/>
              </w:rPr>
              <w:t>项目</w:t>
            </w:r>
            <w:r>
              <w:rPr>
                <w:color w:val="auto"/>
                <w:szCs w:val="21"/>
              </w:rPr>
              <w:t>与</w:t>
            </w:r>
            <w:r>
              <w:rPr>
                <w:rFonts w:hint="eastAsia"/>
                <w:color w:val="auto"/>
                <w:szCs w:val="21"/>
              </w:rPr>
              <w:t>南涧县一般管控单元和</w:t>
            </w:r>
            <w:r>
              <w:rPr>
                <w:rFonts w:hint="eastAsia" w:cs="Times New Roman"/>
                <w:color w:val="auto"/>
                <w:szCs w:val="21"/>
              </w:rPr>
              <w:t>一般生态空间优先保护单元</w:t>
            </w:r>
            <w:r>
              <w:rPr>
                <w:rFonts w:hint="eastAsia"/>
                <w:color w:val="auto"/>
                <w:szCs w:val="21"/>
              </w:rPr>
              <w:t>的生态环境准入清单</w:t>
            </w:r>
            <w:r>
              <w:rPr>
                <w:color w:val="auto"/>
                <w:szCs w:val="21"/>
              </w:rPr>
              <w:t>的相符性分析详见</w:t>
            </w:r>
            <w:r>
              <w:rPr>
                <w:rFonts w:hint="eastAsia"/>
                <w:color w:val="auto"/>
                <w:szCs w:val="21"/>
              </w:rPr>
              <w:t>下表</w:t>
            </w:r>
            <w:r>
              <w:rPr>
                <w:color w:val="auto"/>
                <w:szCs w:val="21"/>
              </w:rPr>
              <w:t>。</w:t>
            </w:r>
          </w:p>
          <w:p w14:paraId="3573C4EF">
            <w:pPr>
              <w:ind w:firstLine="0" w:firstLineChars="0"/>
              <w:jc w:val="center"/>
              <w:rPr>
                <w:b/>
                <w:bCs/>
                <w:color w:val="auto"/>
                <w:szCs w:val="21"/>
              </w:rPr>
            </w:pPr>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1.2</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2</w:t>
            </w:r>
            <w:r>
              <w:rPr>
                <w:b/>
                <w:bCs/>
                <w:color w:val="auto"/>
                <w:szCs w:val="24"/>
              </w:rPr>
              <w:fldChar w:fldCharType="end"/>
            </w:r>
            <w:r>
              <w:rPr>
                <w:b/>
                <w:bCs/>
                <w:color w:val="auto"/>
                <w:szCs w:val="24"/>
              </w:rPr>
              <w:t xml:space="preserve">  </w:t>
            </w:r>
            <w:r>
              <w:rPr>
                <w:rFonts w:hint="eastAsia"/>
                <w:b/>
                <w:bCs/>
                <w:color w:val="auto"/>
                <w:szCs w:val="24"/>
              </w:rPr>
              <w:t>南涧县</w:t>
            </w:r>
            <w:r>
              <w:rPr>
                <w:rFonts w:hint="eastAsia"/>
                <w:b/>
                <w:bCs/>
                <w:color w:val="auto"/>
                <w:szCs w:val="21"/>
              </w:rPr>
              <w:t>一般管控单元和一般生态空间优先保护单元</w:t>
            </w:r>
            <w:bookmarkStart w:id="214" w:name="OLE_LINK20"/>
            <w:r>
              <w:rPr>
                <w:rFonts w:hint="eastAsia"/>
                <w:b/>
                <w:bCs/>
                <w:color w:val="auto"/>
                <w:szCs w:val="21"/>
              </w:rPr>
              <w:t>生态环境准入清单符合性分析</w:t>
            </w:r>
            <w:bookmarkEnd w:id="214"/>
          </w:p>
          <w:tbl>
            <w:tblPr>
              <w:tblStyle w:val="42"/>
              <w:tblW w:w="48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489"/>
              <w:gridCol w:w="3262"/>
              <w:gridCol w:w="2308"/>
            </w:tblGrid>
            <w:tr w14:paraId="7946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5" w:type="pct"/>
                  <w:vAlign w:val="center"/>
                </w:tcPr>
                <w:p w14:paraId="3556C5DD">
                  <w:pPr>
                    <w:pStyle w:val="65"/>
                    <w:rPr>
                      <w:rFonts w:cs="Times New Roman"/>
                      <w:b/>
                      <w:bCs/>
                      <w:color w:val="auto"/>
                      <w:kern w:val="0"/>
                      <w:szCs w:val="20"/>
                    </w:rPr>
                  </w:pPr>
                  <w:r>
                    <w:rPr>
                      <w:rFonts w:cs="Times New Roman"/>
                      <w:b/>
                      <w:bCs/>
                      <w:color w:val="auto"/>
                      <w:kern w:val="0"/>
                      <w:szCs w:val="20"/>
                    </w:rPr>
                    <w:t>管控领域</w:t>
                  </w:r>
                </w:p>
              </w:tc>
              <w:tc>
                <w:tcPr>
                  <w:tcW w:w="2783" w:type="pct"/>
                  <w:gridSpan w:val="2"/>
                  <w:vAlign w:val="center"/>
                </w:tcPr>
                <w:p w14:paraId="5CF17C3C">
                  <w:pPr>
                    <w:pStyle w:val="65"/>
                    <w:rPr>
                      <w:rFonts w:cs="Times New Roman"/>
                      <w:b/>
                      <w:bCs/>
                      <w:color w:val="auto"/>
                      <w:kern w:val="0"/>
                      <w:szCs w:val="20"/>
                    </w:rPr>
                  </w:pPr>
                  <w:r>
                    <w:rPr>
                      <w:rFonts w:cs="Times New Roman"/>
                      <w:b/>
                      <w:bCs/>
                      <w:color w:val="auto"/>
                      <w:kern w:val="0"/>
                      <w:szCs w:val="20"/>
                    </w:rPr>
                    <w:t>管控要求</w:t>
                  </w:r>
                </w:p>
              </w:tc>
              <w:tc>
                <w:tcPr>
                  <w:tcW w:w="1712" w:type="pct"/>
                  <w:vAlign w:val="center"/>
                </w:tcPr>
                <w:p w14:paraId="3737F88B">
                  <w:pPr>
                    <w:pStyle w:val="65"/>
                    <w:rPr>
                      <w:rFonts w:cs="Times New Roman"/>
                      <w:b/>
                      <w:bCs/>
                      <w:color w:val="auto"/>
                      <w:kern w:val="0"/>
                      <w:szCs w:val="20"/>
                    </w:rPr>
                  </w:pPr>
                  <w:r>
                    <w:rPr>
                      <w:rFonts w:cs="Times New Roman"/>
                      <w:b/>
                      <w:bCs/>
                      <w:color w:val="auto"/>
                      <w:kern w:val="0"/>
                      <w:szCs w:val="20"/>
                    </w:rPr>
                    <w:t>相符性分析</w:t>
                  </w:r>
                </w:p>
              </w:tc>
            </w:tr>
            <w:tr w14:paraId="448E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5" w:type="pct"/>
                  <w:vAlign w:val="center"/>
                </w:tcPr>
                <w:p w14:paraId="2820065A">
                  <w:pPr>
                    <w:pStyle w:val="65"/>
                    <w:rPr>
                      <w:rFonts w:cs="Times New Roman"/>
                      <w:color w:val="auto"/>
                      <w:kern w:val="0"/>
                      <w:szCs w:val="20"/>
                    </w:rPr>
                  </w:pPr>
                  <w:r>
                    <w:rPr>
                      <w:rFonts w:hint="eastAsia" w:cs="Times New Roman"/>
                      <w:color w:val="auto"/>
                      <w:kern w:val="0"/>
                      <w:szCs w:val="20"/>
                    </w:rPr>
                    <w:t>一般管控单元</w:t>
                  </w:r>
                </w:p>
              </w:tc>
              <w:tc>
                <w:tcPr>
                  <w:tcW w:w="363" w:type="pct"/>
                  <w:vMerge w:val="restart"/>
                  <w:vAlign w:val="center"/>
                </w:tcPr>
                <w:p w14:paraId="6FA06E5A">
                  <w:pPr>
                    <w:pStyle w:val="65"/>
                    <w:rPr>
                      <w:rFonts w:cs="Times New Roman"/>
                      <w:color w:val="auto"/>
                      <w:kern w:val="0"/>
                      <w:szCs w:val="20"/>
                    </w:rPr>
                  </w:pPr>
                  <w:r>
                    <w:rPr>
                      <w:rFonts w:hint="eastAsia" w:ascii="宋体" w:cs="Times New Roman"/>
                      <w:color w:val="auto"/>
                      <w:kern w:val="0"/>
                      <w:szCs w:val="20"/>
                    </w:rPr>
                    <w:t>空间约束</w:t>
                  </w:r>
                </w:p>
              </w:tc>
              <w:tc>
                <w:tcPr>
                  <w:tcW w:w="2420" w:type="pct"/>
                  <w:vAlign w:val="center"/>
                </w:tcPr>
                <w:p w14:paraId="78B673B8">
                  <w:pPr>
                    <w:pStyle w:val="65"/>
                    <w:jc w:val="both"/>
                    <w:rPr>
                      <w:rFonts w:cs="Times New Roman"/>
                      <w:color w:val="auto"/>
                      <w:kern w:val="0"/>
                      <w:szCs w:val="20"/>
                    </w:rPr>
                  </w:pPr>
                  <w:r>
                    <w:rPr>
                      <w:rFonts w:hint="eastAsia" w:cs="Times New Roman"/>
                      <w:color w:val="auto"/>
                      <w:kern w:val="0"/>
                      <w:szCs w:val="20"/>
                    </w:rPr>
                    <w:t>落实生态环境保护基本要求，项目建设和运行应满足产业准入、污染物削减、污染物排放标准等管理规定和国家法律法规要求。</w:t>
                  </w:r>
                </w:p>
              </w:tc>
              <w:tc>
                <w:tcPr>
                  <w:tcW w:w="1712" w:type="pct"/>
                  <w:vAlign w:val="center"/>
                </w:tcPr>
                <w:p w14:paraId="0A8251F5">
                  <w:pPr>
                    <w:pStyle w:val="65"/>
                    <w:jc w:val="both"/>
                    <w:rPr>
                      <w:rFonts w:cs="Times New Roman"/>
                      <w:color w:val="auto"/>
                      <w:kern w:val="0"/>
                      <w:szCs w:val="20"/>
                    </w:rPr>
                  </w:pPr>
                  <w:r>
                    <w:rPr>
                      <w:rFonts w:hint="eastAsia" w:cs="Times New Roman"/>
                      <w:color w:val="auto"/>
                      <w:kern w:val="0"/>
                      <w:szCs w:val="20"/>
                    </w:rPr>
                    <w:t>本项目为光伏电站项目，结合拟建项目污染物排放特征，项目无废水外排，不涉及废水总量控制指标。</w:t>
                  </w:r>
                </w:p>
              </w:tc>
            </w:tr>
            <w:tr w14:paraId="4C0A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5" w:type="pct"/>
                  <w:vAlign w:val="center"/>
                </w:tcPr>
                <w:p w14:paraId="37EA4FFA">
                  <w:pPr>
                    <w:pStyle w:val="65"/>
                    <w:rPr>
                      <w:rFonts w:cs="Times New Roman"/>
                      <w:color w:val="auto"/>
                      <w:kern w:val="0"/>
                      <w:szCs w:val="20"/>
                    </w:rPr>
                  </w:pPr>
                  <w:r>
                    <w:rPr>
                      <w:rFonts w:hint="eastAsia" w:cs="Times New Roman"/>
                      <w:color w:val="auto"/>
                      <w:kern w:val="0"/>
                      <w:szCs w:val="20"/>
                    </w:rPr>
                    <w:t>一般生态空间优先保护单元</w:t>
                  </w:r>
                </w:p>
              </w:tc>
              <w:tc>
                <w:tcPr>
                  <w:tcW w:w="363" w:type="pct"/>
                  <w:vMerge w:val="continue"/>
                  <w:vAlign w:val="center"/>
                </w:tcPr>
                <w:p w14:paraId="330AF1D4">
                  <w:pPr>
                    <w:pStyle w:val="65"/>
                    <w:rPr>
                      <w:rFonts w:ascii="宋体" w:cs="Times New Roman"/>
                      <w:color w:val="auto"/>
                      <w:kern w:val="0"/>
                      <w:szCs w:val="20"/>
                    </w:rPr>
                  </w:pPr>
                </w:p>
              </w:tc>
              <w:tc>
                <w:tcPr>
                  <w:tcW w:w="2420" w:type="pct"/>
                  <w:vAlign w:val="center"/>
                </w:tcPr>
                <w:p w14:paraId="45EC1AD9">
                  <w:pPr>
                    <w:pStyle w:val="65"/>
                    <w:jc w:val="both"/>
                    <w:rPr>
                      <w:rFonts w:cs="Times New Roman"/>
                      <w:color w:val="auto"/>
                      <w:kern w:val="0"/>
                      <w:szCs w:val="20"/>
                    </w:rPr>
                  </w:pPr>
                  <w:r>
                    <w:rPr>
                      <w:rFonts w:cs="Times New Roman"/>
                      <w:color w:val="auto"/>
                      <w:kern w:val="0"/>
                      <w:szCs w:val="20"/>
                    </w:rPr>
                    <w:t>1.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相关法律法规规定，没有明确规定的，加强论证和管理。</w:t>
                  </w:r>
                </w:p>
                <w:p w14:paraId="0DCEBF97">
                  <w:pPr>
                    <w:pStyle w:val="65"/>
                    <w:jc w:val="both"/>
                    <w:rPr>
                      <w:rFonts w:cs="Times New Roman"/>
                      <w:color w:val="auto"/>
                      <w:kern w:val="0"/>
                      <w:szCs w:val="20"/>
                    </w:rPr>
                  </w:pPr>
                  <w:r>
                    <w:rPr>
                      <w:rFonts w:cs="Times New Roman"/>
                      <w:color w:val="auto"/>
                      <w:kern w:val="0"/>
                      <w:szCs w:val="20"/>
                    </w:rPr>
                    <w:t>2.暂未纳入生态保护红线的自然保护地按照相关保护地法律法规进行管理；重要湿地依据《中华人民共和国湿地保护法》《湿地保护管理规定》《云南省湿地保护条例》《云南省人民政府关于加强湿地保护工作的意见》等进行管理；公益林依据《国家级公益林管理办法》《云南省公益林管理办法》进行管理；天然林依据《国家林业局关于严格保护天然林的通知》（林资发﹝2015﹞181号）《中共中央办公厅 国务院办公厅关于印发〈天然林保护修复制度方案〉的通知》（厅字﹝2019﹞39号）等进行管理。</w:t>
                  </w:r>
                </w:p>
              </w:tc>
              <w:tc>
                <w:tcPr>
                  <w:tcW w:w="1712" w:type="pct"/>
                  <w:vAlign w:val="center"/>
                </w:tcPr>
                <w:p w14:paraId="4F98C5A4">
                  <w:pPr>
                    <w:pStyle w:val="65"/>
                    <w:jc w:val="both"/>
                    <w:rPr>
                      <w:rFonts w:cs="Times New Roman"/>
                      <w:color w:val="auto"/>
                      <w:kern w:val="0"/>
                      <w:szCs w:val="20"/>
                    </w:rPr>
                  </w:pPr>
                  <w:r>
                    <w:rPr>
                      <w:rFonts w:hint="eastAsia" w:cs="Times New Roman"/>
                      <w:color w:val="auto"/>
                      <w:kern w:val="0"/>
                      <w:szCs w:val="20"/>
                    </w:rPr>
                    <w:t>（1）</w:t>
                  </w:r>
                  <w:r>
                    <w:rPr>
                      <w:rFonts w:cs="Times New Roman"/>
                      <w:color w:val="auto"/>
                      <w:kern w:val="0"/>
                      <w:szCs w:val="20"/>
                    </w:rPr>
                    <w:t>本项目为光伏发电项目，占地以茶园为主，光伏组件最低端离地超2.5m，不影响茶树生长且不改变土地利用性质。项目环评及水土保持方案制定了一系列针对性环保与水土保持措施，落实后对区域生态环境和生态系统影响较小。项目评价范围不涉及生态保护红线、云南灵宝山国家级森林公园、无量山国家级自然保护区等环境敏感区，也不涉及垦殖、放牧、采伐、取水、渔猎等活动。</w:t>
                  </w:r>
                </w:p>
                <w:p w14:paraId="32E310DA">
                  <w:pPr>
                    <w:pStyle w:val="65"/>
                    <w:jc w:val="both"/>
                    <w:rPr>
                      <w:rFonts w:cs="Times New Roman"/>
                      <w:color w:val="auto"/>
                      <w:kern w:val="0"/>
                      <w:szCs w:val="20"/>
                    </w:rPr>
                  </w:pPr>
                  <w:r>
                    <w:rPr>
                      <w:rFonts w:hint="eastAsia" w:cs="Times New Roman"/>
                      <w:color w:val="auto"/>
                      <w:kern w:val="0"/>
                      <w:szCs w:val="20"/>
                    </w:rPr>
                    <w:t>（2）根据《</w:t>
                  </w:r>
                  <w:r>
                    <w:rPr>
                      <w:rFonts w:cs="Times New Roman"/>
                      <w:color w:val="auto"/>
                      <w:kern w:val="0"/>
                      <w:szCs w:val="20"/>
                    </w:rPr>
                    <w:fldChar w:fldCharType="begin"/>
                  </w:r>
                  <w:r>
                    <w:rPr>
                      <w:rFonts w:cs="Times New Roman"/>
                      <w:color w:val="auto"/>
                      <w:kern w:val="0"/>
                      <w:szCs w:val="20"/>
                    </w:rPr>
                    <w:instrText xml:space="preserve"> </w:instrText>
                  </w:r>
                  <w:r>
                    <w:rPr>
                      <w:rFonts w:hint="eastAsia" w:cs="Times New Roman"/>
                      <w:color w:val="auto"/>
                      <w:kern w:val="0"/>
                      <w:szCs w:val="20"/>
                    </w:rPr>
                    <w:instrText xml:space="preserve">REF _Ref218625276 \h</w:instrText>
                  </w:r>
                  <w:r>
                    <w:rPr>
                      <w:rFonts w:cs="Times New Roman"/>
                      <w:color w:val="auto"/>
                      <w:kern w:val="0"/>
                      <w:szCs w:val="20"/>
                    </w:rPr>
                    <w:instrText xml:space="preserve"> </w:instrText>
                  </w:r>
                  <w:r>
                    <w:rPr>
                      <w:rFonts w:cs="Times New Roman"/>
                      <w:color w:val="auto"/>
                      <w:kern w:val="0"/>
                      <w:szCs w:val="20"/>
                    </w:rPr>
                    <w:fldChar w:fldCharType="separate"/>
                  </w:r>
                  <w:r>
                    <w:rPr>
                      <w:rFonts w:hint="eastAsia" w:cs="Times New Roman"/>
                      <w:color w:val="auto"/>
                      <w:kern w:val="0"/>
                      <w:szCs w:val="20"/>
                    </w:rPr>
                    <w:t>南涧彝族自治县林业和草原局关于沙乐光伏发电项目选址意见</w:t>
                  </w:r>
                  <w:r>
                    <w:rPr>
                      <w:rFonts w:cs="Times New Roman"/>
                      <w:color w:val="auto"/>
                      <w:kern w:val="0"/>
                      <w:szCs w:val="20"/>
                    </w:rPr>
                    <w:fldChar w:fldCharType="end"/>
                  </w:r>
                  <w:r>
                    <w:rPr>
                      <w:rFonts w:hint="eastAsia" w:cs="Times New Roman"/>
                      <w:color w:val="auto"/>
                      <w:kern w:val="0"/>
                      <w:szCs w:val="20"/>
                    </w:rPr>
                    <w:t>》：“该项目建设不涉及占用湿地、各级自然保护区及其他类型自然保护地，世界自然遗产地，野生动物重要栖息地，珍稀濒危和极小种群野生植物重要原生境和天然林保护重点区域。”本次项目占地范围不涉及湿地、云南省公益林、国家公益林以及天然林。</w:t>
                  </w:r>
                </w:p>
              </w:tc>
            </w:tr>
          </w:tbl>
          <w:p w14:paraId="40620EFD">
            <w:pPr>
              <w:ind w:firstLine="480"/>
              <w:rPr>
                <w:color w:val="auto"/>
                <w:szCs w:val="21"/>
              </w:rPr>
            </w:pPr>
            <w:r>
              <w:rPr>
                <w:color w:val="auto"/>
                <w:szCs w:val="21"/>
              </w:rPr>
              <w:t>综上所述，本项目</w:t>
            </w:r>
            <w:r>
              <w:rPr>
                <w:rFonts w:hint="eastAsia"/>
                <w:color w:val="auto"/>
                <w:szCs w:val="21"/>
              </w:rPr>
              <w:t>符合《大理州生态环境分区管控动态更新调整方案（2023年）》的相关要求。</w:t>
            </w:r>
          </w:p>
          <w:p w14:paraId="0CE5DD93">
            <w:pPr>
              <w:pStyle w:val="3"/>
              <w:spacing w:before="72" w:after="72"/>
              <w:rPr>
                <w:color w:val="auto"/>
              </w:rPr>
            </w:pPr>
            <w:bookmarkStart w:id="215" w:name="_Toc160730853"/>
            <w:bookmarkStart w:id="216" w:name="_Toc158491236"/>
            <w:bookmarkStart w:id="217" w:name="_Toc32163"/>
            <w:bookmarkStart w:id="218" w:name="_Toc160473777"/>
            <w:bookmarkStart w:id="219" w:name="_Toc177072381"/>
            <w:bookmarkStart w:id="220" w:name="_Toc161415531"/>
            <w:bookmarkStart w:id="221" w:name="_Toc136794167"/>
            <w:bookmarkStart w:id="222" w:name="_Toc112424236"/>
            <w:bookmarkStart w:id="223" w:name="_Toc136794292"/>
            <w:bookmarkStart w:id="224" w:name="_Toc23410"/>
            <w:bookmarkStart w:id="225" w:name="_Toc112173896"/>
            <w:bookmarkStart w:id="226" w:name="_Toc156137811"/>
            <w:bookmarkStart w:id="227" w:name="_Toc112165601"/>
            <w:bookmarkStart w:id="228" w:name="_Toc156144125"/>
            <w:bookmarkStart w:id="229" w:name="_Toc159349004"/>
            <w:bookmarkStart w:id="230" w:name="_Ref195816211"/>
            <w:bookmarkStart w:id="231" w:name="_Ref195816224"/>
            <w:bookmarkStart w:id="232" w:name="_Toc181293515"/>
            <w:bookmarkStart w:id="233" w:name="_Toc181732793"/>
            <w:bookmarkStart w:id="234" w:name="_Toc181738200"/>
            <w:bookmarkStart w:id="235" w:name="_Toc177072809"/>
            <w:bookmarkStart w:id="236" w:name="_Toc177488193"/>
            <w:bookmarkStart w:id="237" w:name="_Toc177482881"/>
            <w:r>
              <w:rPr>
                <w:color w:val="auto"/>
              </w:rPr>
              <w:t>与云南省主体功能区划的符合性分析</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697205D3">
            <w:pPr>
              <w:ind w:firstLine="480"/>
              <w:rPr>
                <w:color w:val="auto"/>
                <w:szCs w:val="21"/>
              </w:rPr>
            </w:pPr>
            <w:r>
              <w:rPr>
                <w:color w:val="auto"/>
                <w:szCs w:val="21"/>
              </w:rPr>
              <w:t>2014年1月6日云南省人民政府发布了《云南省人民政府关于印发云南省主体功能区规划的通知》（云政发〔2014〕1号），云南省主体功能区划是根据不同区域的资源环境承载力、现有开发密度和未来发展潜力，划分主体功能区，逐步形成人口、经济、资源环境相协调的空间开发布局，云南省国土空间按开发方式分为重点开发区域、限制开发区域和禁止开发区域3类主体功能区。</w:t>
            </w:r>
          </w:p>
          <w:p w14:paraId="56565D0C">
            <w:pPr>
              <w:ind w:firstLine="480"/>
              <w:rPr>
                <w:color w:val="auto"/>
                <w:szCs w:val="21"/>
              </w:rPr>
            </w:pPr>
            <w:bookmarkStart w:id="238" w:name="OLE_LINK1"/>
            <w:r>
              <w:rPr>
                <w:color w:val="auto"/>
                <w:szCs w:val="21"/>
              </w:rPr>
              <w:t>项目位于</w:t>
            </w:r>
            <w:r>
              <w:rPr>
                <w:rFonts w:hint="eastAsia"/>
                <w:color w:val="auto"/>
                <w:szCs w:val="21"/>
              </w:rPr>
              <w:t>大理州南涧县公郎乡</w:t>
            </w:r>
            <w:r>
              <w:rPr>
                <w:color w:val="auto"/>
                <w:szCs w:val="21"/>
              </w:rPr>
              <w:t>，属于《云南省主体功能区规划》（云政发</w:t>
            </w:r>
            <w:r>
              <w:rPr>
                <w:rFonts w:hint="eastAsia" w:ascii="宋体" w:hAnsi="宋体"/>
                <w:color w:val="auto"/>
                <w:szCs w:val="21"/>
              </w:rPr>
              <w:t>〔</w:t>
            </w:r>
            <w:r>
              <w:rPr>
                <w:color w:val="auto"/>
                <w:szCs w:val="21"/>
              </w:rPr>
              <w:t>2014</w:t>
            </w:r>
            <w:r>
              <w:rPr>
                <w:rFonts w:hint="eastAsia" w:ascii="宋体" w:hAnsi="宋体"/>
                <w:color w:val="auto"/>
                <w:szCs w:val="21"/>
              </w:rPr>
              <w:t>〕</w:t>
            </w:r>
            <w:r>
              <w:rPr>
                <w:color w:val="auto"/>
                <w:szCs w:val="21"/>
              </w:rPr>
              <w:t>1号）中的</w:t>
            </w:r>
            <w:bookmarkStart w:id="239" w:name="OLE_LINK21"/>
            <w:r>
              <w:rPr>
                <w:rFonts w:hint="eastAsia"/>
                <w:color w:val="auto"/>
                <w:szCs w:val="21"/>
              </w:rPr>
              <w:t>省级重点生态功能区</w:t>
            </w:r>
            <w:bookmarkEnd w:id="239"/>
            <w:r>
              <w:rPr>
                <w:color w:val="auto"/>
                <w:szCs w:val="21"/>
              </w:rPr>
              <w:t>。</w:t>
            </w:r>
            <w:bookmarkEnd w:id="238"/>
            <w:r>
              <w:rPr>
                <w:rFonts w:hint="eastAsia"/>
                <w:color w:val="auto"/>
                <w:szCs w:val="21"/>
              </w:rPr>
              <w:t>本项目所在区域的云南省级重点生态功能区为哀牢山无量山森林及生物多样性生态功能区，该区域的发展方向为：禁止对野生动植物进行滥捕滥采保持并恢复野生动植物物种和种群的平衡，实现野生动植物资源的有效保护和永续利用。加强防御外来物种入侵的能力，在重点地区和重点水域建设外来物种监控中心和监控点，防止外来有害物种对生态系统的侵害。保护自然生态系统与重要物种栖息地防止生态建设导致栖息环境的改变。在重要流域及湖泊，加强水域生态环境保护建设，开展水域生态修复，根据各种水生野生动物濒危程度和生物学特点，加大渔业资源人工增殖放流力度，设立禁渔区和禁渔期，对其产卵群体和补充群体实行重点保护</w:t>
            </w:r>
            <w:r>
              <w:rPr>
                <w:color w:val="auto"/>
                <w:szCs w:val="21"/>
              </w:rPr>
              <w:t>。</w:t>
            </w:r>
          </w:p>
          <w:p w14:paraId="4A3C76B1">
            <w:pPr>
              <w:ind w:firstLine="480"/>
              <w:rPr>
                <w:color w:val="auto"/>
                <w:szCs w:val="21"/>
              </w:rPr>
            </w:pPr>
            <w:r>
              <w:rPr>
                <w:rFonts w:hint="eastAsia"/>
                <w:color w:val="auto"/>
                <w:szCs w:val="21"/>
              </w:rPr>
              <w:t>本项目与《云南省主体功能区规划》的符合性见下表。</w:t>
            </w:r>
          </w:p>
          <w:p w14:paraId="0CA23C45">
            <w:pPr>
              <w:pStyle w:val="63"/>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1.3</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rFonts w:hint="eastAsia"/>
                <w:color w:val="auto"/>
              </w:rPr>
              <w:t xml:space="preserve"> 项目与《云南省主体功能区规划》的符合性分析</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704"/>
              <w:gridCol w:w="3662"/>
              <w:gridCol w:w="848"/>
            </w:tblGrid>
            <w:tr w14:paraId="4894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34" w:type="pct"/>
                  <w:gridSpan w:val="2"/>
                  <w:vAlign w:val="center"/>
                </w:tcPr>
                <w:p w14:paraId="46EEDFFC">
                  <w:pPr>
                    <w:pStyle w:val="167"/>
                    <w:rPr>
                      <w:rFonts w:hint="eastAsia"/>
                      <w:b/>
                      <w:bCs/>
                      <w:color w:val="auto"/>
                      <w:sz w:val="21"/>
                      <w:szCs w:val="21"/>
                    </w:rPr>
                  </w:pPr>
                  <w:r>
                    <w:rPr>
                      <w:b/>
                      <w:bCs/>
                      <w:color w:val="auto"/>
                      <w:sz w:val="21"/>
                      <w:szCs w:val="21"/>
                    </w:rPr>
                    <w:t>区划要求</w:t>
                  </w:r>
                </w:p>
              </w:tc>
              <w:tc>
                <w:tcPr>
                  <w:tcW w:w="2652" w:type="pct"/>
                  <w:vAlign w:val="center"/>
                </w:tcPr>
                <w:p w14:paraId="551393DF">
                  <w:pPr>
                    <w:pStyle w:val="167"/>
                    <w:rPr>
                      <w:rFonts w:hint="eastAsia"/>
                      <w:b/>
                      <w:bCs/>
                      <w:color w:val="auto"/>
                      <w:sz w:val="21"/>
                      <w:szCs w:val="21"/>
                    </w:rPr>
                  </w:pPr>
                  <w:r>
                    <w:rPr>
                      <w:b/>
                      <w:bCs/>
                      <w:color w:val="auto"/>
                      <w:sz w:val="21"/>
                      <w:szCs w:val="21"/>
                    </w:rPr>
                    <w:t>本项目情况</w:t>
                  </w:r>
                </w:p>
              </w:tc>
              <w:tc>
                <w:tcPr>
                  <w:tcW w:w="614" w:type="pct"/>
                  <w:vAlign w:val="center"/>
                </w:tcPr>
                <w:p w14:paraId="6B1CBD3B">
                  <w:pPr>
                    <w:widowControl/>
                    <w:spacing w:line="240" w:lineRule="auto"/>
                    <w:ind w:firstLine="0" w:firstLineChars="0"/>
                    <w:jc w:val="center"/>
                    <w:rPr>
                      <w:rFonts w:cs="Times New Roman"/>
                      <w:color w:val="auto"/>
                      <w:kern w:val="0"/>
                      <w:szCs w:val="20"/>
                    </w:rPr>
                  </w:pPr>
                  <w:r>
                    <w:rPr>
                      <w:rFonts w:cs="Times New Roman"/>
                      <w:b/>
                      <w:bCs/>
                      <w:color w:val="auto"/>
                      <w:kern w:val="0"/>
                      <w:sz w:val="21"/>
                      <w:szCs w:val="21"/>
                    </w:rPr>
                    <w:t>符合性</w:t>
                  </w:r>
                </w:p>
              </w:tc>
            </w:tr>
            <w:tr w14:paraId="0592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vAlign w:val="center"/>
                </w:tcPr>
                <w:p w14:paraId="03AD63D3">
                  <w:pPr>
                    <w:pStyle w:val="167"/>
                    <w:rPr>
                      <w:rFonts w:hint="eastAsia"/>
                      <w:color w:val="auto"/>
                      <w:sz w:val="21"/>
                      <w:szCs w:val="21"/>
                    </w:rPr>
                  </w:pPr>
                  <w:r>
                    <w:rPr>
                      <w:rFonts w:hint="eastAsia"/>
                      <w:color w:val="auto"/>
                      <w:sz w:val="21"/>
                      <w:szCs w:val="21"/>
                    </w:rPr>
                    <w:t>综合评价</w:t>
                  </w:r>
                </w:p>
              </w:tc>
              <w:tc>
                <w:tcPr>
                  <w:tcW w:w="1233" w:type="pct"/>
                  <w:vAlign w:val="center"/>
                </w:tcPr>
                <w:p w14:paraId="2DDB55A4">
                  <w:pPr>
                    <w:pStyle w:val="167"/>
                    <w:jc w:val="both"/>
                    <w:rPr>
                      <w:rFonts w:hint="eastAsia"/>
                      <w:color w:val="auto"/>
                      <w:sz w:val="21"/>
                      <w:szCs w:val="21"/>
                    </w:rPr>
                  </w:pPr>
                  <w:r>
                    <w:rPr>
                      <w:rFonts w:hint="eastAsia"/>
                      <w:color w:val="auto"/>
                      <w:sz w:val="21"/>
                      <w:szCs w:val="21"/>
                    </w:rPr>
                    <w:t>原始森林和动植物物种丰富，目前生态系统的多样性受到较大威胁，生物多样性逐渐减少，珍稀野生动植物资源总量下降。</w:t>
                  </w:r>
                </w:p>
              </w:tc>
              <w:tc>
                <w:tcPr>
                  <w:tcW w:w="2652" w:type="pct"/>
                  <w:vAlign w:val="center"/>
                </w:tcPr>
                <w:p w14:paraId="52715310">
                  <w:pPr>
                    <w:pStyle w:val="167"/>
                    <w:jc w:val="both"/>
                    <w:rPr>
                      <w:rFonts w:hint="eastAsia"/>
                      <w:color w:val="auto"/>
                      <w:sz w:val="21"/>
                      <w:szCs w:val="21"/>
                    </w:rPr>
                  </w:pPr>
                  <w:r>
                    <w:rPr>
                      <w:rFonts w:hint="eastAsia"/>
                      <w:color w:val="auto"/>
                      <w:sz w:val="21"/>
                      <w:szCs w:val="21"/>
                    </w:rPr>
                    <w:t>通过实地踏勘，发现本项目主要占用植被类型为人工植被茶园，未占用当地原生性较好的植被。项目建设对各植被类型的占用面积小，且不占用无量山森林公园保护区范围，占地避让了植被较好的区域，永久占地区植物在评价区分布很广，加上受影响的个体均很少，没有一个物种种群结构会因此受到显著的影响，更不会绝灭，临时占地造成的植被损失在工程结束后，随着各种环境保护和绿化的实施，可得到恢复，工程建设不会损害重要物种及其栖息地和生境。</w:t>
                  </w:r>
                </w:p>
              </w:tc>
              <w:tc>
                <w:tcPr>
                  <w:tcW w:w="614" w:type="pct"/>
                  <w:vAlign w:val="center"/>
                </w:tcPr>
                <w:p w14:paraId="608C6886">
                  <w:pPr>
                    <w:pStyle w:val="167"/>
                    <w:rPr>
                      <w:rFonts w:hint="eastAsia"/>
                      <w:color w:val="auto"/>
                      <w:sz w:val="21"/>
                      <w:szCs w:val="21"/>
                    </w:rPr>
                  </w:pPr>
                  <w:r>
                    <w:rPr>
                      <w:color w:val="auto"/>
                      <w:sz w:val="21"/>
                      <w:szCs w:val="21"/>
                    </w:rPr>
                    <w:t>不冲突</w:t>
                  </w:r>
                </w:p>
              </w:tc>
            </w:tr>
            <w:tr w14:paraId="1ABA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vAlign w:val="center"/>
                </w:tcPr>
                <w:p w14:paraId="6A53C842">
                  <w:pPr>
                    <w:pStyle w:val="167"/>
                    <w:rPr>
                      <w:rFonts w:hint="eastAsia"/>
                      <w:color w:val="auto"/>
                      <w:sz w:val="21"/>
                      <w:szCs w:val="21"/>
                    </w:rPr>
                  </w:pPr>
                  <w:r>
                    <w:rPr>
                      <w:color w:val="auto"/>
                      <w:sz w:val="21"/>
                      <w:szCs w:val="21"/>
                    </w:rPr>
                    <w:t>发展方向</w:t>
                  </w:r>
                </w:p>
              </w:tc>
              <w:tc>
                <w:tcPr>
                  <w:tcW w:w="1233" w:type="pct"/>
                  <w:vAlign w:val="center"/>
                </w:tcPr>
                <w:p w14:paraId="2B3689EF">
                  <w:pPr>
                    <w:pStyle w:val="167"/>
                    <w:jc w:val="both"/>
                    <w:rPr>
                      <w:rFonts w:hint="eastAsia"/>
                      <w:color w:val="auto"/>
                      <w:sz w:val="21"/>
                      <w:szCs w:val="21"/>
                    </w:rPr>
                  </w:pPr>
                  <w:r>
                    <w:rPr>
                      <w:rFonts w:hint="eastAsia"/>
                      <w:color w:val="auto"/>
                      <w:sz w:val="21"/>
                      <w:szCs w:val="21"/>
                    </w:rPr>
                    <w:t>禁止非保护性采伐，涵养水源，保护动植物生物多样性。</w:t>
                  </w:r>
                </w:p>
              </w:tc>
              <w:tc>
                <w:tcPr>
                  <w:tcW w:w="2652" w:type="pct"/>
                  <w:vAlign w:val="center"/>
                </w:tcPr>
                <w:p w14:paraId="66565643">
                  <w:pPr>
                    <w:pStyle w:val="167"/>
                    <w:jc w:val="both"/>
                    <w:rPr>
                      <w:rFonts w:hint="eastAsia"/>
                      <w:color w:val="auto"/>
                      <w:sz w:val="21"/>
                      <w:szCs w:val="21"/>
                      <w:highlight w:val="yellow"/>
                    </w:rPr>
                  </w:pPr>
                  <w:r>
                    <w:rPr>
                      <w:rFonts w:hint="eastAsia"/>
                      <w:color w:val="auto"/>
                      <w:sz w:val="21"/>
                      <w:szCs w:val="21"/>
                    </w:rPr>
                    <w:t>本项目为光伏发电项目，项目</w:t>
                  </w:r>
                  <w:r>
                    <w:rPr>
                      <w:color w:val="auto"/>
                      <w:sz w:val="21"/>
                      <w:szCs w:val="21"/>
                    </w:rPr>
                    <w:t>光伏板的设置可以减少太阳对地表的暴晒，减少水分蒸发量，减慢地表风化进程，减少水土流失，且光伏板下种植植物，植物可防风固沙</w:t>
                  </w:r>
                  <w:r>
                    <w:rPr>
                      <w:rFonts w:hint="eastAsia"/>
                      <w:color w:val="auto"/>
                      <w:sz w:val="21"/>
                      <w:szCs w:val="21"/>
                    </w:rPr>
                    <w:t>，不会对动植物的多样性产生不利影响</w:t>
                  </w:r>
                  <w:r>
                    <w:rPr>
                      <w:color w:val="auto"/>
                      <w:sz w:val="21"/>
                      <w:szCs w:val="21"/>
                    </w:rPr>
                    <w:t>。</w:t>
                  </w:r>
                </w:p>
              </w:tc>
              <w:tc>
                <w:tcPr>
                  <w:tcW w:w="614" w:type="pct"/>
                  <w:vAlign w:val="center"/>
                </w:tcPr>
                <w:p w14:paraId="19382A46">
                  <w:pPr>
                    <w:pStyle w:val="167"/>
                    <w:rPr>
                      <w:rFonts w:hint="eastAsia"/>
                      <w:color w:val="auto"/>
                      <w:sz w:val="21"/>
                      <w:szCs w:val="21"/>
                    </w:rPr>
                  </w:pPr>
                  <w:r>
                    <w:rPr>
                      <w:color w:val="auto"/>
                      <w:sz w:val="21"/>
                      <w:szCs w:val="21"/>
                    </w:rPr>
                    <w:t>不冲突</w:t>
                  </w:r>
                </w:p>
              </w:tc>
            </w:tr>
          </w:tbl>
          <w:p w14:paraId="002A0530">
            <w:pPr>
              <w:ind w:firstLine="480"/>
              <w:rPr>
                <w:color w:val="auto"/>
                <w:szCs w:val="21"/>
              </w:rPr>
            </w:pPr>
            <w:r>
              <w:rPr>
                <w:rFonts w:hint="eastAsia"/>
                <w:color w:val="auto"/>
                <w:szCs w:val="21"/>
              </w:rPr>
              <w:t>综上所述，项目与《云南省主体功能区规划》的要求不冲突，项目建设后，不影响主体功能定位。</w:t>
            </w:r>
          </w:p>
          <w:p w14:paraId="3214594E">
            <w:pPr>
              <w:pStyle w:val="3"/>
              <w:spacing w:before="72" w:after="72"/>
              <w:rPr>
                <w:color w:val="auto"/>
              </w:rPr>
            </w:pPr>
            <w:r>
              <w:rPr>
                <w:rFonts w:hint="eastAsia"/>
                <w:color w:val="auto"/>
              </w:rPr>
              <w:t>生态功能区划和生物多样性符合性分析</w:t>
            </w:r>
          </w:p>
          <w:p w14:paraId="6715AC65">
            <w:pPr>
              <w:pStyle w:val="4"/>
              <w:spacing w:before="48" w:after="48"/>
              <w:rPr>
                <w:color w:val="auto"/>
                <w:sz w:val="21"/>
                <w:szCs w:val="21"/>
              </w:rPr>
            </w:pPr>
            <w:bookmarkStart w:id="240" w:name="_Toc136794293"/>
            <w:bookmarkStart w:id="241" w:name="_Toc158491237"/>
            <w:bookmarkStart w:id="242" w:name="_Toc177072382"/>
            <w:bookmarkStart w:id="243" w:name="_Toc136794168"/>
            <w:bookmarkStart w:id="244" w:name="_Toc112424237"/>
            <w:bookmarkStart w:id="245" w:name="_Toc159349005"/>
            <w:bookmarkStart w:id="246" w:name="_Toc112173897"/>
            <w:bookmarkStart w:id="247" w:name="_Toc156144126"/>
            <w:bookmarkStart w:id="248" w:name="_Toc112165602"/>
            <w:bookmarkStart w:id="249" w:name="_Toc11608"/>
            <w:bookmarkStart w:id="250" w:name="_Toc13588"/>
            <w:bookmarkStart w:id="251" w:name="_Toc160473778"/>
            <w:bookmarkStart w:id="252" w:name="_Toc160730854"/>
            <w:bookmarkStart w:id="253" w:name="_Toc161415532"/>
            <w:bookmarkStart w:id="254" w:name="_Toc156137812"/>
            <w:bookmarkStart w:id="255" w:name="_Toc177072810"/>
            <w:bookmarkStart w:id="256" w:name="_Toc181732794"/>
            <w:bookmarkStart w:id="257" w:name="_Toc181293516"/>
            <w:bookmarkStart w:id="258" w:name="_Toc177482882"/>
            <w:bookmarkStart w:id="259" w:name="_Toc181738201"/>
            <w:bookmarkStart w:id="260" w:name="_Toc177488194"/>
            <w:r>
              <w:rPr>
                <w:color w:val="auto"/>
              </w:rPr>
              <w:t>与云南省生态功能区划的相符性分</w:t>
            </w:r>
            <w:r>
              <w:rPr>
                <w:color w:val="auto"/>
                <w:sz w:val="21"/>
                <w:szCs w:val="21"/>
              </w:rPr>
              <w:t>析</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583941B">
            <w:pPr>
              <w:ind w:firstLine="480"/>
              <w:rPr>
                <w:color w:val="auto"/>
                <w:szCs w:val="21"/>
              </w:rPr>
            </w:pPr>
            <w:r>
              <w:rPr>
                <w:color w:val="auto"/>
                <w:szCs w:val="21"/>
              </w:rPr>
              <w:t>根据《云南省生态功能区划》，项目所在区域属于</w:t>
            </w:r>
            <w:r>
              <w:rPr>
                <w:rFonts w:hint="eastAsia"/>
                <w:color w:val="auto"/>
                <w:szCs w:val="21"/>
              </w:rPr>
              <w:t>漾濞江中山河谷林业与水土保持生态功能区（</w:t>
            </w:r>
            <w:r>
              <w:rPr>
                <w:rFonts w:cs="Times New Roman"/>
                <w:color w:val="auto"/>
                <w:szCs w:val="21"/>
              </w:rPr>
              <w:t>Ⅲ</w:t>
            </w:r>
            <w:r>
              <w:rPr>
                <w:rFonts w:hint="eastAsia"/>
                <w:color w:val="auto"/>
                <w:szCs w:val="21"/>
              </w:rPr>
              <w:t>7-4），</w:t>
            </w:r>
            <w:r>
              <w:rPr>
                <w:color w:val="auto"/>
                <w:szCs w:val="21"/>
              </w:rPr>
              <w:t>所在区域包括</w:t>
            </w:r>
            <w:r>
              <w:rPr>
                <w:rFonts w:hint="eastAsia"/>
                <w:color w:val="auto"/>
                <w:szCs w:val="21"/>
              </w:rPr>
              <w:t>漾濞县大部分地区，永平、巍山、昌宁、凤庆县部分地区，云县、景东县小部分地区，面积6221.11平方公里；该区以中山峡谷地貌为主，年降雨量在河谷地区900-1000毫米，山地1500毫米左右。植被主要是大面积的云南松林，点苍山西坡山地垂直带植被分布明显；土壤以红壤和紫色土为主；主要生态环境问题为土地利用不当带来的水土流失；主要生态系统服务功能为漾濞江中山峡谷地区的水土保持；保护措施与发展方向为保护山地垂直植被带，加大封山育林的强度，大力发展公益林、适当发展商品林，提高区域的水源涵养能力。</w:t>
            </w:r>
          </w:p>
          <w:p w14:paraId="63D5A9DF">
            <w:pPr>
              <w:ind w:firstLine="480"/>
              <w:rPr>
                <w:color w:val="auto"/>
              </w:rPr>
            </w:pPr>
            <w:r>
              <w:rPr>
                <w:rFonts w:hint="eastAsia"/>
                <w:color w:val="auto"/>
              </w:rPr>
              <w:t>本项目与《云南省生态功能区划》的符合性见下表。</w:t>
            </w:r>
          </w:p>
          <w:p w14:paraId="16E2B697">
            <w:pPr>
              <w:pStyle w:val="63"/>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项目与《云南省生态功能区划》的符合性分析</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992"/>
              <w:gridCol w:w="2965"/>
              <w:gridCol w:w="836"/>
            </w:tblGrid>
            <w:tr w14:paraId="00C6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961" w:type="dxa"/>
                  <w:gridSpan w:val="2"/>
                  <w:vAlign w:val="center"/>
                </w:tcPr>
                <w:p w14:paraId="12838BE3">
                  <w:pPr>
                    <w:pStyle w:val="65"/>
                    <w:rPr>
                      <w:rFonts w:cs="Times New Roman"/>
                      <w:b/>
                      <w:bCs/>
                      <w:color w:val="auto"/>
                      <w:kern w:val="0"/>
                      <w:szCs w:val="21"/>
                    </w:rPr>
                  </w:pPr>
                  <w:r>
                    <w:rPr>
                      <w:rFonts w:hint="eastAsia" w:cs="Times New Roman"/>
                      <w:b/>
                      <w:bCs/>
                      <w:color w:val="auto"/>
                      <w:kern w:val="0"/>
                      <w:szCs w:val="21"/>
                    </w:rPr>
                    <w:t>区划保护措施与发展方向</w:t>
                  </w:r>
                </w:p>
              </w:tc>
              <w:tc>
                <w:tcPr>
                  <w:tcW w:w="2965" w:type="dxa"/>
                  <w:vAlign w:val="center"/>
                </w:tcPr>
                <w:p w14:paraId="5B9A2C73">
                  <w:pPr>
                    <w:pStyle w:val="65"/>
                    <w:rPr>
                      <w:rFonts w:cs="Times New Roman"/>
                      <w:b/>
                      <w:bCs/>
                      <w:color w:val="auto"/>
                      <w:kern w:val="0"/>
                      <w:szCs w:val="21"/>
                    </w:rPr>
                  </w:pPr>
                  <w:r>
                    <w:rPr>
                      <w:rFonts w:hint="eastAsia" w:cs="Times New Roman"/>
                      <w:b/>
                      <w:bCs/>
                      <w:color w:val="auto"/>
                      <w:kern w:val="0"/>
                      <w:szCs w:val="21"/>
                    </w:rPr>
                    <w:t>本项目情况</w:t>
                  </w:r>
                </w:p>
              </w:tc>
              <w:tc>
                <w:tcPr>
                  <w:tcW w:w="836" w:type="dxa"/>
                  <w:vAlign w:val="center"/>
                </w:tcPr>
                <w:p w14:paraId="44A81F54">
                  <w:pPr>
                    <w:pStyle w:val="65"/>
                    <w:rPr>
                      <w:rFonts w:cs="Times New Roman"/>
                      <w:b/>
                      <w:bCs/>
                      <w:color w:val="auto"/>
                      <w:kern w:val="0"/>
                      <w:szCs w:val="21"/>
                    </w:rPr>
                  </w:pPr>
                  <w:r>
                    <w:rPr>
                      <w:rFonts w:hint="eastAsia" w:cs="Times New Roman"/>
                      <w:b/>
                      <w:bCs/>
                      <w:color w:val="auto"/>
                      <w:kern w:val="0"/>
                      <w:szCs w:val="21"/>
                    </w:rPr>
                    <w:t>符合性</w:t>
                  </w:r>
                </w:p>
              </w:tc>
            </w:tr>
            <w:tr w14:paraId="618D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9" w:type="dxa"/>
                  <w:vAlign w:val="center"/>
                </w:tcPr>
                <w:p w14:paraId="6203B9EB">
                  <w:pPr>
                    <w:pStyle w:val="65"/>
                    <w:rPr>
                      <w:rFonts w:cs="Times New Roman"/>
                      <w:color w:val="auto"/>
                      <w:kern w:val="0"/>
                      <w:szCs w:val="21"/>
                    </w:rPr>
                  </w:pPr>
                  <w:r>
                    <w:rPr>
                      <w:rFonts w:hint="eastAsia" w:cs="Times New Roman"/>
                      <w:color w:val="auto"/>
                      <w:kern w:val="0"/>
                      <w:szCs w:val="21"/>
                    </w:rPr>
                    <w:t>生态系统服务功能</w:t>
                  </w:r>
                </w:p>
              </w:tc>
              <w:tc>
                <w:tcPr>
                  <w:tcW w:w="1992" w:type="dxa"/>
                  <w:vAlign w:val="center"/>
                </w:tcPr>
                <w:p w14:paraId="440058CB">
                  <w:pPr>
                    <w:pStyle w:val="65"/>
                    <w:jc w:val="both"/>
                    <w:rPr>
                      <w:rFonts w:cs="Times New Roman"/>
                      <w:color w:val="auto"/>
                      <w:kern w:val="0"/>
                      <w:szCs w:val="21"/>
                    </w:rPr>
                  </w:pPr>
                  <w:r>
                    <w:rPr>
                      <w:rFonts w:hint="eastAsia" w:cs="Times New Roman"/>
                      <w:color w:val="auto"/>
                      <w:kern w:val="0"/>
                      <w:szCs w:val="21"/>
                    </w:rPr>
                    <w:t>保护山地垂直植被带，加大封山育林的强度，大力发展公益林、适当发展商品林，提高区域的水源涵养能力。</w:t>
                  </w:r>
                </w:p>
              </w:tc>
              <w:tc>
                <w:tcPr>
                  <w:tcW w:w="2965" w:type="dxa"/>
                  <w:vAlign w:val="center"/>
                </w:tcPr>
                <w:p w14:paraId="5C5B42AE">
                  <w:pPr>
                    <w:pStyle w:val="65"/>
                    <w:jc w:val="both"/>
                    <w:rPr>
                      <w:rFonts w:cs="Times New Roman"/>
                      <w:color w:val="auto"/>
                      <w:kern w:val="0"/>
                      <w:szCs w:val="21"/>
                    </w:rPr>
                  </w:pPr>
                  <w:r>
                    <w:rPr>
                      <w:rFonts w:hint="eastAsia" w:cs="Times New Roman"/>
                      <w:color w:val="auto"/>
                      <w:kern w:val="0"/>
                      <w:szCs w:val="21"/>
                    </w:rPr>
                    <w:t>本项目为光伏发电项目，用地主要为园地和交通运输用地，项目用地不涉及天然林地。光伏板的设置可以减少太阳对地表的暴晒，减少水分蒸发量，减慢地表风化进程，减少水土流失，且光伏板下种植植物，植物可防风固沙，有助于提高区域的水源涵养能力。</w:t>
                  </w:r>
                </w:p>
              </w:tc>
              <w:tc>
                <w:tcPr>
                  <w:tcW w:w="836" w:type="dxa"/>
                  <w:vAlign w:val="center"/>
                </w:tcPr>
                <w:p w14:paraId="3419EC5F">
                  <w:pPr>
                    <w:pStyle w:val="65"/>
                    <w:rPr>
                      <w:rFonts w:cs="Times New Roman"/>
                      <w:color w:val="auto"/>
                      <w:kern w:val="0"/>
                      <w:szCs w:val="21"/>
                    </w:rPr>
                  </w:pPr>
                  <w:r>
                    <w:rPr>
                      <w:rFonts w:hint="eastAsia" w:cs="Times New Roman"/>
                      <w:color w:val="auto"/>
                      <w:kern w:val="0"/>
                      <w:szCs w:val="21"/>
                    </w:rPr>
                    <w:t>不冲突</w:t>
                  </w:r>
                </w:p>
              </w:tc>
            </w:tr>
            <w:tr w14:paraId="2B8A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9" w:type="dxa"/>
                  <w:vAlign w:val="center"/>
                </w:tcPr>
                <w:p w14:paraId="16F9ED52">
                  <w:pPr>
                    <w:pStyle w:val="65"/>
                    <w:rPr>
                      <w:rFonts w:cs="Times New Roman"/>
                      <w:color w:val="auto"/>
                      <w:kern w:val="0"/>
                      <w:szCs w:val="21"/>
                    </w:rPr>
                  </w:pPr>
                  <w:r>
                    <w:rPr>
                      <w:rFonts w:hint="eastAsia" w:cs="Times New Roman"/>
                      <w:color w:val="auto"/>
                      <w:kern w:val="0"/>
                      <w:szCs w:val="21"/>
                    </w:rPr>
                    <w:t>保护措施与发展方向</w:t>
                  </w:r>
                </w:p>
              </w:tc>
              <w:tc>
                <w:tcPr>
                  <w:tcW w:w="1992" w:type="dxa"/>
                  <w:vAlign w:val="center"/>
                </w:tcPr>
                <w:p w14:paraId="0D122541">
                  <w:pPr>
                    <w:pStyle w:val="65"/>
                    <w:jc w:val="both"/>
                    <w:rPr>
                      <w:rFonts w:cs="Times New Roman"/>
                      <w:color w:val="auto"/>
                      <w:kern w:val="0"/>
                      <w:szCs w:val="21"/>
                    </w:rPr>
                  </w:pPr>
                  <w:r>
                    <w:rPr>
                      <w:rFonts w:hint="eastAsia" w:cs="Times New Roman"/>
                      <w:color w:val="auto"/>
                      <w:kern w:val="0"/>
                      <w:szCs w:val="21"/>
                    </w:rPr>
                    <w:t>（1）加强速生丰产林区的管理、合理采伐，实现采育平衡，协调木材生产与生态功能保护的关系。</w:t>
                  </w:r>
                </w:p>
                <w:p w14:paraId="0C2BE683">
                  <w:pPr>
                    <w:pStyle w:val="65"/>
                    <w:jc w:val="both"/>
                    <w:rPr>
                      <w:rFonts w:cs="Times New Roman"/>
                      <w:color w:val="auto"/>
                      <w:kern w:val="0"/>
                      <w:szCs w:val="21"/>
                    </w:rPr>
                  </w:pPr>
                  <w:r>
                    <w:rPr>
                      <w:rFonts w:hint="eastAsia" w:cs="Times New Roman"/>
                      <w:color w:val="auto"/>
                      <w:kern w:val="0"/>
                      <w:szCs w:val="21"/>
                    </w:rPr>
                    <w:t>（2）改善农村能源结构，减少对林地的压力。</w:t>
                  </w:r>
                </w:p>
                <w:p w14:paraId="0B36F667">
                  <w:pPr>
                    <w:pStyle w:val="65"/>
                    <w:jc w:val="both"/>
                    <w:rPr>
                      <w:rFonts w:cs="Times New Roman"/>
                      <w:color w:val="auto"/>
                      <w:kern w:val="0"/>
                      <w:szCs w:val="21"/>
                    </w:rPr>
                  </w:pPr>
                  <w:r>
                    <w:rPr>
                      <w:rFonts w:hint="eastAsia" w:cs="Times New Roman"/>
                      <w:color w:val="auto"/>
                      <w:kern w:val="0"/>
                      <w:szCs w:val="21"/>
                    </w:rPr>
                    <w:t>（3）提高森林的数量和质量，防止水土流失。</w:t>
                  </w:r>
                </w:p>
              </w:tc>
              <w:tc>
                <w:tcPr>
                  <w:tcW w:w="2965" w:type="dxa"/>
                  <w:vAlign w:val="center"/>
                </w:tcPr>
                <w:p w14:paraId="5697737B">
                  <w:pPr>
                    <w:pStyle w:val="65"/>
                    <w:jc w:val="both"/>
                    <w:rPr>
                      <w:rFonts w:cs="Times New Roman"/>
                      <w:color w:val="auto"/>
                      <w:kern w:val="0"/>
                      <w:szCs w:val="21"/>
                    </w:rPr>
                  </w:pPr>
                  <w:r>
                    <w:rPr>
                      <w:rFonts w:hint="eastAsia" w:cs="Times New Roman"/>
                      <w:color w:val="auto"/>
                      <w:kern w:val="0"/>
                      <w:szCs w:val="21"/>
                    </w:rPr>
                    <w:t>（1）本项目为光伏开发项目，不进行采伐；项目板区用地主要为园地，不涉及丰产林区。</w:t>
                  </w:r>
                </w:p>
                <w:p w14:paraId="0B361A04">
                  <w:pPr>
                    <w:pStyle w:val="65"/>
                    <w:jc w:val="both"/>
                    <w:rPr>
                      <w:rFonts w:cs="Times New Roman"/>
                      <w:color w:val="auto"/>
                      <w:kern w:val="0"/>
                      <w:szCs w:val="21"/>
                    </w:rPr>
                  </w:pPr>
                  <w:r>
                    <w:rPr>
                      <w:rFonts w:hint="eastAsia" w:cs="Times New Roman"/>
                      <w:color w:val="auto"/>
                      <w:kern w:val="0"/>
                      <w:szCs w:val="21"/>
                    </w:rPr>
                    <w:t>（2）本项目属于清洁能源开发项目，项目建设有助于改善农村能源结构，减少对林地的压力。</w:t>
                  </w:r>
                </w:p>
                <w:p w14:paraId="3590C73F">
                  <w:pPr>
                    <w:pStyle w:val="65"/>
                    <w:jc w:val="both"/>
                    <w:rPr>
                      <w:rFonts w:cs="Times New Roman"/>
                      <w:color w:val="auto"/>
                      <w:kern w:val="0"/>
                      <w:szCs w:val="21"/>
                    </w:rPr>
                  </w:pPr>
                  <w:r>
                    <w:rPr>
                      <w:rFonts w:hint="eastAsia" w:cs="Times New Roman"/>
                      <w:color w:val="auto"/>
                      <w:kern w:val="0"/>
                      <w:szCs w:val="21"/>
                    </w:rPr>
                    <w:t>（3）项目建设过程中做好水环境保护措施及水土保持措施，对项目区的水土流失影响可控。</w:t>
                  </w:r>
                </w:p>
              </w:tc>
              <w:tc>
                <w:tcPr>
                  <w:tcW w:w="836" w:type="dxa"/>
                  <w:vAlign w:val="center"/>
                </w:tcPr>
                <w:p w14:paraId="0E3893C8">
                  <w:pPr>
                    <w:pStyle w:val="65"/>
                    <w:rPr>
                      <w:rFonts w:cs="Times New Roman"/>
                      <w:color w:val="auto"/>
                      <w:kern w:val="0"/>
                      <w:szCs w:val="21"/>
                    </w:rPr>
                  </w:pPr>
                  <w:r>
                    <w:rPr>
                      <w:rFonts w:hint="eastAsia" w:cs="Times New Roman"/>
                      <w:color w:val="auto"/>
                      <w:kern w:val="0"/>
                      <w:szCs w:val="21"/>
                    </w:rPr>
                    <w:t>不冲突</w:t>
                  </w:r>
                </w:p>
              </w:tc>
            </w:tr>
          </w:tbl>
          <w:p w14:paraId="6B6BACC1">
            <w:pPr>
              <w:ind w:firstLine="480"/>
              <w:rPr>
                <w:color w:val="auto"/>
                <w:szCs w:val="21"/>
              </w:rPr>
            </w:pPr>
            <w:r>
              <w:rPr>
                <w:rFonts w:hint="eastAsia"/>
                <w:color w:val="auto"/>
                <w:szCs w:val="21"/>
              </w:rPr>
              <w:t>综上所述，本项目建设与《云南省生态功能区划》的要求不冲突</w:t>
            </w:r>
            <w:r>
              <w:rPr>
                <w:color w:val="auto"/>
                <w:szCs w:val="21"/>
              </w:rPr>
              <w:t>。</w:t>
            </w:r>
          </w:p>
          <w:p w14:paraId="1CCF52F7">
            <w:pPr>
              <w:pStyle w:val="4"/>
              <w:spacing w:before="48" w:after="48"/>
              <w:rPr>
                <w:color w:val="auto"/>
              </w:rPr>
            </w:pPr>
            <w:r>
              <w:rPr>
                <w:rFonts w:hint="eastAsia"/>
                <w:color w:val="auto"/>
              </w:rPr>
              <w:t>与《云南省生物多样性保护战略与行动计划（2024-2030年）》符合性分析</w:t>
            </w:r>
          </w:p>
          <w:p w14:paraId="58AE821B">
            <w:pPr>
              <w:ind w:firstLine="480"/>
              <w:rPr>
                <w:color w:val="auto"/>
              </w:rPr>
            </w:pPr>
            <w:r>
              <w:rPr>
                <w:rFonts w:hint="eastAsia"/>
                <w:color w:val="auto"/>
              </w:rPr>
              <w:t>在《云南省生物多样性保护战略与行动计划（2012-2030年）》实施成效评估基础上，云南省生态环境厅会同相关部门更新编制了《云南省生物多样性保护战略与行动计划（2024-2030年）》，明确全省新时期生物多样性保护战略定位、战略目标、战略任务、优先领域和优先行动，为各部门各地区推进生物多样性保护提供指引。</w:t>
            </w:r>
          </w:p>
          <w:p w14:paraId="39C21E60">
            <w:pPr>
              <w:ind w:firstLine="480"/>
              <w:rPr>
                <w:color w:val="auto"/>
              </w:rPr>
            </w:pPr>
            <w:r>
              <w:rPr>
                <w:rFonts w:hint="eastAsia"/>
                <w:color w:val="auto"/>
              </w:rPr>
              <w:t>本项目位于南涧彝族自治县公郎镇，叠图分析本项目不涉及云南省生物多样性保护优先区（详见</w:t>
            </w:r>
            <w:r>
              <w:rPr>
                <w:color w:val="auto"/>
              </w:rPr>
              <w:fldChar w:fldCharType="begin"/>
            </w:r>
            <w:r>
              <w:rPr>
                <w:color w:val="auto"/>
              </w:rPr>
              <w:instrText xml:space="preserve"> </w:instrText>
            </w:r>
            <w:r>
              <w:rPr>
                <w:rFonts w:hint="eastAsia"/>
                <w:color w:val="auto"/>
              </w:rPr>
              <w:instrText xml:space="preserve">REF _Ref176198287 \h</w:instrText>
            </w:r>
            <w:r>
              <w:rPr>
                <w:color w:val="auto"/>
              </w:rPr>
              <w:instrText xml:space="preserve">  \* MERGEFORMAT </w:instrText>
            </w:r>
            <w:r>
              <w:rPr>
                <w:color w:val="auto"/>
              </w:rPr>
              <w:fldChar w:fldCharType="separate"/>
            </w:r>
            <w:r>
              <w:rPr>
                <w:rFonts w:hint="eastAsia"/>
                <w:color w:val="auto"/>
                <w:szCs w:val="24"/>
              </w:rPr>
              <w:t xml:space="preserve">附图 </w:t>
            </w:r>
            <w:r>
              <w:rPr>
                <w:color w:val="auto"/>
                <w:szCs w:val="24"/>
              </w:rPr>
              <w:t>13</w:t>
            </w:r>
            <w:r>
              <w:rPr>
                <w:color w:val="auto"/>
              </w:rPr>
              <w:fldChar w:fldCharType="end"/>
            </w:r>
            <w:r>
              <w:rPr>
                <w:rFonts w:hint="eastAsia"/>
                <w:color w:val="auto"/>
              </w:rPr>
              <w:t>）。项目选址及建设与《云南省生物多样性保护战略与行动计划（2024-2030年）》统筹生物多样性保护与经济社会发展，保护优先、科学利用的指导思想和基本原则是一致的。</w:t>
            </w:r>
          </w:p>
          <w:p w14:paraId="6714172C">
            <w:pPr>
              <w:ind w:firstLine="480"/>
              <w:rPr>
                <w:color w:val="auto"/>
              </w:rPr>
            </w:pPr>
            <w:r>
              <w:rPr>
                <w:rFonts w:hint="eastAsia"/>
                <w:color w:val="auto"/>
              </w:rPr>
              <w:t>因此，项目与《云南省生物多样性保护战略与行动计划（2024-2030年）》相协调。</w:t>
            </w:r>
          </w:p>
          <w:p w14:paraId="08C9EC12">
            <w:pPr>
              <w:pStyle w:val="4"/>
              <w:spacing w:before="48" w:after="48"/>
              <w:rPr>
                <w:color w:val="auto"/>
              </w:rPr>
            </w:pPr>
            <w:r>
              <w:rPr>
                <w:rFonts w:hint="eastAsia"/>
                <w:color w:val="auto"/>
              </w:rPr>
              <w:t>与《云南省生物多样性保护条例》符合性分析</w:t>
            </w:r>
          </w:p>
          <w:p w14:paraId="45723665">
            <w:pPr>
              <w:ind w:firstLine="480"/>
              <w:rPr>
                <w:color w:val="auto"/>
              </w:rPr>
            </w:pPr>
            <w:r>
              <w:rPr>
                <w:rFonts w:hint="eastAsia"/>
                <w:color w:val="auto"/>
              </w:rPr>
              <w:t>《云南省生物多样性保护条例》于2018年9月21日云南省第十三届人民代表大会常务委员会第五次会议通过，自2019年1月1日起施行。</w:t>
            </w:r>
          </w:p>
          <w:p w14:paraId="499DA1F3">
            <w:pPr>
              <w:spacing w:line="336" w:lineRule="auto"/>
              <w:ind w:firstLine="480"/>
              <w:textAlignment w:val="baseline"/>
              <w:rPr>
                <w:color w:val="auto"/>
              </w:rPr>
            </w:pPr>
            <w:r>
              <w:rPr>
                <w:rFonts w:hint="eastAsia"/>
                <w:color w:val="auto"/>
              </w:rPr>
              <w:t>《云南省生物多样性保护条例》第二十九条规定：“新建、改建、扩建建设项目以及开发自然资源，应当依法开展环境影响评价。对可能造成重要生态系统破坏、损害重要物种及其栖息地和生境的，应当制定专项保护、恢复和补偿方案，纳入环境影响评价。</w:t>
            </w:r>
          </w:p>
          <w:p w14:paraId="3F5AB846">
            <w:pPr>
              <w:spacing w:line="336" w:lineRule="auto"/>
              <w:ind w:firstLine="480"/>
              <w:textAlignment w:val="baseline"/>
              <w:rPr>
                <w:color w:val="auto"/>
              </w:rPr>
            </w:pPr>
            <w:r>
              <w:rPr>
                <w:rFonts w:hint="eastAsia"/>
                <w:color w:val="auto"/>
              </w:rPr>
              <w:t>在生物多样性保护优先区域的建设项目以及自然资源开发，应当评价对生物多样性的影响，并作为环境影响评价的重要组成部分。</w:t>
            </w:r>
            <w:r>
              <w:rPr>
                <w:rFonts w:hint="eastAsia"/>
                <w:color w:val="auto"/>
                <w:szCs w:val="21"/>
              </w:rPr>
              <w:t>本项目位于大理州南涧县公郎镇，本项目选址不涉及云南省生物多样性优先保护区域，详见</w:t>
            </w:r>
            <w:r>
              <w:rPr>
                <w:color w:val="auto"/>
                <w:szCs w:val="21"/>
              </w:rPr>
              <w:fldChar w:fldCharType="begin"/>
            </w:r>
            <w:r>
              <w:rPr>
                <w:color w:val="auto"/>
                <w:szCs w:val="21"/>
              </w:rPr>
              <w:instrText xml:space="preserve"> </w:instrText>
            </w:r>
            <w:r>
              <w:rPr>
                <w:rFonts w:hint="eastAsia"/>
                <w:color w:val="auto"/>
                <w:szCs w:val="21"/>
              </w:rPr>
              <w:instrText xml:space="preserve">REF _Ref176198287 \h</w:instrText>
            </w:r>
            <w:r>
              <w:rPr>
                <w:color w:val="auto"/>
                <w:szCs w:val="21"/>
              </w:rPr>
              <w:instrText xml:space="preserve">  \* MERGEFORMAT </w:instrText>
            </w:r>
            <w:r>
              <w:rPr>
                <w:color w:val="auto"/>
                <w:szCs w:val="21"/>
              </w:rPr>
              <w:fldChar w:fldCharType="separate"/>
            </w:r>
            <w:r>
              <w:rPr>
                <w:rFonts w:hint="eastAsia"/>
                <w:color w:val="auto"/>
                <w:szCs w:val="24"/>
              </w:rPr>
              <w:t xml:space="preserve">附图 </w:t>
            </w:r>
            <w:r>
              <w:rPr>
                <w:color w:val="auto"/>
                <w:szCs w:val="24"/>
              </w:rPr>
              <w:t>13</w:t>
            </w:r>
            <w:r>
              <w:rPr>
                <w:color w:val="auto"/>
                <w:szCs w:val="21"/>
              </w:rPr>
              <w:fldChar w:fldCharType="end"/>
            </w:r>
            <w:r>
              <w:rPr>
                <w:rFonts w:hint="eastAsia"/>
                <w:color w:val="auto"/>
              </w:rPr>
              <w:t>。</w:t>
            </w:r>
          </w:p>
          <w:p w14:paraId="165C3CD5">
            <w:pPr>
              <w:ind w:firstLine="480"/>
              <w:rPr>
                <w:color w:val="auto"/>
              </w:rPr>
            </w:pPr>
            <w:r>
              <w:rPr>
                <w:rFonts w:hint="eastAsia"/>
                <w:color w:val="auto"/>
              </w:rPr>
              <w:t>因此，项</w:t>
            </w:r>
            <w:r>
              <w:rPr>
                <w:color w:val="auto"/>
              </w:rPr>
              <w:t>目</w:t>
            </w:r>
            <w:r>
              <w:rPr>
                <w:rFonts w:hint="eastAsia"/>
                <w:color w:val="auto"/>
              </w:rPr>
              <w:t>建设符合《云南省生物多样性保护条例》的要求。</w:t>
            </w:r>
          </w:p>
          <w:p w14:paraId="51BBC4CC">
            <w:pPr>
              <w:pStyle w:val="4"/>
              <w:spacing w:before="48" w:after="48"/>
              <w:rPr>
                <w:color w:val="auto"/>
              </w:rPr>
            </w:pPr>
            <w:r>
              <w:rPr>
                <w:rFonts w:hint="eastAsia"/>
                <w:color w:val="auto"/>
              </w:rPr>
              <w:t>与《</w:t>
            </w:r>
            <w:r>
              <w:rPr>
                <w:color w:val="auto"/>
              </w:rPr>
              <w:t>大理州“十四五”生态环境保护规划</w:t>
            </w:r>
            <w:r>
              <w:rPr>
                <w:rFonts w:hint="eastAsia"/>
                <w:color w:val="auto"/>
              </w:rPr>
              <w:t>》符合性分析</w:t>
            </w:r>
          </w:p>
          <w:p w14:paraId="2B79AE90">
            <w:pPr>
              <w:ind w:firstLine="480"/>
              <w:rPr>
                <w:rFonts w:cs="Times New Roman"/>
                <w:color w:val="auto"/>
                <w:szCs w:val="21"/>
              </w:rPr>
            </w:pPr>
            <w:r>
              <w:rPr>
                <w:rFonts w:cs="Times New Roman"/>
                <w:color w:val="auto"/>
                <w:szCs w:val="21"/>
              </w:rPr>
              <w:t>根据《大理州“十四五”生态环境保护规划》（2022年8月22日），锚定二〇三五年远景目标，以美丽大理建设目标为统领，补短板、树典型、创模式、推机制，推动实现生态环境保护各项</w:t>
            </w:r>
            <w:r>
              <w:rPr>
                <w:rFonts w:hint="eastAsia" w:cs="Times New Roman"/>
                <w:color w:val="auto"/>
                <w:szCs w:val="21"/>
              </w:rPr>
              <w:t>目</w:t>
            </w:r>
            <w:r>
              <w:rPr>
                <w:rFonts w:cs="Times New Roman"/>
                <w:color w:val="auto"/>
                <w:szCs w:val="21"/>
              </w:rPr>
              <w:t>标：</w:t>
            </w:r>
          </w:p>
          <w:p w14:paraId="762A85BA">
            <w:pPr>
              <w:ind w:firstLine="480"/>
              <w:rPr>
                <w:rFonts w:cs="Times New Roman"/>
                <w:color w:val="auto"/>
                <w:szCs w:val="21"/>
              </w:rPr>
            </w:pPr>
            <w:r>
              <w:rPr>
                <w:rFonts w:hint="eastAsia" w:ascii="Cambria Math" w:hAnsi="Cambria Math" w:cs="Cambria Math"/>
                <w:color w:val="auto"/>
                <w:szCs w:val="21"/>
              </w:rPr>
              <w:t>①</w:t>
            </w:r>
            <w:r>
              <w:rPr>
                <w:rFonts w:cs="Times New Roman"/>
                <w:color w:val="auto"/>
                <w:szCs w:val="21"/>
              </w:rPr>
              <w:t>绿色低碳发展水平进一步提升。工业、建筑、交通、公 共机构等重点领域节能降碳取得明显成效，重点行业单位能耗、物耗及污染物排放达到省内先进水平，资源利用效率大幅提高，碳排放强度进一步降低，低碳试点示范取得显著进展，绿色低碳的生产生活方式加快形成。</w:t>
            </w:r>
          </w:p>
          <w:p w14:paraId="58593258">
            <w:pPr>
              <w:ind w:firstLine="480"/>
              <w:rPr>
                <w:rFonts w:cs="Times New Roman"/>
                <w:color w:val="auto"/>
                <w:szCs w:val="21"/>
              </w:rPr>
            </w:pPr>
            <w:r>
              <w:rPr>
                <w:rFonts w:hint="eastAsia" w:ascii="Cambria Math" w:hAnsi="Cambria Math" w:cs="Cambria Math"/>
                <w:color w:val="auto"/>
                <w:szCs w:val="21"/>
              </w:rPr>
              <w:t>②</w:t>
            </w:r>
            <w:r>
              <w:rPr>
                <w:rFonts w:cs="Times New Roman"/>
                <w:color w:val="auto"/>
                <w:szCs w:val="21"/>
              </w:rPr>
              <w:t>生态环境质量持续改善。完成国家下达的主要污染物排放总量控制指标。水生态环境质量得到全面提升，饮用水源得到有效保护，优良水体断面比例明显上升，水生态保护修复取得成效，基本消除劣Ⅴ类水体和城市黑臭水体。环境空气质量稳居全省前列，城市环境空气质量稳定达标。土壤和地下水环境质量总体保持稳定，安全利用水平巩固提升。农村生态环境明显改善。</w:t>
            </w:r>
          </w:p>
          <w:p w14:paraId="70ED4AE2">
            <w:pPr>
              <w:ind w:firstLine="480"/>
              <w:rPr>
                <w:rFonts w:cs="Times New Roman"/>
                <w:color w:val="auto"/>
                <w:szCs w:val="21"/>
              </w:rPr>
            </w:pPr>
            <w:r>
              <w:rPr>
                <w:rFonts w:hint="eastAsia" w:ascii="Cambria Math" w:hAnsi="Cambria Math" w:cs="Cambria Math"/>
                <w:color w:val="auto"/>
                <w:szCs w:val="21"/>
              </w:rPr>
              <w:t>③</w:t>
            </w:r>
            <w:r>
              <w:rPr>
                <w:rFonts w:cs="Times New Roman"/>
                <w:color w:val="auto"/>
                <w:szCs w:val="21"/>
              </w:rPr>
              <w:t>洱海生态环境保护取得新进展。洱海水质稳中向好，流域生态环境质量明显改善，国控断面水质达到Ⅱ类，主要入湖河流水质优良率稳步提升，水资源保障总体稳定，流域生态系统健康修复全面加强，“美丽河湖”基本建成，实现“水清、河畅、岸绿、景美”，大理洱海保护绿色发展示范区建设成效显著，全力建设“绿水青山就是金山银山”的全国示范样板。</w:t>
            </w:r>
          </w:p>
          <w:p w14:paraId="5A5EB60A">
            <w:pPr>
              <w:ind w:firstLine="480"/>
              <w:rPr>
                <w:rFonts w:cs="Times New Roman"/>
                <w:color w:val="auto"/>
                <w:szCs w:val="21"/>
              </w:rPr>
            </w:pPr>
            <w:r>
              <w:rPr>
                <w:rFonts w:hint="eastAsia" w:ascii="Cambria Math" w:hAnsi="Cambria Math" w:cs="Cambria Math"/>
                <w:color w:val="auto"/>
                <w:szCs w:val="21"/>
              </w:rPr>
              <w:t>④</w:t>
            </w:r>
            <w:r>
              <w:rPr>
                <w:rFonts w:cs="Times New Roman"/>
                <w:color w:val="auto"/>
                <w:szCs w:val="21"/>
              </w:rPr>
              <w:t>生态安全不断夯实。自然生态监管制度进一步健全，生物多样性保护水平巩固提升，典型生态系统和重要物种得到有效保护，生态系统质量和稳定性进一步提升，生态安全屏障更加巩固。</w:t>
            </w:r>
          </w:p>
          <w:p w14:paraId="7E7A73DF">
            <w:pPr>
              <w:ind w:firstLine="480"/>
              <w:rPr>
                <w:rFonts w:cs="Times New Roman"/>
                <w:color w:val="auto"/>
                <w:szCs w:val="21"/>
              </w:rPr>
            </w:pPr>
            <w:r>
              <w:rPr>
                <w:rFonts w:hint="eastAsia" w:ascii="Cambria Math" w:hAnsi="Cambria Math" w:cs="Cambria Math"/>
                <w:color w:val="auto"/>
                <w:szCs w:val="21"/>
              </w:rPr>
              <w:t>⑤</w:t>
            </w:r>
            <w:r>
              <w:rPr>
                <w:rFonts w:cs="Times New Roman"/>
                <w:color w:val="auto"/>
                <w:szCs w:val="21"/>
              </w:rPr>
              <w:t>生态环境风险有效防范。涉危、涉重和医疗废物环境风险防控能力明显增强，核与辐射监管能力持续加强，核安全和公众健康得到有效保障。</w:t>
            </w:r>
          </w:p>
          <w:p w14:paraId="3ABC34D6">
            <w:pPr>
              <w:ind w:firstLine="480"/>
              <w:rPr>
                <w:rFonts w:cs="Times New Roman"/>
                <w:color w:val="auto"/>
                <w:szCs w:val="21"/>
              </w:rPr>
            </w:pPr>
            <w:r>
              <w:rPr>
                <w:rFonts w:hint="eastAsia" w:ascii="Cambria Math" w:hAnsi="Cambria Math" w:cs="Cambria Math"/>
                <w:color w:val="auto"/>
                <w:szCs w:val="21"/>
              </w:rPr>
              <w:t>⑥</w:t>
            </w:r>
            <w:r>
              <w:rPr>
                <w:rFonts w:cs="Times New Roman"/>
                <w:color w:val="auto"/>
                <w:szCs w:val="21"/>
              </w:rPr>
              <w:t>生态环境治理体系和治理能力现代化取得重大进展。生态环境治理能力突出短板加快补齐，生态文明示范和“两山”基地创建取得新突破，生态环境监管能力全面提升，全面建成现代生态环境监测网络，生态环境治理效能得到新提升。</w:t>
            </w:r>
          </w:p>
          <w:p w14:paraId="6143D546">
            <w:pPr>
              <w:ind w:firstLine="480"/>
              <w:rPr>
                <w:rFonts w:cs="Times New Roman"/>
                <w:color w:val="auto"/>
                <w:szCs w:val="21"/>
              </w:rPr>
            </w:pPr>
            <w:r>
              <w:rPr>
                <w:rFonts w:cs="Times New Roman"/>
                <w:color w:val="auto"/>
                <w:szCs w:val="21"/>
              </w:rPr>
              <w:t>本项目为光伏发电项目，运行期废水和固体废物能得到有效处置，在严格执行涉及规范基础上，采取本报告提出的环保措施后，各项污染因子能够达标排放，不会增加周边大气、地表水、固体废物环境容量。</w:t>
            </w:r>
          </w:p>
          <w:p w14:paraId="0259CEFA">
            <w:pPr>
              <w:ind w:firstLine="480"/>
              <w:rPr>
                <w:rFonts w:cs="Times New Roman"/>
                <w:color w:val="auto"/>
                <w:szCs w:val="21"/>
              </w:rPr>
            </w:pPr>
            <w:r>
              <w:rPr>
                <w:rFonts w:cs="Times New Roman"/>
                <w:color w:val="auto"/>
                <w:szCs w:val="21"/>
              </w:rPr>
              <w:t>因此，本项目的建设符合《大理州“十四五”生态环境保护规划》相关要求。</w:t>
            </w:r>
          </w:p>
          <w:p w14:paraId="4A65F98D">
            <w:pPr>
              <w:pStyle w:val="4"/>
              <w:spacing w:before="48" w:after="48"/>
              <w:rPr>
                <w:color w:val="auto"/>
              </w:rPr>
            </w:pPr>
            <w:r>
              <w:rPr>
                <w:rFonts w:hint="eastAsia"/>
                <w:color w:val="auto"/>
              </w:rPr>
              <w:t>与《南涧县“十四五”生态环境保护规划》符合性分析</w:t>
            </w:r>
          </w:p>
          <w:p w14:paraId="452380EC">
            <w:pPr>
              <w:ind w:firstLine="480"/>
              <w:rPr>
                <w:color w:val="auto"/>
              </w:rPr>
            </w:pPr>
            <w:r>
              <w:rPr>
                <w:rFonts w:hint="eastAsia"/>
                <w:color w:val="auto"/>
              </w:rPr>
              <w:t>项目与《南涧县“十四五”生态环境保护规划》的符合性分析见下表。</w:t>
            </w:r>
          </w:p>
          <w:p w14:paraId="7E15C163">
            <w:pPr>
              <w:pStyle w:val="63"/>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1.4</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rPr>
              <w:t xml:space="preserve"> </w:t>
            </w:r>
            <w:r>
              <w:rPr>
                <w:rFonts w:hint="eastAsia"/>
                <w:color w:val="auto"/>
              </w:rPr>
              <w:t xml:space="preserve"> 项目与《南涧县“十四五”生态环境保护规划》（节选）的符合性分析</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747"/>
              <w:gridCol w:w="3313"/>
              <w:gridCol w:w="1602"/>
              <w:gridCol w:w="516"/>
            </w:tblGrid>
            <w:tr w14:paraId="235F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466" w:type="pct"/>
                  <w:gridSpan w:val="3"/>
                  <w:vAlign w:val="center"/>
                </w:tcPr>
                <w:p w14:paraId="23A8E322">
                  <w:pPr>
                    <w:pStyle w:val="65"/>
                    <w:rPr>
                      <w:rFonts w:cs="Times New Roman"/>
                      <w:b/>
                      <w:bCs/>
                      <w:color w:val="auto"/>
                      <w:kern w:val="0"/>
                      <w:szCs w:val="20"/>
                    </w:rPr>
                  </w:pPr>
                  <w:r>
                    <w:rPr>
                      <w:rFonts w:hint="eastAsia" w:cs="Times New Roman"/>
                      <w:b/>
                      <w:bCs/>
                      <w:color w:val="auto"/>
                      <w:kern w:val="0"/>
                      <w:szCs w:val="20"/>
                    </w:rPr>
                    <w:t>规划内容</w:t>
                  </w:r>
                </w:p>
              </w:tc>
              <w:tc>
                <w:tcPr>
                  <w:tcW w:w="1160" w:type="pct"/>
                  <w:vAlign w:val="center"/>
                </w:tcPr>
                <w:p w14:paraId="211E660C">
                  <w:pPr>
                    <w:pStyle w:val="65"/>
                    <w:rPr>
                      <w:rFonts w:cs="Times New Roman"/>
                      <w:b/>
                      <w:bCs/>
                      <w:color w:val="auto"/>
                      <w:kern w:val="0"/>
                      <w:szCs w:val="20"/>
                    </w:rPr>
                  </w:pPr>
                  <w:r>
                    <w:rPr>
                      <w:rFonts w:cs="Times New Roman"/>
                      <w:b/>
                      <w:bCs/>
                      <w:color w:val="auto"/>
                      <w:kern w:val="0"/>
                      <w:szCs w:val="20"/>
                    </w:rPr>
                    <w:t>本项目情况</w:t>
                  </w:r>
                </w:p>
              </w:tc>
              <w:tc>
                <w:tcPr>
                  <w:tcW w:w="374" w:type="pct"/>
                  <w:vAlign w:val="center"/>
                </w:tcPr>
                <w:p w14:paraId="263D93E8">
                  <w:pPr>
                    <w:pStyle w:val="65"/>
                    <w:rPr>
                      <w:rFonts w:cs="Times New Roman"/>
                      <w:b/>
                      <w:bCs/>
                      <w:color w:val="auto"/>
                      <w:kern w:val="0"/>
                      <w:szCs w:val="20"/>
                    </w:rPr>
                  </w:pPr>
                  <w:r>
                    <w:rPr>
                      <w:rFonts w:cs="Times New Roman"/>
                      <w:b/>
                      <w:bCs/>
                      <w:color w:val="auto"/>
                      <w:kern w:val="0"/>
                      <w:szCs w:val="20"/>
                    </w:rPr>
                    <w:t>符合性</w:t>
                  </w:r>
                </w:p>
              </w:tc>
            </w:tr>
            <w:tr w14:paraId="6CBA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restart"/>
                  <w:vAlign w:val="center"/>
                </w:tcPr>
                <w:p w14:paraId="32D1690B">
                  <w:pPr>
                    <w:pStyle w:val="65"/>
                    <w:rPr>
                      <w:rFonts w:cs="Times New Roman"/>
                      <w:color w:val="auto"/>
                      <w:kern w:val="0"/>
                      <w:szCs w:val="20"/>
                    </w:rPr>
                  </w:pPr>
                  <w:r>
                    <w:rPr>
                      <w:rFonts w:hint="eastAsia" w:cs="Times New Roman"/>
                      <w:color w:val="auto"/>
                      <w:kern w:val="0"/>
                      <w:szCs w:val="20"/>
                    </w:rPr>
                    <w:t>第三章 坚持创新引领，强力推动绿色低碳发展</w:t>
                  </w:r>
                </w:p>
              </w:tc>
              <w:tc>
                <w:tcPr>
                  <w:tcW w:w="541" w:type="pct"/>
                  <w:vMerge w:val="restart"/>
                  <w:vAlign w:val="center"/>
                </w:tcPr>
                <w:p w14:paraId="26B79135">
                  <w:pPr>
                    <w:pStyle w:val="65"/>
                    <w:rPr>
                      <w:rFonts w:cs="Times New Roman"/>
                      <w:color w:val="auto"/>
                      <w:kern w:val="0"/>
                      <w:szCs w:val="20"/>
                    </w:rPr>
                  </w:pPr>
                  <w:r>
                    <w:rPr>
                      <w:rFonts w:hint="eastAsia" w:cs="Times New Roman"/>
                      <w:color w:val="auto"/>
                      <w:kern w:val="0"/>
                      <w:szCs w:val="20"/>
                    </w:rPr>
                    <w:t>第一节 优化生态环境空间管控</w:t>
                  </w:r>
                </w:p>
              </w:tc>
              <w:tc>
                <w:tcPr>
                  <w:tcW w:w="2398" w:type="pct"/>
                  <w:vAlign w:val="center"/>
                </w:tcPr>
                <w:p w14:paraId="6B4A594C">
                  <w:pPr>
                    <w:pStyle w:val="65"/>
                    <w:jc w:val="left"/>
                    <w:rPr>
                      <w:rFonts w:cs="Times New Roman"/>
                      <w:color w:val="auto"/>
                      <w:kern w:val="0"/>
                      <w:szCs w:val="20"/>
                    </w:rPr>
                  </w:pPr>
                  <w:r>
                    <w:rPr>
                      <w:rFonts w:hint="eastAsia" w:cs="Times New Roman"/>
                      <w:bCs/>
                      <w:color w:val="auto"/>
                      <w:kern w:val="0"/>
                      <w:szCs w:val="20"/>
                    </w:rPr>
                    <w:t>构建国土空间开发保护新格局。</w:t>
                  </w:r>
                  <w:r>
                    <w:rPr>
                      <w:rFonts w:hint="eastAsia" w:cs="Times New Roman"/>
                      <w:color w:val="auto"/>
                      <w:kern w:val="0"/>
                      <w:szCs w:val="20"/>
                    </w:rPr>
                    <w:t>以国土空间规划为基础，严格落实生态保护红线、永久基本农田保护红线和城镇开发边界，减少对自然生态空间的占用，推动生产空间集约高效、生活空间宜居适度、生态空间山清水秀。加强城市化地区基本农田和生态空间保护，保障生态环保型工业产品和服务，强化城市规划区中未开发区生态环境管理。持续推进生态功能区、生态脆弱区生态保护和修复，支持重要生态功能区、生态敏感区、生态脆弱区开展生态移民。持续开展大规模国土绿化行动，推进城市、重点区域和重点流域绿道廊道建设。</w:t>
                  </w:r>
                </w:p>
              </w:tc>
              <w:tc>
                <w:tcPr>
                  <w:tcW w:w="1160" w:type="pct"/>
                  <w:vAlign w:val="center"/>
                </w:tcPr>
                <w:p w14:paraId="1E50978C">
                  <w:pPr>
                    <w:pStyle w:val="65"/>
                    <w:jc w:val="left"/>
                    <w:rPr>
                      <w:rFonts w:cs="Times New Roman"/>
                      <w:color w:val="auto"/>
                      <w:kern w:val="0"/>
                      <w:szCs w:val="20"/>
                    </w:rPr>
                  </w:pPr>
                  <w:r>
                    <w:rPr>
                      <w:rFonts w:hint="eastAsia" w:cs="Times New Roman"/>
                      <w:color w:val="auto"/>
                      <w:kern w:val="0"/>
                      <w:szCs w:val="20"/>
                    </w:rPr>
                    <w:t>根据《</w:t>
                  </w:r>
                  <w:r>
                    <w:rPr>
                      <w:rFonts w:cs="Times New Roman"/>
                      <w:color w:val="auto"/>
                      <w:kern w:val="0"/>
                      <w:szCs w:val="20"/>
                    </w:rPr>
                    <w:fldChar w:fldCharType="begin"/>
                  </w:r>
                  <w:r>
                    <w:rPr>
                      <w:rFonts w:cs="Times New Roman"/>
                      <w:color w:val="auto"/>
                      <w:kern w:val="0"/>
                      <w:szCs w:val="20"/>
                    </w:rPr>
                    <w:instrText xml:space="preserve"> </w:instrText>
                  </w:r>
                  <w:r>
                    <w:rPr>
                      <w:rFonts w:hint="eastAsia" w:cs="Times New Roman"/>
                      <w:color w:val="auto"/>
                      <w:kern w:val="0"/>
                      <w:szCs w:val="20"/>
                    </w:rPr>
                    <w:instrText xml:space="preserve">REF _Ref218539235 \h</w:instrText>
                  </w:r>
                  <w:r>
                    <w:rPr>
                      <w:rFonts w:cs="Times New Roman"/>
                      <w:color w:val="auto"/>
                      <w:kern w:val="0"/>
                      <w:szCs w:val="20"/>
                    </w:rPr>
                    <w:instrText xml:space="preserve">  \* MERGEFORMAT </w:instrText>
                  </w:r>
                  <w:r>
                    <w:rPr>
                      <w:rFonts w:cs="Times New Roman"/>
                      <w:color w:val="auto"/>
                      <w:kern w:val="0"/>
                      <w:szCs w:val="20"/>
                    </w:rPr>
                    <w:fldChar w:fldCharType="separate"/>
                  </w:r>
                  <w:r>
                    <w:rPr>
                      <w:rFonts w:hint="eastAsia" w:cs="Times New Roman"/>
                      <w:color w:val="auto"/>
                      <w:kern w:val="0"/>
                      <w:szCs w:val="28"/>
                    </w:rPr>
                    <w:t>南涧彝族自治县自然资源局关于沙乐光伏发电项目用地审查意见</w:t>
                  </w:r>
                  <w:r>
                    <w:rPr>
                      <w:rFonts w:cs="Times New Roman"/>
                      <w:color w:val="auto"/>
                      <w:kern w:val="0"/>
                      <w:szCs w:val="20"/>
                    </w:rPr>
                    <w:fldChar w:fldCharType="end"/>
                  </w:r>
                  <w:r>
                    <w:rPr>
                      <w:rFonts w:hint="eastAsia" w:cs="Times New Roman"/>
                      <w:color w:val="auto"/>
                      <w:kern w:val="0"/>
                      <w:szCs w:val="20"/>
                    </w:rPr>
                    <w:t>》，本项目选址方案不占用永久基本农田、生态保护红线，位于城镇开发边界以外。</w:t>
                  </w:r>
                </w:p>
              </w:tc>
              <w:tc>
                <w:tcPr>
                  <w:tcW w:w="374" w:type="pct"/>
                  <w:vAlign w:val="center"/>
                </w:tcPr>
                <w:p w14:paraId="14D28EBC">
                  <w:pPr>
                    <w:pStyle w:val="65"/>
                    <w:rPr>
                      <w:rFonts w:cs="Times New Roman"/>
                      <w:color w:val="auto"/>
                      <w:kern w:val="0"/>
                      <w:szCs w:val="20"/>
                    </w:rPr>
                  </w:pPr>
                  <w:r>
                    <w:rPr>
                      <w:rFonts w:hint="eastAsia" w:cs="Times New Roman"/>
                      <w:color w:val="auto"/>
                      <w:kern w:val="0"/>
                      <w:szCs w:val="20"/>
                    </w:rPr>
                    <w:t>不冲突</w:t>
                  </w:r>
                </w:p>
              </w:tc>
            </w:tr>
            <w:tr w14:paraId="1BA0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14:paraId="477EA786">
                  <w:pPr>
                    <w:pStyle w:val="65"/>
                    <w:rPr>
                      <w:rFonts w:cs="Times New Roman"/>
                      <w:color w:val="auto"/>
                      <w:kern w:val="0"/>
                      <w:szCs w:val="20"/>
                    </w:rPr>
                  </w:pPr>
                </w:p>
              </w:tc>
              <w:tc>
                <w:tcPr>
                  <w:tcW w:w="541" w:type="pct"/>
                  <w:vMerge w:val="continue"/>
                  <w:vAlign w:val="center"/>
                </w:tcPr>
                <w:p w14:paraId="60EDA8F4">
                  <w:pPr>
                    <w:pStyle w:val="65"/>
                    <w:rPr>
                      <w:rFonts w:cs="Times New Roman"/>
                      <w:color w:val="auto"/>
                      <w:kern w:val="0"/>
                      <w:szCs w:val="20"/>
                    </w:rPr>
                  </w:pPr>
                </w:p>
              </w:tc>
              <w:tc>
                <w:tcPr>
                  <w:tcW w:w="2398" w:type="pct"/>
                  <w:vAlign w:val="center"/>
                </w:tcPr>
                <w:p w14:paraId="18777A5A">
                  <w:pPr>
                    <w:pStyle w:val="65"/>
                    <w:jc w:val="left"/>
                    <w:rPr>
                      <w:rFonts w:cs="Times New Roman"/>
                      <w:color w:val="auto"/>
                      <w:kern w:val="0"/>
                      <w:szCs w:val="20"/>
                    </w:rPr>
                  </w:pPr>
                  <w:r>
                    <w:rPr>
                      <w:rFonts w:hint="eastAsia" w:cs="Times New Roman"/>
                      <w:bCs/>
                      <w:color w:val="auto"/>
                      <w:kern w:val="0"/>
                      <w:szCs w:val="20"/>
                    </w:rPr>
                    <w:t>建立健全生态环境分区引导机制。</w:t>
                  </w:r>
                  <w:r>
                    <w:rPr>
                      <w:rFonts w:hint="eastAsia" w:cs="Times New Roman"/>
                      <w:color w:val="auto"/>
                      <w:kern w:val="0"/>
                      <w:szCs w:val="20"/>
                    </w:rPr>
                    <w:t>加快推进“三线一单”落实落地，把“三线一单”作为区域资源开发、产业布局和结构调整、城镇建设、重大项目选址的重要依据，确保发展不超载、底线不突破。采取分类保护、分区管控措施，强化空间管制，加快形成以“三线一单”生态环境分区管控体系为基础的生态环境管理格局和节约资源、保护环境的空间格局。</w:t>
                  </w:r>
                </w:p>
              </w:tc>
              <w:tc>
                <w:tcPr>
                  <w:tcW w:w="1160" w:type="pct"/>
                  <w:vAlign w:val="center"/>
                </w:tcPr>
                <w:p w14:paraId="3A9D7CC7">
                  <w:pPr>
                    <w:pStyle w:val="65"/>
                    <w:jc w:val="both"/>
                    <w:rPr>
                      <w:rFonts w:cs="Times New Roman"/>
                      <w:color w:val="auto"/>
                      <w:kern w:val="0"/>
                      <w:szCs w:val="20"/>
                    </w:rPr>
                  </w:pPr>
                  <w:r>
                    <w:rPr>
                      <w:rFonts w:hint="eastAsia" w:cs="Times New Roman"/>
                      <w:color w:val="auto"/>
                      <w:kern w:val="0"/>
                      <w:szCs w:val="20"/>
                    </w:rPr>
                    <w:t>本项目符合《大理州生态环境分区管控动态更新调整方案（2023年）》的相关要求。</w:t>
                  </w:r>
                </w:p>
              </w:tc>
              <w:tc>
                <w:tcPr>
                  <w:tcW w:w="374" w:type="pct"/>
                  <w:vAlign w:val="center"/>
                </w:tcPr>
                <w:p w14:paraId="46C8ACF8">
                  <w:pPr>
                    <w:pStyle w:val="65"/>
                    <w:rPr>
                      <w:rFonts w:cs="Times New Roman"/>
                      <w:color w:val="auto"/>
                      <w:kern w:val="0"/>
                      <w:szCs w:val="20"/>
                    </w:rPr>
                  </w:pPr>
                  <w:r>
                    <w:rPr>
                      <w:rFonts w:hint="eastAsia" w:cs="Times New Roman"/>
                      <w:color w:val="auto"/>
                      <w:kern w:val="0"/>
                      <w:szCs w:val="20"/>
                    </w:rPr>
                    <w:t>符合</w:t>
                  </w:r>
                </w:p>
              </w:tc>
            </w:tr>
            <w:tr w14:paraId="5DAC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14:paraId="75C097DB">
                  <w:pPr>
                    <w:pStyle w:val="65"/>
                    <w:rPr>
                      <w:rFonts w:cs="Times New Roman"/>
                      <w:color w:val="auto"/>
                      <w:kern w:val="0"/>
                      <w:szCs w:val="20"/>
                    </w:rPr>
                  </w:pPr>
                </w:p>
              </w:tc>
              <w:tc>
                <w:tcPr>
                  <w:tcW w:w="541" w:type="pct"/>
                  <w:vAlign w:val="center"/>
                </w:tcPr>
                <w:p w14:paraId="788EB60D">
                  <w:pPr>
                    <w:pStyle w:val="65"/>
                    <w:rPr>
                      <w:rFonts w:cs="Times New Roman"/>
                      <w:color w:val="auto"/>
                      <w:kern w:val="0"/>
                      <w:szCs w:val="20"/>
                    </w:rPr>
                  </w:pPr>
                  <w:r>
                    <w:rPr>
                      <w:rFonts w:hint="eastAsia" w:cs="Times New Roman"/>
                      <w:color w:val="auto"/>
                      <w:kern w:val="0"/>
                      <w:szCs w:val="20"/>
                    </w:rPr>
                    <w:t>第二节 统筹推进区域绿色发展</w:t>
                  </w:r>
                </w:p>
              </w:tc>
              <w:tc>
                <w:tcPr>
                  <w:tcW w:w="2398" w:type="pct"/>
                  <w:vAlign w:val="center"/>
                </w:tcPr>
                <w:p w14:paraId="15EAF68E">
                  <w:pPr>
                    <w:pStyle w:val="65"/>
                    <w:jc w:val="left"/>
                    <w:rPr>
                      <w:rFonts w:cs="Times New Roman"/>
                      <w:color w:val="auto"/>
                      <w:kern w:val="0"/>
                      <w:szCs w:val="20"/>
                    </w:rPr>
                  </w:pPr>
                  <w:r>
                    <w:rPr>
                      <w:rFonts w:hint="eastAsia" w:cs="Times New Roman"/>
                      <w:color w:val="auto"/>
                      <w:kern w:val="0"/>
                      <w:szCs w:val="20"/>
                    </w:rPr>
                    <w:t>立足南涧县能源资源禀赋和发展特点，全力打造“绿色能源牌”，构建更加清洁、低碳、安全、高效的绿色能源保障体系，积极按照省、州政府要求将绿色能源打造成为产业转型升级、经济高质量发展的新动能。</w:t>
                  </w:r>
                </w:p>
              </w:tc>
              <w:tc>
                <w:tcPr>
                  <w:tcW w:w="1160" w:type="pct"/>
                  <w:vAlign w:val="center"/>
                </w:tcPr>
                <w:p w14:paraId="7201535D">
                  <w:pPr>
                    <w:pStyle w:val="65"/>
                    <w:jc w:val="both"/>
                    <w:rPr>
                      <w:rFonts w:cs="Times New Roman"/>
                      <w:color w:val="auto"/>
                      <w:kern w:val="0"/>
                      <w:szCs w:val="20"/>
                    </w:rPr>
                  </w:pPr>
                  <w:r>
                    <w:rPr>
                      <w:rFonts w:hint="eastAsia" w:cs="Times New Roman"/>
                      <w:color w:val="auto"/>
                      <w:kern w:val="0"/>
                      <w:szCs w:val="20"/>
                    </w:rPr>
                    <w:t>本工程为光伏发电项目，有助于南涧县打造“绿色能源牌”，构建更加清洁、低碳、安全、高效的绿色能源保障体系。</w:t>
                  </w:r>
                </w:p>
              </w:tc>
              <w:tc>
                <w:tcPr>
                  <w:tcW w:w="374" w:type="pct"/>
                  <w:vAlign w:val="center"/>
                </w:tcPr>
                <w:p w14:paraId="37E81650">
                  <w:pPr>
                    <w:pStyle w:val="65"/>
                    <w:rPr>
                      <w:rFonts w:cs="Times New Roman"/>
                      <w:color w:val="auto"/>
                      <w:kern w:val="0"/>
                      <w:szCs w:val="20"/>
                    </w:rPr>
                  </w:pPr>
                  <w:r>
                    <w:rPr>
                      <w:rFonts w:hint="eastAsia" w:cs="Times New Roman"/>
                      <w:color w:val="auto"/>
                      <w:kern w:val="0"/>
                      <w:szCs w:val="20"/>
                    </w:rPr>
                    <w:t>符合</w:t>
                  </w:r>
                </w:p>
              </w:tc>
            </w:tr>
            <w:tr w14:paraId="652E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6" w:type="pct"/>
                  <w:vMerge w:val="continue"/>
                  <w:vAlign w:val="center"/>
                </w:tcPr>
                <w:p w14:paraId="4B56693E">
                  <w:pPr>
                    <w:pStyle w:val="65"/>
                    <w:rPr>
                      <w:rFonts w:cs="Times New Roman"/>
                      <w:color w:val="auto"/>
                      <w:kern w:val="0"/>
                      <w:szCs w:val="20"/>
                    </w:rPr>
                  </w:pPr>
                </w:p>
              </w:tc>
              <w:tc>
                <w:tcPr>
                  <w:tcW w:w="541" w:type="pct"/>
                  <w:vAlign w:val="center"/>
                </w:tcPr>
                <w:p w14:paraId="4D10587F">
                  <w:pPr>
                    <w:pStyle w:val="65"/>
                    <w:rPr>
                      <w:rFonts w:cs="Times New Roman"/>
                      <w:color w:val="auto"/>
                      <w:kern w:val="0"/>
                      <w:szCs w:val="20"/>
                    </w:rPr>
                  </w:pPr>
                  <w:r>
                    <w:rPr>
                      <w:rFonts w:hint="eastAsia" w:cs="Times New Roman"/>
                      <w:color w:val="auto"/>
                      <w:kern w:val="0"/>
                      <w:szCs w:val="20"/>
                    </w:rPr>
                    <w:t>第四节 优化能源结构</w:t>
                  </w:r>
                </w:p>
              </w:tc>
              <w:tc>
                <w:tcPr>
                  <w:tcW w:w="2398" w:type="pct"/>
                  <w:vAlign w:val="center"/>
                </w:tcPr>
                <w:p w14:paraId="071FEC56">
                  <w:pPr>
                    <w:pStyle w:val="65"/>
                    <w:jc w:val="both"/>
                    <w:rPr>
                      <w:rFonts w:cs="Times New Roman"/>
                      <w:color w:val="auto"/>
                      <w:kern w:val="0"/>
                      <w:szCs w:val="20"/>
                    </w:rPr>
                  </w:pPr>
                  <w:r>
                    <w:rPr>
                      <w:rFonts w:hint="eastAsia" w:cs="Times New Roman"/>
                      <w:bCs/>
                      <w:color w:val="auto"/>
                      <w:kern w:val="0"/>
                      <w:szCs w:val="20"/>
                    </w:rPr>
                    <w:t>优化能源供给结构。</w:t>
                  </w:r>
                  <w:r>
                    <w:rPr>
                      <w:rFonts w:hint="eastAsia" w:cs="Times New Roman"/>
                      <w:color w:val="auto"/>
                      <w:kern w:val="0"/>
                      <w:szCs w:val="20"/>
                    </w:rPr>
                    <w:t>坚持先立后破，以保障能源安全和经济发展为底线，推动能源低碳转型平稳过渡。坚持节约优先，推进能源革命，建设清洁低碳安全高效的能源体系。在保障能源安全供应的基础上，推动新能源、清洁能源发展。依托南涧县绿色能源优势，做强做优绿色能源产业。积极推进绿色电源建设，着力打造水风光储能互补清洁能源示范基地。统筹规划布局重大能源基础设施，推进油、气、电输送网络建设，构建安全、稳定、经济、清洁的现代能源供应体系。挖掘风能、太阳能、生物质能可开发资源……继续详查水能、生物质能、太阳能、风能、地热能的储量及利用，储备一批新能源开发利用和储能调峰项目。</w:t>
                  </w:r>
                </w:p>
              </w:tc>
              <w:tc>
                <w:tcPr>
                  <w:tcW w:w="1160" w:type="pct"/>
                  <w:vAlign w:val="center"/>
                </w:tcPr>
                <w:p w14:paraId="6EBA5DCE">
                  <w:pPr>
                    <w:pStyle w:val="65"/>
                    <w:jc w:val="both"/>
                    <w:rPr>
                      <w:rFonts w:cs="Times New Roman"/>
                      <w:color w:val="auto"/>
                      <w:kern w:val="0"/>
                      <w:szCs w:val="20"/>
                    </w:rPr>
                  </w:pPr>
                  <w:r>
                    <w:rPr>
                      <w:rFonts w:hint="eastAsia" w:cs="Times New Roman"/>
                      <w:color w:val="auto"/>
                      <w:kern w:val="0"/>
                      <w:szCs w:val="20"/>
                    </w:rPr>
                    <w:t>本工程为光伏发电项目，依托南涧县绿色能源优势，有助于做强做优绿色能源产业，推进绿色电源建设，打造水风光储能互补清洁能源示范基地。</w:t>
                  </w:r>
                </w:p>
              </w:tc>
              <w:tc>
                <w:tcPr>
                  <w:tcW w:w="374" w:type="pct"/>
                  <w:vAlign w:val="center"/>
                </w:tcPr>
                <w:p w14:paraId="7EAD9B5F">
                  <w:pPr>
                    <w:pStyle w:val="65"/>
                    <w:rPr>
                      <w:rFonts w:cs="Times New Roman"/>
                      <w:color w:val="auto"/>
                      <w:kern w:val="0"/>
                      <w:szCs w:val="20"/>
                    </w:rPr>
                  </w:pPr>
                  <w:r>
                    <w:rPr>
                      <w:rFonts w:hint="eastAsia" w:cs="Times New Roman"/>
                      <w:color w:val="auto"/>
                      <w:kern w:val="0"/>
                      <w:szCs w:val="20"/>
                    </w:rPr>
                    <w:t>符合</w:t>
                  </w:r>
                </w:p>
              </w:tc>
            </w:tr>
          </w:tbl>
          <w:p w14:paraId="463CB705">
            <w:pPr>
              <w:ind w:firstLine="480"/>
              <w:rPr>
                <w:color w:val="auto"/>
              </w:rPr>
            </w:pPr>
            <w:r>
              <w:rPr>
                <w:rFonts w:hint="eastAsia"/>
                <w:color w:val="auto"/>
              </w:rPr>
              <w:t>综上所述，本项目的建设符合《南涧县“十四五”生态环境保护规划》相关要求。</w:t>
            </w:r>
          </w:p>
          <w:p w14:paraId="60D1964C">
            <w:pPr>
              <w:pStyle w:val="3"/>
              <w:spacing w:before="72" w:after="72"/>
              <w:rPr>
                <w:color w:val="auto"/>
              </w:rPr>
            </w:pPr>
            <w:r>
              <w:rPr>
                <w:color w:val="auto"/>
              </w:rPr>
              <w:t>光伏发电产业用地符合性分析</w:t>
            </w:r>
          </w:p>
          <w:p w14:paraId="2246152F">
            <w:pPr>
              <w:pStyle w:val="4"/>
              <w:spacing w:before="48" w:after="48"/>
              <w:rPr>
                <w:color w:val="auto"/>
              </w:rPr>
            </w:pPr>
            <w:bookmarkStart w:id="261" w:name="_Toc158491239"/>
            <w:bookmarkStart w:id="262" w:name="_Toc177072384"/>
            <w:bookmarkStart w:id="263" w:name="_Toc156137817"/>
            <w:bookmarkStart w:id="264" w:name="_Toc159349007"/>
            <w:bookmarkStart w:id="265" w:name="_Toc177072812"/>
            <w:bookmarkStart w:id="266" w:name="_Toc156144131"/>
            <w:bookmarkStart w:id="267" w:name="_Toc160730856"/>
            <w:bookmarkStart w:id="268" w:name="_Toc160473780"/>
            <w:bookmarkStart w:id="269" w:name="_Toc161415534"/>
            <w:bookmarkStart w:id="270" w:name="_Toc181293518"/>
            <w:bookmarkStart w:id="271" w:name="_Toc181738203"/>
            <w:bookmarkStart w:id="272" w:name="_Toc177482884"/>
            <w:bookmarkStart w:id="273" w:name="_Toc177488196"/>
            <w:bookmarkStart w:id="274" w:name="_Toc181732796"/>
            <w:r>
              <w:rPr>
                <w:rFonts w:hint="eastAsia"/>
                <w:color w:val="auto"/>
              </w:rPr>
              <w:t>与《云南省产业用地政策实施工作指引（2022年版）》（云自然资利用〔2022〕525号）符合性分析</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75A761CB">
            <w:pPr>
              <w:ind w:firstLine="480"/>
              <w:rPr>
                <w:color w:val="auto"/>
                <w:szCs w:val="21"/>
              </w:rPr>
            </w:pPr>
            <w:r>
              <w:rPr>
                <w:rFonts w:hint="eastAsia"/>
                <w:color w:val="auto"/>
                <w:szCs w:val="21"/>
              </w:rPr>
              <w:t>本项目与《云南省产业用地政策实施工作指引（2022年版）》（云自然资利用〔2022〕525号）的符合性见下表。</w:t>
            </w:r>
          </w:p>
          <w:p w14:paraId="315FB204">
            <w:pPr>
              <w:pStyle w:val="63"/>
              <w:rPr>
                <w:color w:val="auto"/>
                <w:szCs w:val="21"/>
              </w:rPr>
            </w:pPr>
            <w:bookmarkStart w:id="275" w:name="OLE_LINK17"/>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1.5</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1</w:t>
            </w:r>
            <w:r>
              <w:rPr>
                <w:color w:val="auto"/>
                <w:szCs w:val="24"/>
              </w:rPr>
              <w:fldChar w:fldCharType="end"/>
            </w:r>
            <w:r>
              <w:rPr>
                <w:color w:val="auto"/>
                <w:szCs w:val="24"/>
              </w:rPr>
              <w:t xml:space="preserve"> </w:t>
            </w:r>
            <w:r>
              <w:rPr>
                <w:rFonts w:hint="eastAsia"/>
                <w:color w:val="auto"/>
                <w:szCs w:val="21"/>
              </w:rPr>
              <w:t xml:space="preserve"> </w:t>
            </w:r>
            <w:bookmarkEnd w:id="275"/>
            <w:r>
              <w:rPr>
                <w:rFonts w:hint="eastAsia"/>
                <w:color w:val="auto"/>
                <w:szCs w:val="21"/>
              </w:rPr>
              <w:t>项目与《云南省产业用地政策实施工作指引（2022年版）》（云自然资利用〔2022〕525号）的符合性分析</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1"/>
              <w:gridCol w:w="2202"/>
              <w:gridCol w:w="891"/>
            </w:tblGrid>
            <w:tr w14:paraId="6E4C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0" w:type="pct"/>
                  <w:vAlign w:val="center"/>
                </w:tcPr>
                <w:p w14:paraId="3F3D144D">
                  <w:pPr>
                    <w:pStyle w:val="167"/>
                    <w:rPr>
                      <w:rFonts w:hint="eastAsia"/>
                      <w:b/>
                      <w:color w:val="auto"/>
                      <w:sz w:val="21"/>
                      <w:szCs w:val="21"/>
                    </w:rPr>
                  </w:pPr>
                  <w:r>
                    <w:rPr>
                      <w:rFonts w:hint="eastAsia"/>
                      <w:b/>
                      <w:color w:val="auto"/>
                      <w:sz w:val="21"/>
                      <w:szCs w:val="21"/>
                    </w:rPr>
                    <w:t>光伏发电产业用地政策</w:t>
                  </w:r>
                </w:p>
              </w:tc>
              <w:tc>
                <w:tcPr>
                  <w:tcW w:w="1595" w:type="pct"/>
                  <w:vAlign w:val="center"/>
                </w:tcPr>
                <w:p w14:paraId="2540A770">
                  <w:pPr>
                    <w:pStyle w:val="167"/>
                    <w:rPr>
                      <w:rFonts w:hint="eastAsia"/>
                      <w:b/>
                      <w:color w:val="auto"/>
                      <w:sz w:val="21"/>
                      <w:szCs w:val="21"/>
                    </w:rPr>
                  </w:pPr>
                  <w:r>
                    <w:rPr>
                      <w:b/>
                      <w:color w:val="auto"/>
                      <w:sz w:val="21"/>
                      <w:szCs w:val="21"/>
                    </w:rPr>
                    <w:t>本项目情况</w:t>
                  </w:r>
                </w:p>
              </w:tc>
              <w:tc>
                <w:tcPr>
                  <w:tcW w:w="645" w:type="pct"/>
                  <w:vAlign w:val="center"/>
                </w:tcPr>
                <w:p w14:paraId="3C6448E2">
                  <w:pPr>
                    <w:pStyle w:val="167"/>
                    <w:rPr>
                      <w:rFonts w:hint="eastAsia"/>
                      <w:b/>
                      <w:color w:val="auto"/>
                      <w:sz w:val="21"/>
                      <w:szCs w:val="21"/>
                    </w:rPr>
                  </w:pPr>
                  <w:r>
                    <w:rPr>
                      <w:b/>
                      <w:color w:val="auto"/>
                      <w:sz w:val="21"/>
                      <w:szCs w:val="21"/>
                    </w:rPr>
                    <w:t>符合性</w:t>
                  </w:r>
                </w:p>
              </w:tc>
            </w:tr>
            <w:tr w14:paraId="4D6B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0" w:type="pct"/>
                  <w:vAlign w:val="center"/>
                </w:tcPr>
                <w:p w14:paraId="137D71A7">
                  <w:pPr>
                    <w:pStyle w:val="167"/>
                    <w:jc w:val="both"/>
                    <w:rPr>
                      <w:rFonts w:hint="eastAsia"/>
                      <w:color w:val="auto"/>
                      <w:sz w:val="21"/>
                      <w:szCs w:val="21"/>
                    </w:rPr>
                  </w:pPr>
                  <w:r>
                    <w:rPr>
                      <w:rFonts w:hint="eastAsia"/>
                      <w:color w:val="auto"/>
                      <w:sz w:val="21"/>
                      <w:szCs w:val="21"/>
                    </w:rPr>
                    <w:t>一是保障光伏项目土地要素供给。强化国土空间规划的引导管控作用，科学合理布局光伏项目。对列入省级重大项目清单的光伏项目配置使用国家新增建设用地计划指标，应保尽保。严格落实耕地保护和节约集约用地的规定和要求，强化前期选址踏勘论证，光伏复合项目用地不得占用永久基本农田，尽量避让长期稳定利用耕地，特别是坝区集中连片优质耕地。开辟快速报批通道，预先研判、及时组卷，扎实高效做好用地报批各个环节工作。鼓励利用采矿沉陷区、尾矿库以及“四荒地”等未利用地建设光伏项目。光伏项目用地按建设用地管理且符合《划拨用地目录》的，可采取划拨方式供地；鼓励以长期租赁、先租后让、租让结合、出让等有偿方式供应土地；需以招标拍卖挂牌方式供应的，在公平、公正、不排除多个市场主体竞争的前提下，可将投资和行业主管部门提出的生产技术、设计标准、效率要求等作为土地供应前置条件。</w:t>
                  </w:r>
                </w:p>
              </w:tc>
              <w:tc>
                <w:tcPr>
                  <w:tcW w:w="1595" w:type="pct"/>
                  <w:vAlign w:val="center"/>
                </w:tcPr>
                <w:p w14:paraId="5AB22099">
                  <w:pPr>
                    <w:pStyle w:val="167"/>
                    <w:jc w:val="both"/>
                    <w:rPr>
                      <w:rFonts w:hint="eastAsia"/>
                      <w:color w:val="auto"/>
                      <w:sz w:val="21"/>
                      <w:szCs w:val="21"/>
                    </w:rPr>
                  </w:pPr>
                  <w:r>
                    <w:rPr>
                      <w:rFonts w:hint="eastAsia"/>
                      <w:color w:val="auto"/>
                      <w:sz w:val="21"/>
                      <w:szCs w:val="21"/>
                    </w:rPr>
                    <w:t>（1）根据《</w:t>
                  </w:r>
                  <w:r>
                    <w:rPr>
                      <w:rFonts w:hint="eastAsia"/>
                      <w:color w:val="auto"/>
                      <w:sz w:val="21"/>
                      <w:szCs w:val="21"/>
                    </w:rPr>
                    <w:fldChar w:fldCharType="begin"/>
                  </w:r>
                  <w:r>
                    <w:rPr>
                      <w:rFonts w:hint="eastAsia"/>
                      <w:color w:val="auto"/>
                      <w:sz w:val="21"/>
                      <w:szCs w:val="21"/>
                    </w:rPr>
                    <w:instrText xml:space="preserve"> REF _Ref218539235 \h  \* MERGEFORMAT </w:instrText>
                  </w:r>
                  <w:r>
                    <w:rPr>
                      <w:rFonts w:hint="eastAsia"/>
                      <w:color w:val="auto"/>
                      <w:sz w:val="21"/>
                      <w:szCs w:val="21"/>
                    </w:rPr>
                    <w:fldChar w:fldCharType="separate"/>
                  </w:r>
                  <w:r>
                    <w:rPr>
                      <w:rFonts w:hint="eastAsia"/>
                      <w:color w:val="auto"/>
                      <w:sz w:val="21"/>
                      <w:szCs w:val="21"/>
                    </w:rPr>
                    <w:t>南涧彝族自治县自然资源局关于沙乐光伏发电项目用地审查意见</w:t>
                  </w:r>
                  <w:r>
                    <w:rPr>
                      <w:rFonts w:hint="eastAsia"/>
                      <w:color w:val="auto"/>
                      <w:sz w:val="21"/>
                      <w:szCs w:val="21"/>
                    </w:rPr>
                    <w:fldChar w:fldCharType="end"/>
                  </w:r>
                  <w:r>
                    <w:rPr>
                      <w:rFonts w:hint="eastAsia"/>
                      <w:color w:val="auto"/>
                      <w:sz w:val="21"/>
                      <w:szCs w:val="21"/>
                    </w:rPr>
                    <w:t>》：“项目选址范围：未占用南涧县永久基本农田核实处置成果，未占用南涧县生态保护红线，未占用城镇开发边界线，未占用南涧县2024年国土变更调查现状耕地，未占用南涧县耕地后备资源，未占用南涧县耕地后备资源补充空间。”故本项目不占用耕地。</w:t>
                  </w:r>
                </w:p>
                <w:p w14:paraId="4E7DCABD">
                  <w:pPr>
                    <w:pStyle w:val="167"/>
                    <w:jc w:val="both"/>
                    <w:rPr>
                      <w:rFonts w:hint="eastAsia"/>
                      <w:color w:val="auto"/>
                      <w:sz w:val="21"/>
                      <w:szCs w:val="21"/>
                    </w:rPr>
                  </w:pPr>
                  <w:r>
                    <w:rPr>
                      <w:rFonts w:hint="eastAsia"/>
                      <w:color w:val="auto"/>
                      <w:sz w:val="21"/>
                      <w:szCs w:val="21"/>
                    </w:rPr>
                    <w:t>（2）项目光伏方阵用地以租赁和流转方式取得，建设单位与相关组织部门签订用地补偿协议，报当地县级自然资源和林草主管部门备案。</w:t>
                  </w:r>
                </w:p>
              </w:tc>
              <w:tc>
                <w:tcPr>
                  <w:tcW w:w="645" w:type="pct"/>
                  <w:vAlign w:val="center"/>
                </w:tcPr>
                <w:p w14:paraId="4AD7A1E8">
                  <w:pPr>
                    <w:pStyle w:val="167"/>
                    <w:rPr>
                      <w:rFonts w:hint="eastAsia"/>
                      <w:color w:val="auto"/>
                      <w:sz w:val="21"/>
                      <w:szCs w:val="21"/>
                    </w:rPr>
                  </w:pPr>
                  <w:r>
                    <w:rPr>
                      <w:color w:val="auto"/>
                      <w:sz w:val="21"/>
                      <w:szCs w:val="21"/>
                    </w:rPr>
                    <w:t>符合</w:t>
                  </w:r>
                </w:p>
              </w:tc>
            </w:tr>
            <w:tr w14:paraId="16EC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0" w:type="pct"/>
                  <w:vAlign w:val="center"/>
                </w:tcPr>
                <w:p w14:paraId="2005110F">
                  <w:pPr>
                    <w:pStyle w:val="167"/>
                    <w:jc w:val="both"/>
                    <w:rPr>
                      <w:rFonts w:hint="eastAsia"/>
                      <w:color w:val="auto"/>
                      <w:sz w:val="21"/>
                      <w:szCs w:val="21"/>
                    </w:rPr>
                  </w:pPr>
                  <w:r>
                    <w:rPr>
                      <w:rFonts w:hint="eastAsia"/>
                      <w:color w:val="auto"/>
                      <w:sz w:val="21"/>
                      <w:szCs w:val="21"/>
                    </w:rPr>
                    <w:t>二是加强光伏发电项目用地管理。光伏发电项目用地包括光伏方阵用地、变电站及运行管理中心用地、集电线路用地和场内道路用地。对符合条件的利用农用地复合建设的光伏发电项目（以下简称光伏复合项目）以外的其他光伏发电项目用地，应严格执行国土资规〔2015〕5号文件规定，使用未利用地的，对不占压土地、不改变地表形态的光伏方阵用地部分可按原地类认定，不改变土地用途，用地允许以租赁等方式取得，双方签订好补偿协议，报当地县（市、区）自然资源主管部门备案；其他用地部分，应依法办理建设用地审批手续；对建设占用农用地的，所有用地部分均应按建设用地管理。</w:t>
                  </w:r>
                </w:p>
                <w:p w14:paraId="7D6C289D">
                  <w:pPr>
                    <w:pStyle w:val="167"/>
                    <w:jc w:val="both"/>
                    <w:rPr>
                      <w:rFonts w:hint="eastAsia"/>
                      <w:color w:val="auto"/>
                      <w:sz w:val="21"/>
                      <w:szCs w:val="21"/>
                    </w:rPr>
                  </w:pPr>
                  <w:r>
                    <w:rPr>
                      <w:rFonts w:hint="eastAsia"/>
                      <w:color w:val="auto"/>
                      <w:sz w:val="21"/>
                      <w:szCs w:val="21"/>
                    </w:rPr>
                    <w:t>对符合我省光伏复合项目建设要求和认定标准的项目，架设在25度以上耕地（水田除外）或其他农用地上的光伏方阵用地，满足光伏组件最低沿高于地面2.5米、高于最高水位0.6米，桩基间列间距大于4米，行间距大于6.5米的架设要求，在不破坏耕地耕作层及农用地生产条件和不改变原用地性质的条件下，允许以租赁等方式使用；除桩基用地外，严禁硬化地面、破坏耕作层，严禁抛荒、捲荒。采用直埋电缆方式敷设的集电线路用地，实行与项目光伏方阵用地同样的管理方式。场内道路用地可按农村道路用地管理。变电站、运行管理中心、集电线路杆塔基础等其他设施用地按建设用地管理。</w:t>
                  </w:r>
                </w:p>
                <w:p w14:paraId="395F09C5">
                  <w:pPr>
                    <w:pStyle w:val="167"/>
                    <w:jc w:val="both"/>
                    <w:rPr>
                      <w:rFonts w:hint="eastAsia"/>
                      <w:color w:val="auto"/>
                      <w:sz w:val="21"/>
                      <w:szCs w:val="21"/>
                    </w:rPr>
                  </w:pPr>
                  <w:r>
                    <w:rPr>
                      <w:rFonts w:hint="eastAsia"/>
                      <w:color w:val="auto"/>
                      <w:sz w:val="21"/>
                      <w:szCs w:val="21"/>
                    </w:rPr>
                    <w:t>新建、改建和扩建地面光伏发电项目，按建设用地和未利用地管理的，应严格执行国土资规〔2015〕11号文件要求，合理利用土地。</w:t>
                  </w:r>
                </w:p>
              </w:tc>
              <w:tc>
                <w:tcPr>
                  <w:tcW w:w="1595" w:type="pct"/>
                  <w:vAlign w:val="center"/>
                </w:tcPr>
                <w:p w14:paraId="4433C439">
                  <w:pPr>
                    <w:pStyle w:val="167"/>
                    <w:jc w:val="both"/>
                    <w:rPr>
                      <w:rFonts w:hint="eastAsia"/>
                      <w:color w:val="auto"/>
                      <w:sz w:val="21"/>
                      <w:szCs w:val="21"/>
                    </w:rPr>
                  </w:pPr>
                  <w:r>
                    <w:rPr>
                      <w:color w:val="auto"/>
                      <w:sz w:val="21"/>
                      <w:szCs w:val="21"/>
                    </w:rPr>
                    <w:t>（1）本项目光伏方阵用地不涉及</w:t>
                  </w:r>
                  <w:r>
                    <w:rPr>
                      <w:rFonts w:hint="eastAsia"/>
                      <w:color w:val="auto"/>
                      <w:sz w:val="21"/>
                      <w:szCs w:val="21"/>
                    </w:rPr>
                    <w:t>耕地</w:t>
                  </w:r>
                  <w:r>
                    <w:rPr>
                      <w:color w:val="auto"/>
                      <w:sz w:val="21"/>
                      <w:szCs w:val="21"/>
                    </w:rPr>
                    <w:t>；光伏板最低端距地面高度2.5m，桩基间列间距均大于4米，行间距均大于6.5米，以租赁和流转方式使用农用地，不改变原用地性质及农业生产条件，项目符合相关要求。</w:t>
                  </w:r>
                </w:p>
                <w:p w14:paraId="10FB9148">
                  <w:pPr>
                    <w:pStyle w:val="167"/>
                    <w:jc w:val="both"/>
                    <w:rPr>
                      <w:rFonts w:hint="eastAsia"/>
                      <w:color w:val="auto"/>
                      <w:sz w:val="21"/>
                      <w:szCs w:val="21"/>
                    </w:rPr>
                  </w:pPr>
                  <w:r>
                    <w:rPr>
                      <w:color w:val="auto"/>
                      <w:sz w:val="21"/>
                      <w:szCs w:val="21"/>
                    </w:rPr>
                    <w:t>（2）光伏方阵区域除桩基用地外，不涉及硬化地面，运营期实行农业种植方案，不会对土地抛荒、撂荒。</w:t>
                  </w:r>
                </w:p>
                <w:p w14:paraId="1E013114">
                  <w:pPr>
                    <w:pStyle w:val="167"/>
                    <w:jc w:val="both"/>
                    <w:rPr>
                      <w:rFonts w:hint="eastAsia"/>
                      <w:color w:val="auto"/>
                      <w:sz w:val="21"/>
                      <w:szCs w:val="21"/>
                    </w:rPr>
                  </w:pPr>
                  <w:r>
                    <w:rPr>
                      <w:color w:val="auto"/>
                      <w:sz w:val="21"/>
                      <w:szCs w:val="21"/>
                    </w:rPr>
                    <w:t>（3）项目直埋电缆方式敷设的集电线路用地与光伏方阵用地管理方式一致。</w:t>
                  </w:r>
                </w:p>
                <w:p w14:paraId="2D2C1A7E">
                  <w:pPr>
                    <w:pStyle w:val="167"/>
                    <w:jc w:val="both"/>
                    <w:rPr>
                      <w:rFonts w:hint="eastAsia"/>
                      <w:color w:val="auto"/>
                      <w:sz w:val="21"/>
                      <w:szCs w:val="21"/>
                    </w:rPr>
                  </w:pPr>
                  <w:r>
                    <w:rPr>
                      <w:color w:val="auto"/>
                      <w:sz w:val="21"/>
                      <w:szCs w:val="21"/>
                    </w:rPr>
                    <w:t>（4）场区道路用地采用农村道路的要求进行管理</w:t>
                  </w:r>
                  <w:r>
                    <w:rPr>
                      <w:rFonts w:hint="eastAsia"/>
                      <w:color w:val="auto"/>
                      <w:sz w:val="21"/>
                      <w:szCs w:val="21"/>
                    </w:rPr>
                    <w:t>；集电线路塔基基础按建设用地管理</w:t>
                  </w:r>
                  <w:r>
                    <w:rPr>
                      <w:color w:val="auto"/>
                      <w:sz w:val="21"/>
                      <w:szCs w:val="21"/>
                    </w:rPr>
                    <w:t>。</w:t>
                  </w:r>
                  <w:r>
                    <w:rPr>
                      <w:rFonts w:hint="eastAsia"/>
                      <w:color w:val="auto"/>
                      <w:sz w:val="21"/>
                      <w:szCs w:val="21"/>
                    </w:rPr>
                    <w:t>本</w:t>
                  </w:r>
                  <w:r>
                    <w:rPr>
                      <w:color w:val="auto"/>
                      <w:sz w:val="21"/>
                      <w:szCs w:val="21"/>
                    </w:rPr>
                    <w:t>项目</w:t>
                  </w:r>
                  <w:r>
                    <w:rPr>
                      <w:rFonts w:hint="eastAsia"/>
                      <w:color w:val="auto"/>
                      <w:sz w:val="21"/>
                      <w:szCs w:val="21"/>
                    </w:rPr>
                    <w:t>不涉及新建</w:t>
                  </w:r>
                  <w:r>
                    <w:rPr>
                      <w:color w:val="auto"/>
                      <w:sz w:val="21"/>
                      <w:szCs w:val="21"/>
                    </w:rPr>
                    <w:t>变电站。</w:t>
                  </w:r>
                </w:p>
              </w:tc>
              <w:tc>
                <w:tcPr>
                  <w:tcW w:w="645" w:type="pct"/>
                  <w:vAlign w:val="center"/>
                </w:tcPr>
                <w:p w14:paraId="100124C6">
                  <w:pPr>
                    <w:pStyle w:val="167"/>
                    <w:rPr>
                      <w:rFonts w:hint="eastAsia"/>
                      <w:color w:val="auto"/>
                      <w:sz w:val="21"/>
                      <w:szCs w:val="21"/>
                    </w:rPr>
                  </w:pPr>
                  <w:r>
                    <w:rPr>
                      <w:color w:val="auto"/>
                      <w:sz w:val="21"/>
                      <w:szCs w:val="21"/>
                    </w:rPr>
                    <w:t>符合</w:t>
                  </w:r>
                </w:p>
              </w:tc>
            </w:tr>
            <w:tr w14:paraId="0A85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0" w:type="pct"/>
                  <w:vAlign w:val="center"/>
                </w:tcPr>
                <w:p w14:paraId="0A1C770C">
                  <w:pPr>
                    <w:pStyle w:val="167"/>
                    <w:jc w:val="both"/>
                    <w:rPr>
                      <w:rFonts w:hint="eastAsia"/>
                      <w:color w:val="auto"/>
                      <w:sz w:val="21"/>
                      <w:szCs w:val="21"/>
                    </w:rPr>
                  </w:pPr>
                  <w:r>
                    <w:rPr>
                      <w:rFonts w:hint="eastAsia"/>
                      <w:color w:val="auto"/>
                      <w:sz w:val="21"/>
                      <w:szCs w:val="21"/>
                    </w:rPr>
                    <w:t>三是严格光伏发电项目用地利用监管。光伏发电项目用地中按农用地、未利用地管理的，除桩基用地外，场内道路等功能分区用地不得硬化地面、破坏耕作层，否则，应当依法办理建设用地审批手续，未办理审批手续的，按违法用地依法查处。对于布设后未能并网发电的光伏方阵，由项目所在地能源主管部门清理。光伏方阵用地按农用地、未利用地管理的项目退出时，未按规定恢复原状的，由项目所在地能源主管部门责令整改到位。</w:t>
                  </w:r>
                </w:p>
              </w:tc>
              <w:tc>
                <w:tcPr>
                  <w:tcW w:w="1595" w:type="pct"/>
                  <w:vAlign w:val="center"/>
                </w:tcPr>
                <w:p w14:paraId="010FCFBF">
                  <w:pPr>
                    <w:pStyle w:val="167"/>
                    <w:jc w:val="both"/>
                    <w:rPr>
                      <w:rFonts w:hint="eastAsia"/>
                      <w:color w:val="auto"/>
                      <w:sz w:val="21"/>
                      <w:szCs w:val="21"/>
                    </w:rPr>
                  </w:pPr>
                  <w:r>
                    <w:rPr>
                      <w:rFonts w:hint="eastAsia"/>
                      <w:color w:val="auto"/>
                      <w:sz w:val="21"/>
                      <w:szCs w:val="21"/>
                    </w:rPr>
                    <w:t>本项目用地类型为园地和交通运输用地，不涉及耕地。</w:t>
                  </w:r>
                </w:p>
              </w:tc>
              <w:tc>
                <w:tcPr>
                  <w:tcW w:w="645" w:type="pct"/>
                  <w:vAlign w:val="center"/>
                </w:tcPr>
                <w:p w14:paraId="56A17155">
                  <w:pPr>
                    <w:pStyle w:val="167"/>
                    <w:rPr>
                      <w:rFonts w:hint="eastAsia"/>
                      <w:color w:val="auto"/>
                      <w:sz w:val="21"/>
                      <w:szCs w:val="21"/>
                    </w:rPr>
                  </w:pPr>
                  <w:r>
                    <w:rPr>
                      <w:color w:val="auto"/>
                      <w:sz w:val="21"/>
                      <w:szCs w:val="21"/>
                    </w:rPr>
                    <w:t>符合</w:t>
                  </w:r>
                </w:p>
              </w:tc>
            </w:tr>
          </w:tbl>
          <w:p w14:paraId="440085D1">
            <w:pPr>
              <w:autoSpaceDE w:val="0"/>
              <w:autoSpaceDN w:val="0"/>
              <w:adjustRightInd w:val="0"/>
              <w:snapToGrid w:val="0"/>
              <w:ind w:firstLine="480"/>
              <w:jc w:val="left"/>
              <w:rPr>
                <w:color w:val="auto"/>
                <w:kern w:val="0"/>
                <w:szCs w:val="21"/>
              </w:rPr>
            </w:pPr>
            <w:r>
              <w:rPr>
                <w:color w:val="auto"/>
                <w:kern w:val="0"/>
                <w:szCs w:val="21"/>
              </w:rPr>
              <w:t>综上，项目与</w:t>
            </w:r>
            <w:r>
              <w:rPr>
                <w:rFonts w:hint="eastAsia"/>
                <w:color w:val="auto"/>
                <w:kern w:val="0"/>
                <w:szCs w:val="21"/>
              </w:rPr>
              <w:t>《云南省产业用地政策实施工作指引（2022年版）》（云自然资利用〔2022〕525号）</w:t>
            </w:r>
            <w:r>
              <w:rPr>
                <w:color w:val="auto"/>
                <w:kern w:val="0"/>
                <w:szCs w:val="21"/>
              </w:rPr>
              <w:t>相关要求相符。</w:t>
            </w:r>
          </w:p>
          <w:p w14:paraId="631A7592">
            <w:pPr>
              <w:pStyle w:val="4"/>
              <w:spacing w:before="48" w:after="48"/>
              <w:rPr>
                <w:color w:val="auto"/>
              </w:rPr>
            </w:pPr>
            <w:bookmarkStart w:id="276" w:name="_Toc181732797"/>
            <w:bookmarkStart w:id="277" w:name="_Toc177072385"/>
            <w:bookmarkStart w:id="278" w:name="_Toc156137819"/>
            <w:bookmarkStart w:id="279" w:name="_Toc160730857"/>
            <w:bookmarkStart w:id="280" w:name="_Toc177482885"/>
            <w:bookmarkStart w:id="281" w:name="_Toc181293519"/>
            <w:bookmarkStart w:id="282" w:name="_Toc156144133"/>
            <w:bookmarkStart w:id="283" w:name="_Toc158491240"/>
            <w:bookmarkStart w:id="284" w:name="_Toc160473781"/>
            <w:bookmarkStart w:id="285" w:name="_Toc159349008"/>
            <w:bookmarkStart w:id="286" w:name="_Toc161415535"/>
            <w:bookmarkStart w:id="287" w:name="_Toc177488197"/>
            <w:bookmarkStart w:id="288" w:name="_Toc181738204"/>
            <w:bookmarkStart w:id="289" w:name="_Toc177072813"/>
            <w:r>
              <w:rPr>
                <w:rFonts w:hint="eastAsia"/>
                <w:color w:val="auto"/>
              </w:rPr>
              <w:t>与《云南省发展和改革委员会关于加强光伏资源开发建设有关工作的通知》（云发改能源〔2023〕785号）的符合性分析</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091D494B">
            <w:pPr>
              <w:ind w:firstLine="480"/>
              <w:rPr>
                <w:color w:val="auto"/>
                <w:szCs w:val="21"/>
              </w:rPr>
            </w:pPr>
            <w:r>
              <w:rPr>
                <w:rFonts w:hint="eastAsia"/>
                <w:color w:val="auto"/>
                <w:szCs w:val="21"/>
              </w:rPr>
              <w:t>为贯彻落实省委“3815”战略发展目标，发挥云南省光伏资源优势，云南省发展和改革委员会发布了《云南省发展和改革委员会关于加强光伏资源开发建设有关工作的通知》（云发改能源〔2023〕785号）。</w:t>
            </w:r>
          </w:p>
          <w:p w14:paraId="43918143">
            <w:pPr>
              <w:ind w:firstLine="480"/>
              <w:rPr>
                <w:color w:val="auto"/>
                <w:szCs w:val="21"/>
              </w:rPr>
            </w:pPr>
            <w:r>
              <w:rPr>
                <w:rFonts w:hint="eastAsia"/>
                <w:color w:val="auto"/>
                <w:szCs w:val="21"/>
              </w:rPr>
              <w:t>本项目与《云南省发展和改革委员会关于加强光伏资源开发建设有关工作的通知》（云发改能源〔2023〕785号）的符合性见下表。</w:t>
            </w:r>
          </w:p>
          <w:p w14:paraId="4018B7F7">
            <w:pPr>
              <w:pStyle w:val="63"/>
              <w:rPr>
                <w:color w:val="auto"/>
              </w:rPr>
            </w:pPr>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1.5</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2</w:t>
            </w:r>
            <w:r>
              <w:rPr>
                <w:color w:val="auto"/>
                <w:szCs w:val="24"/>
              </w:rPr>
              <w:fldChar w:fldCharType="end"/>
            </w:r>
            <w:r>
              <w:rPr>
                <w:color w:val="auto"/>
                <w:szCs w:val="24"/>
              </w:rPr>
              <w:t xml:space="preserve">  </w:t>
            </w:r>
            <w:r>
              <w:rPr>
                <w:rFonts w:hint="eastAsia"/>
                <w:color w:val="auto"/>
              </w:rPr>
              <w:t>项目与《云南省发展和改革委员会关于加强光伏资源开发建设有关工作的通知》（云发改能源〔2023〕785号）的符合性分析</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766"/>
              <w:gridCol w:w="2503"/>
              <w:gridCol w:w="903"/>
            </w:tblGrid>
            <w:tr w14:paraId="47BC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02" w:type="dxa"/>
                  <w:gridSpan w:val="2"/>
                  <w:vAlign w:val="center"/>
                </w:tcPr>
                <w:p w14:paraId="0F56434B">
                  <w:pPr>
                    <w:pStyle w:val="167"/>
                    <w:rPr>
                      <w:rFonts w:hint="eastAsia"/>
                      <w:b/>
                      <w:color w:val="auto"/>
                      <w:sz w:val="21"/>
                      <w:szCs w:val="21"/>
                    </w:rPr>
                  </w:pPr>
                  <w:r>
                    <w:rPr>
                      <w:rFonts w:hint="eastAsia"/>
                      <w:b/>
                      <w:color w:val="auto"/>
                      <w:sz w:val="21"/>
                      <w:szCs w:val="21"/>
                    </w:rPr>
                    <w:t>文件要求</w:t>
                  </w:r>
                </w:p>
              </w:tc>
              <w:tc>
                <w:tcPr>
                  <w:tcW w:w="2503" w:type="dxa"/>
                  <w:vAlign w:val="center"/>
                </w:tcPr>
                <w:p w14:paraId="7B604F70">
                  <w:pPr>
                    <w:pStyle w:val="167"/>
                    <w:rPr>
                      <w:rFonts w:hint="eastAsia"/>
                      <w:b/>
                      <w:color w:val="auto"/>
                      <w:sz w:val="21"/>
                      <w:szCs w:val="21"/>
                    </w:rPr>
                  </w:pPr>
                  <w:r>
                    <w:rPr>
                      <w:b/>
                      <w:color w:val="auto"/>
                      <w:sz w:val="21"/>
                      <w:szCs w:val="21"/>
                    </w:rPr>
                    <w:t>本项目情况</w:t>
                  </w:r>
                </w:p>
              </w:tc>
              <w:tc>
                <w:tcPr>
                  <w:tcW w:w="903" w:type="dxa"/>
                  <w:vAlign w:val="center"/>
                </w:tcPr>
                <w:p w14:paraId="38D4688F">
                  <w:pPr>
                    <w:widowControl/>
                    <w:spacing w:line="240" w:lineRule="auto"/>
                    <w:ind w:firstLine="0" w:firstLineChars="0"/>
                    <w:jc w:val="center"/>
                    <w:rPr>
                      <w:rFonts w:cs="Times New Roman"/>
                      <w:color w:val="auto"/>
                      <w:kern w:val="0"/>
                      <w:sz w:val="21"/>
                      <w:szCs w:val="21"/>
                    </w:rPr>
                  </w:pPr>
                  <w:r>
                    <w:rPr>
                      <w:rFonts w:cs="Times New Roman"/>
                      <w:b/>
                      <w:color w:val="auto"/>
                      <w:kern w:val="0"/>
                      <w:sz w:val="21"/>
                      <w:szCs w:val="21"/>
                    </w:rPr>
                    <w:t>符合性</w:t>
                  </w:r>
                </w:p>
              </w:tc>
            </w:tr>
            <w:tr w14:paraId="60E2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36" w:type="dxa"/>
                  <w:vAlign w:val="center"/>
                </w:tcPr>
                <w:p w14:paraId="14494EF9">
                  <w:pPr>
                    <w:pStyle w:val="167"/>
                    <w:rPr>
                      <w:rFonts w:hint="eastAsia"/>
                      <w:color w:val="auto"/>
                      <w:sz w:val="21"/>
                      <w:szCs w:val="21"/>
                    </w:rPr>
                  </w:pPr>
                  <w:r>
                    <w:rPr>
                      <w:rFonts w:hint="eastAsia"/>
                      <w:color w:val="auto"/>
                      <w:sz w:val="21"/>
                      <w:szCs w:val="21"/>
                    </w:rPr>
                    <w:t>一、做深做细项目前期工作</w:t>
                  </w:r>
                </w:p>
              </w:tc>
              <w:tc>
                <w:tcPr>
                  <w:tcW w:w="2766" w:type="dxa"/>
                  <w:vAlign w:val="center"/>
                </w:tcPr>
                <w:p w14:paraId="5B675CA1">
                  <w:pPr>
                    <w:pStyle w:val="167"/>
                    <w:jc w:val="both"/>
                    <w:rPr>
                      <w:rFonts w:hint="eastAsia"/>
                      <w:color w:val="auto"/>
                      <w:sz w:val="21"/>
                      <w:szCs w:val="21"/>
                    </w:rPr>
                  </w:pPr>
                  <w:r>
                    <w:rPr>
                      <w:rFonts w:hint="eastAsia"/>
                      <w:color w:val="auto"/>
                      <w:sz w:val="21"/>
                      <w:szCs w:val="21"/>
                    </w:rPr>
                    <w:t>一）开展资源系统排查。统筹考虑生态环境敏感因素及项目的可行性，扣除生态保护红线、耕地（含永久基本农田）、城镇开发边界、天然林、采矿权、耕地林地后备资源、坡度大于40度等区域，鼓励利用采矿沉陷区、尾矿库以及“四荒地”等未利用地，优化现有全省光伏资源分布“一张图”。各州、市按照光伏资源分布“一张图”，统筹协调做好辖区内的光伏资源排查、规划优化调整等技术性工作，加强对企业的指导，未在“一张图”范围内的光伏项目，一律不得纳入各级政府规划、开展前期准备工作。</w:t>
                  </w:r>
                </w:p>
              </w:tc>
              <w:tc>
                <w:tcPr>
                  <w:tcW w:w="2503" w:type="dxa"/>
                  <w:vAlign w:val="center"/>
                </w:tcPr>
                <w:p w14:paraId="275972D8">
                  <w:pPr>
                    <w:pStyle w:val="167"/>
                    <w:jc w:val="both"/>
                    <w:rPr>
                      <w:rFonts w:hint="eastAsia"/>
                      <w:color w:val="auto"/>
                      <w:sz w:val="21"/>
                      <w:szCs w:val="21"/>
                    </w:rPr>
                  </w:pPr>
                  <w:r>
                    <w:rPr>
                      <w:rFonts w:hint="eastAsia"/>
                      <w:color w:val="auto"/>
                      <w:sz w:val="21"/>
                      <w:szCs w:val="21"/>
                    </w:rPr>
                    <w:t>根据《</w:t>
                  </w:r>
                  <w:r>
                    <w:rPr>
                      <w:rFonts w:hint="eastAsia"/>
                      <w:color w:val="auto"/>
                      <w:sz w:val="21"/>
                      <w:szCs w:val="21"/>
                    </w:rPr>
                    <w:fldChar w:fldCharType="begin"/>
                  </w:r>
                  <w:r>
                    <w:rPr>
                      <w:rFonts w:hint="eastAsia"/>
                      <w:color w:val="auto"/>
                      <w:sz w:val="21"/>
                      <w:szCs w:val="21"/>
                    </w:rPr>
                    <w:instrText xml:space="preserve"> REF _Ref218539235 \h  \* MERGEFORMAT </w:instrText>
                  </w:r>
                  <w:r>
                    <w:rPr>
                      <w:rFonts w:hint="eastAsia"/>
                      <w:color w:val="auto"/>
                      <w:sz w:val="21"/>
                      <w:szCs w:val="21"/>
                    </w:rPr>
                    <w:fldChar w:fldCharType="separate"/>
                  </w:r>
                  <w:r>
                    <w:rPr>
                      <w:rFonts w:hint="eastAsia"/>
                      <w:color w:val="auto"/>
                      <w:sz w:val="21"/>
                      <w:szCs w:val="21"/>
                    </w:rPr>
                    <w:t>南涧彝族自治县自然资源局关于沙乐光伏发电项目用地审查意见</w:t>
                  </w:r>
                  <w:r>
                    <w:rPr>
                      <w:rFonts w:hint="eastAsia"/>
                      <w:color w:val="auto"/>
                      <w:sz w:val="21"/>
                      <w:szCs w:val="21"/>
                    </w:rPr>
                    <w:fldChar w:fldCharType="end"/>
                  </w:r>
                  <w:r>
                    <w:rPr>
                      <w:rFonts w:hint="eastAsia"/>
                      <w:color w:val="auto"/>
                      <w:sz w:val="21"/>
                      <w:szCs w:val="21"/>
                    </w:rPr>
                    <w:t>》，本项目拟选址方案不占用永久基本农田、生态保护红线以及耕地保护范围，位于城镇开发边界以外，与各类管控红线不交叉重叠。</w:t>
                  </w:r>
                </w:p>
                <w:p w14:paraId="2D978097">
                  <w:pPr>
                    <w:pStyle w:val="167"/>
                    <w:jc w:val="both"/>
                    <w:rPr>
                      <w:rFonts w:hint="eastAsia"/>
                      <w:color w:val="auto"/>
                      <w:sz w:val="21"/>
                      <w:szCs w:val="21"/>
                    </w:rPr>
                  </w:pPr>
                  <w:r>
                    <w:rPr>
                      <w:rFonts w:hint="eastAsia"/>
                      <w:color w:val="auto"/>
                      <w:sz w:val="21"/>
                      <w:szCs w:val="21"/>
                    </w:rPr>
                    <w:t>根据《</w:t>
                  </w:r>
                  <w:r>
                    <w:rPr>
                      <w:rFonts w:hint="eastAsia"/>
                      <w:color w:val="auto"/>
                      <w:sz w:val="21"/>
                      <w:szCs w:val="21"/>
                    </w:rPr>
                    <w:fldChar w:fldCharType="begin"/>
                  </w:r>
                  <w:r>
                    <w:rPr>
                      <w:rFonts w:hint="eastAsia"/>
                      <w:color w:val="auto"/>
                      <w:sz w:val="21"/>
                      <w:szCs w:val="21"/>
                    </w:rPr>
                    <w:instrText xml:space="preserve"> REF _Ref218625276 \h  \* MERGEFORMAT </w:instrText>
                  </w:r>
                  <w:r>
                    <w:rPr>
                      <w:rFonts w:hint="eastAsia"/>
                      <w:color w:val="auto"/>
                      <w:sz w:val="21"/>
                      <w:szCs w:val="21"/>
                    </w:rPr>
                    <w:fldChar w:fldCharType="separate"/>
                  </w:r>
                  <w:r>
                    <w:rPr>
                      <w:rFonts w:hint="eastAsia"/>
                      <w:color w:val="auto"/>
                      <w:sz w:val="21"/>
                      <w:szCs w:val="21"/>
                    </w:rPr>
                    <w:t>南涧彝族自治县林业和草原局关于沙乐光伏发电项目选址意见</w:t>
                  </w:r>
                  <w:r>
                    <w:rPr>
                      <w:rFonts w:hint="eastAsia"/>
                      <w:color w:val="auto"/>
                      <w:sz w:val="21"/>
                      <w:szCs w:val="21"/>
                    </w:rPr>
                    <w:fldChar w:fldCharType="end"/>
                  </w:r>
                  <w:r>
                    <w:rPr>
                      <w:rFonts w:hint="eastAsia"/>
                      <w:color w:val="auto"/>
                      <w:sz w:val="21"/>
                      <w:szCs w:val="21"/>
                    </w:rPr>
                    <w:t>》，项目不涉及林地、草地；不涉及公益林、自然保护区、风景名胜区。</w:t>
                  </w:r>
                </w:p>
              </w:tc>
              <w:tc>
                <w:tcPr>
                  <w:tcW w:w="903" w:type="dxa"/>
                  <w:vAlign w:val="center"/>
                </w:tcPr>
                <w:p w14:paraId="282CFC92">
                  <w:pPr>
                    <w:pStyle w:val="167"/>
                    <w:rPr>
                      <w:rFonts w:hint="eastAsia"/>
                      <w:color w:val="auto"/>
                      <w:sz w:val="21"/>
                      <w:szCs w:val="21"/>
                    </w:rPr>
                  </w:pPr>
                  <w:r>
                    <w:rPr>
                      <w:color w:val="auto"/>
                      <w:sz w:val="21"/>
                      <w:szCs w:val="21"/>
                    </w:rPr>
                    <w:t>符合</w:t>
                  </w:r>
                </w:p>
              </w:tc>
            </w:tr>
            <w:tr w14:paraId="3F68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636" w:type="dxa"/>
                  <w:vAlign w:val="center"/>
                </w:tcPr>
                <w:p w14:paraId="5FE923E6">
                  <w:pPr>
                    <w:pStyle w:val="167"/>
                    <w:rPr>
                      <w:rFonts w:hint="eastAsia"/>
                      <w:color w:val="auto"/>
                      <w:sz w:val="21"/>
                      <w:szCs w:val="21"/>
                    </w:rPr>
                  </w:pPr>
                  <w:r>
                    <w:rPr>
                      <w:rFonts w:hint="eastAsia"/>
                      <w:color w:val="auto"/>
                      <w:sz w:val="21"/>
                      <w:szCs w:val="21"/>
                    </w:rPr>
                    <w:t>二、强化项目用林用地保障服务</w:t>
                  </w:r>
                </w:p>
              </w:tc>
              <w:tc>
                <w:tcPr>
                  <w:tcW w:w="2766" w:type="dxa"/>
                  <w:vAlign w:val="center"/>
                </w:tcPr>
                <w:p w14:paraId="0E130626">
                  <w:pPr>
                    <w:pStyle w:val="167"/>
                    <w:jc w:val="both"/>
                    <w:rPr>
                      <w:rFonts w:hint="eastAsia"/>
                      <w:color w:val="auto"/>
                      <w:sz w:val="21"/>
                      <w:szCs w:val="21"/>
                    </w:rPr>
                  </w:pPr>
                  <w:r>
                    <w:rPr>
                      <w:rFonts w:hint="eastAsia"/>
                      <w:color w:val="auto"/>
                      <w:sz w:val="21"/>
                      <w:szCs w:val="21"/>
                    </w:rPr>
                    <w:t>四）加强项目报批指导。从源头控制好报件质量，做到上下联动、及时审批。对纳入新能源年度建设方案的项目，项目业主向自然资源、生态环境、水利、林草等部门申领审批事项办理告知书，告知书中将审批流程、申报材料等事项一次性告知。项目业主要落实主体责任，做实做细项目报批前期基础工作。</w:t>
                  </w:r>
                </w:p>
              </w:tc>
              <w:tc>
                <w:tcPr>
                  <w:tcW w:w="2503" w:type="dxa"/>
                  <w:vAlign w:val="center"/>
                </w:tcPr>
                <w:p w14:paraId="0ADFA03F">
                  <w:pPr>
                    <w:pStyle w:val="167"/>
                    <w:jc w:val="both"/>
                    <w:rPr>
                      <w:rFonts w:hint="eastAsia"/>
                      <w:color w:val="auto"/>
                      <w:sz w:val="21"/>
                      <w:szCs w:val="21"/>
                    </w:rPr>
                  </w:pPr>
                  <w:r>
                    <w:rPr>
                      <w:rFonts w:hint="eastAsia"/>
                      <w:color w:val="auto"/>
                      <w:sz w:val="21"/>
                      <w:szCs w:val="21"/>
                    </w:rPr>
                    <w:t>项目已取得自然资源、生态环境、水务、林草等部门的选址意见，并且已取得南涧县发展和改革局投资项目备案证。</w:t>
                  </w:r>
                </w:p>
              </w:tc>
              <w:tc>
                <w:tcPr>
                  <w:tcW w:w="903" w:type="dxa"/>
                  <w:vAlign w:val="center"/>
                </w:tcPr>
                <w:p w14:paraId="40134C74">
                  <w:pPr>
                    <w:pStyle w:val="167"/>
                    <w:rPr>
                      <w:rFonts w:hint="eastAsia"/>
                      <w:color w:val="auto"/>
                      <w:sz w:val="21"/>
                      <w:szCs w:val="21"/>
                    </w:rPr>
                  </w:pPr>
                  <w:r>
                    <w:rPr>
                      <w:color w:val="auto"/>
                      <w:sz w:val="21"/>
                      <w:szCs w:val="21"/>
                    </w:rPr>
                    <w:t>符合</w:t>
                  </w:r>
                </w:p>
              </w:tc>
            </w:tr>
          </w:tbl>
          <w:p w14:paraId="36858F16">
            <w:pPr>
              <w:autoSpaceDE w:val="0"/>
              <w:autoSpaceDN w:val="0"/>
              <w:adjustRightInd w:val="0"/>
              <w:snapToGrid w:val="0"/>
              <w:ind w:firstLine="480"/>
              <w:jc w:val="left"/>
              <w:rPr>
                <w:color w:val="auto"/>
                <w:kern w:val="0"/>
                <w:szCs w:val="21"/>
              </w:rPr>
            </w:pPr>
            <w:r>
              <w:rPr>
                <w:color w:val="auto"/>
                <w:kern w:val="0"/>
                <w:szCs w:val="21"/>
              </w:rPr>
              <w:t>综上，项目与</w:t>
            </w:r>
            <w:r>
              <w:rPr>
                <w:rFonts w:hint="eastAsia"/>
                <w:color w:val="auto"/>
                <w:kern w:val="0"/>
                <w:szCs w:val="21"/>
              </w:rPr>
              <w:t>《云南省发展和改革委员会关于加强光伏资源开发建设有关工作的通知》（云发改能源〔2023〕785号）</w:t>
            </w:r>
            <w:r>
              <w:rPr>
                <w:color w:val="auto"/>
                <w:kern w:val="0"/>
                <w:szCs w:val="21"/>
              </w:rPr>
              <w:t>相关要求相符。</w:t>
            </w:r>
          </w:p>
          <w:p w14:paraId="3CCF0F51">
            <w:pPr>
              <w:pStyle w:val="4"/>
              <w:spacing w:before="48" w:after="48"/>
              <w:rPr>
                <w:color w:val="auto"/>
              </w:rPr>
            </w:pPr>
            <w:r>
              <w:rPr>
                <w:rFonts w:hint="eastAsia"/>
                <w:color w:val="auto"/>
              </w:rPr>
              <w:t>与《国家能源局关于支持光伏扶贫和规范光伏发电产业用地的意见》（国土资规</w:t>
            </w:r>
            <w:r>
              <w:rPr>
                <w:rFonts w:hint="eastAsia" w:ascii="宋体" w:hAnsi="宋体"/>
                <w:color w:val="auto"/>
              </w:rPr>
              <w:t>〔</w:t>
            </w:r>
            <w:r>
              <w:rPr>
                <w:rFonts w:hint="eastAsia"/>
                <w:color w:val="auto"/>
              </w:rPr>
              <w:t>2017</w:t>
            </w:r>
            <w:r>
              <w:rPr>
                <w:rFonts w:hint="eastAsia" w:ascii="宋体" w:hAnsi="宋体"/>
                <w:color w:val="auto"/>
              </w:rPr>
              <w:t>〕</w:t>
            </w:r>
            <w:r>
              <w:rPr>
                <w:rFonts w:hint="eastAsia"/>
                <w:color w:val="auto"/>
              </w:rPr>
              <w:t>8号）的符合性分析</w:t>
            </w:r>
          </w:p>
          <w:p w14:paraId="6E8B6579">
            <w:pPr>
              <w:ind w:firstLine="480"/>
              <w:rPr>
                <w:color w:val="auto"/>
              </w:rPr>
            </w:pPr>
            <w:r>
              <w:rPr>
                <w:rFonts w:hint="eastAsia"/>
                <w:color w:val="auto"/>
              </w:rPr>
              <w:t>根据《国家能源局关于支持光伏扶贫和规范光伏发电产业用地的意见》（国土资规</w:t>
            </w:r>
            <w:r>
              <w:rPr>
                <w:rFonts w:hint="eastAsia" w:ascii="宋体" w:hAnsi="宋体"/>
                <w:color w:val="auto"/>
              </w:rPr>
              <w:t>〔</w:t>
            </w:r>
            <w:r>
              <w:rPr>
                <w:rFonts w:hint="eastAsia"/>
                <w:color w:val="auto"/>
              </w:rPr>
              <w:t>2017</w:t>
            </w:r>
            <w:r>
              <w:rPr>
                <w:rFonts w:hint="eastAsia" w:ascii="宋体" w:hAnsi="宋体"/>
                <w:color w:val="auto"/>
              </w:rPr>
              <w:t>〕</w:t>
            </w:r>
            <w:r>
              <w:rPr>
                <w:rFonts w:hint="eastAsia"/>
                <w:color w:val="auto"/>
              </w:rPr>
              <w:t>8号），光伏发电规划应符合土地利用总体规划等相关规划，可以利用未利用地的，不得占用农用地；可以利用劣地的，不得占用好地。禁止以任何方式占用永久基本农田，严禁在国家相关法律法规和规划明确禁止的区域发展光伏发电项目。</w:t>
            </w:r>
          </w:p>
          <w:p w14:paraId="74C0C4FF">
            <w:pPr>
              <w:ind w:firstLine="480"/>
              <w:rPr>
                <w:color w:val="auto"/>
              </w:rPr>
            </w:pPr>
            <w:r>
              <w:rPr>
                <w:rFonts w:hint="eastAsia"/>
                <w:color w:val="auto"/>
              </w:rPr>
              <w:t>除本文件确定的光伏扶贫项目及利用农用地复合建设的光伏发电站项目（以下简称光伏复合项目）外，其他光伏发电站项目用地应严格执行国土资规</w:t>
            </w:r>
            <w:r>
              <w:rPr>
                <w:rFonts w:hint="eastAsia" w:ascii="宋体" w:hAnsi="宋体"/>
                <w:color w:val="auto"/>
              </w:rPr>
              <w:t>〔</w:t>
            </w:r>
            <w:r>
              <w:rPr>
                <w:rFonts w:hint="eastAsia"/>
                <w:color w:val="auto"/>
              </w:rPr>
              <w:t>2015</w:t>
            </w:r>
            <w:r>
              <w:rPr>
                <w:rFonts w:hint="eastAsia" w:ascii="宋体" w:hAnsi="宋体"/>
                <w:color w:val="auto"/>
              </w:rPr>
              <w:t>〕</w:t>
            </w:r>
            <w:r>
              <w:rPr>
                <w:rFonts w:hint="eastAsia"/>
                <w:color w:val="auto"/>
              </w:rPr>
              <w:t>5号文件规定，使用未利用地的，光伏方阵用地部分可按原地类认定，不改变土地用途，用地允许以租赁等方式取得，双方签订补偿协议，报当地具级国土资源主管部门备案，其他用地部分应当办理建设用地审批手续；使用农用地的，所有用地均应当办理建设用地审批手续。新建、改建和扩建地面光伏发电站工程项目，按建设用地和未利用地管理的，应严格执行《光伏发电站工程项目用地控制指标》（国土资规</w:t>
            </w:r>
            <w:r>
              <w:rPr>
                <w:rFonts w:hint="eastAsia" w:ascii="宋体" w:hAnsi="宋体"/>
                <w:color w:val="auto"/>
              </w:rPr>
              <w:t>〔</w:t>
            </w:r>
            <w:r>
              <w:rPr>
                <w:rFonts w:hint="eastAsia"/>
                <w:color w:val="auto"/>
              </w:rPr>
              <w:t>2015</w:t>
            </w:r>
            <w:r>
              <w:rPr>
                <w:rFonts w:hint="eastAsia" w:ascii="宋体" w:hAnsi="宋体"/>
                <w:color w:val="auto"/>
              </w:rPr>
              <w:t>〕</w:t>
            </w:r>
            <w:r>
              <w:rPr>
                <w:rFonts w:hint="eastAsia"/>
                <w:color w:val="auto"/>
              </w:rPr>
              <w:t>11号）要求，合理利用土地。</w:t>
            </w:r>
          </w:p>
          <w:p w14:paraId="22525629">
            <w:pPr>
              <w:ind w:firstLine="480"/>
              <w:rPr>
                <w:color w:val="auto"/>
              </w:rPr>
            </w:pPr>
            <w:r>
              <w:rPr>
                <w:color w:val="auto"/>
                <w:szCs w:val="24"/>
              </w:rPr>
              <w:t>根据</w:t>
            </w:r>
            <w:r>
              <w:rPr>
                <w:rFonts w:hint="eastAsia"/>
                <w:color w:val="auto"/>
                <w:szCs w:val="24"/>
              </w:rPr>
              <w:t>《</w:t>
            </w:r>
            <w:r>
              <w:rPr>
                <w:color w:val="auto"/>
                <w:szCs w:val="24"/>
              </w:rPr>
              <w:fldChar w:fldCharType="begin"/>
            </w:r>
            <w:r>
              <w:rPr>
                <w:color w:val="auto"/>
                <w:szCs w:val="24"/>
              </w:rPr>
              <w:instrText xml:space="preserve"> </w:instrText>
            </w:r>
            <w:r>
              <w:rPr>
                <w:rFonts w:hint="eastAsia"/>
                <w:color w:val="auto"/>
                <w:szCs w:val="24"/>
              </w:rPr>
              <w:instrText xml:space="preserve">REF _Ref218539235 \h</w:instrText>
            </w:r>
            <w:r>
              <w:rPr>
                <w:color w:val="auto"/>
                <w:szCs w:val="24"/>
              </w:rPr>
              <w:instrText xml:space="preserve"> </w:instrText>
            </w:r>
            <w:r>
              <w:rPr>
                <w:color w:val="auto"/>
                <w:szCs w:val="24"/>
              </w:rPr>
              <w:fldChar w:fldCharType="separate"/>
            </w:r>
            <w:r>
              <w:rPr>
                <w:rFonts w:hint="eastAsia"/>
                <w:color w:val="auto"/>
                <w:szCs w:val="28"/>
              </w:rPr>
              <w:t>南涧彝族自治县自然资源局关于沙乐光伏发电项目用地审查意见</w:t>
            </w:r>
            <w:r>
              <w:rPr>
                <w:color w:val="auto"/>
                <w:szCs w:val="24"/>
              </w:rPr>
              <w:fldChar w:fldCharType="end"/>
            </w:r>
            <w:r>
              <w:rPr>
                <w:rFonts w:hint="eastAsia"/>
                <w:color w:val="auto"/>
                <w:szCs w:val="24"/>
              </w:rPr>
              <w:t>》</w:t>
            </w:r>
            <w:r>
              <w:rPr>
                <w:color w:val="auto"/>
              </w:rPr>
              <w:t>，本项目选址不占用生态保护红线、永久基本农田、城镇开发边界，项目建设不改变土地用途，目前正在按照相关规定办理用地手续。项目建设占地符合《国家能源局关于支持光伏扶贫和规范光伏发电产业用地的意见》中相关规定。</w:t>
            </w:r>
          </w:p>
          <w:p w14:paraId="4BC02F8C">
            <w:pPr>
              <w:pStyle w:val="4"/>
              <w:spacing w:before="48" w:after="48"/>
              <w:rPr>
                <w:color w:val="auto"/>
              </w:rPr>
            </w:pPr>
            <w:r>
              <w:rPr>
                <w:color w:val="auto"/>
              </w:rPr>
              <w:t>与《</w:t>
            </w:r>
            <w:r>
              <w:rPr>
                <w:rFonts w:hint="eastAsia"/>
                <w:color w:val="auto"/>
              </w:rPr>
              <w:t>自然资源部办公厅 国家林业和草原局办公室 国家能源局综合司关于支持光伏发电产业发展规范用地管理有关工作的通知</w:t>
            </w:r>
            <w:r>
              <w:rPr>
                <w:color w:val="auto"/>
              </w:rPr>
              <w:t>》（</w:t>
            </w:r>
            <w:r>
              <w:rPr>
                <w:rFonts w:hint="eastAsia"/>
                <w:color w:val="auto"/>
              </w:rPr>
              <w:t>自然资办发〔2023〕12号</w:t>
            </w:r>
            <w:r>
              <w:rPr>
                <w:color w:val="auto"/>
              </w:rPr>
              <w:t>）符合性</w:t>
            </w:r>
          </w:p>
          <w:p w14:paraId="26ECE0BB">
            <w:pPr>
              <w:autoSpaceDE w:val="0"/>
              <w:autoSpaceDN w:val="0"/>
              <w:adjustRightInd w:val="0"/>
              <w:snapToGrid w:val="0"/>
              <w:ind w:firstLine="480"/>
              <w:jc w:val="left"/>
              <w:rPr>
                <w:color w:val="auto"/>
                <w:kern w:val="0"/>
              </w:rPr>
            </w:pPr>
            <w:r>
              <w:rPr>
                <w:rFonts w:hint="eastAsia"/>
                <w:color w:val="auto"/>
                <w:kern w:val="0"/>
              </w:rPr>
              <w:t>本项目与《自然资源部办公厅 国家林业和草原局办公室 国家能源局综合司关于支</w:t>
            </w:r>
            <w:r>
              <w:rPr>
                <w:color w:val="auto"/>
                <w:kern w:val="0"/>
              </w:rPr>
              <w:t>持光伏发电产业发展规范用地管理有关工作的通知》（自然资办发〔2023〕12号）</w:t>
            </w:r>
            <w:r>
              <w:rPr>
                <w:rFonts w:hint="eastAsia"/>
                <w:color w:val="auto"/>
                <w:kern w:val="0"/>
              </w:rPr>
              <w:t>的符合性分析见下表。</w:t>
            </w:r>
          </w:p>
          <w:p w14:paraId="68763BB9">
            <w:pPr>
              <w:pStyle w:val="63"/>
              <w:rPr>
                <w:color w:val="auto"/>
              </w:rPr>
            </w:pPr>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1.5</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3</w:t>
            </w:r>
            <w:r>
              <w:rPr>
                <w:color w:val="auto"/>
                <w:szCs w:val="24"/>
              </w:rPr>
              <w:fldChar w:fldCharType="end"/>
            </w:r>
            <w:r>
              <w:rPr>
                <w:color w:val="auto"/>
                <w:szCs w:val="24"/>
              </w:rPr>
              <w:t xml:space="preserve"> </w:t>
            </w:r>
            <w:r>
              <w:rPr>
                <w:rFonts w:hint="eastAsia"/>
                <w:color w:val="auto"/>
              </w:rPr>
              <w:t xml:space="preserve"> 项目与自然资办发〔2023〕12号文的符合性分析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3056"/>
              <w:gridCol w:w="2209"/>
              <w:gridCol w:w="686"/>
            </w:tblGrid>
            <w:tr w14:paraId="0259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3" w:type="pct"/>
                  <w:gridSpan w:val="2"/>
                  <w:vAlign w:val="center"/>
                </w:tcPr>
                <w:p w14:paraId="1ADE2796">
                  <w:pPr>
                    <w:pStyle w:val="167"/>
                    <w:rPr>
                      <w:rFonts w:hint="eastAsia"/>
                      <w:b/>
                      <w:bCs/>
                      <w:color w:val="auto"/>
                      <w:sz w:val="21"/>
                      <w:szCs w:val="21"/>
                    </w:rPr>
                  </w:pPr>
                  <w:r>
                    <w:rPr>
                      <w:b/>
                      <w:bCs/>
                      <w:color w:val="auto"/>
                      <w:sz w:val="21"/>
                      <w:szCs w:val="21"/>
                    </w:rPr>
                    <w:t>管理要求</w:t>
                  </w:r>
                </w:p>
              </w:tc>
              <w:tc>
                <w:tcPr>
                  <w:tcW w:w="1600" w:type="pct"/>
                  <w:vAlign w:val="center"/>
                </w:tcPr>
                <w:p w14:paraId="57A1773D">
                  <w:pPr>
                    <w:pStyle w:val="167"/>
                    <w:rPr>
                      <w:rFonts w:hint="eastAsia"/>
                      <w:b/>
                      <w:bCs/>
                      <w:color w:val="auto"/>
                      <w:sz w:val="21"/>
                      <w:szCs w:val="21"/>
                    </w:rPr>
                  </w:pPr>
                  <w:r>
                    <w:rPr>
                      <w:b/>
                      <w:bCs/>
                      <w:color w:val="auto"/>
                      <w:sz w:val="21"/>
                      <w:szCs w:val="21"/>
                    </w:rPr>
                    <w:t>本项目情况</w:t>
                  </w:r>
                </w:p>
              </w:tc>
              <w:tc>
                <w:tcPr>
                  <w:tcW w:w="497" w:type="pct"/>
                  <w:vAlign w:val="center"/>
                </w:tcPr>
                <w:p w14:paraId="68683F84">
                  <w:pPr>
                    <w:pStyle w:val="167"/>
                    <w:rPr>
                      <w:rFonts w:hint="eastAsia"/>
                      <w:b/>
                      <w:bCs/>
                      <w:color w:val="auto"/>
                      <w:sz w:val="21"/>
                      <w:szCs w:val="21"/>
                    </w:rPr>
                  </w:pPr>
                  <w:r>
                    <w:rPr>
                      <w:b/>
                      <w:bCs/>
                      <w:color w:val="auto"/>
                      <w:sz w:val="21"/>
                      <w:szCs w:val="21"/>
                    </w:rPr>
                    <w:t>符合性</w:t>
                  </w:r>
                </w:p>
              </w:tc>
            </w:tr>
            <w:tr w14:paraId="3BCE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90" w:type="pct"/>
                  <w:vMerge w:val="restart"/>
                  <w:vAlign w:val="center"/>
                </w:tcPr>
                <w:p w14:paraId="42AC4A5D">
                  <w:pPr>
                    <w:pStyle w:val="167"/>
                    <w:rPr>
                      <w:rFonts w:hint="eastAsia"/>
                      <w:b/>
                      <w:color w:val="auto"/>
                      <w:sz w:val="21"/>
                      <w:szCs w:val="21"/>
                    </w:rPr>
                  </w:pPr>
                  <w:r>
                    <w:rPr>
                      <w:color w:val="auto"/>
                      <w:sz w:val="21"/>
                      <w:szCs w:val="21"/>
                    </w:rPr>
                    <w:t>一、引导项目合理布局</w:t>
                  </w:r>
                </w:p>
              </w:tc>
              <w:tc>
                <w:tcPr>
                  <w:tcW w:w="2213" w:type="pct"/>
                  <w:vAlign w:val="center"/>
                </w:tcPr>
                <w:p w14:paraId="66AD9A3E">
                  <w:pPr>
                    <w:pStyle w:val="167"/>
                    <w:jc w:val="both"/>
                    <w:rPr>
                      <w:rFonts w:hint="eastAsia"/>
                      <w:b/>
                      <w:color w:val="auto"/>
                      <w:sz w:val="21"/>
                      <w:szCs w:val="21"/>
                    </w:rPr>
                  </w:pPr>
                  <w:r>
                    <w:rPr>
                      <w:color w:val="auto"/>
                      <w:sz w:val="21"/>
                      <w:szCs w:val="21"/>
                    </w:rPr>
                    <w:t>（一）做好光伏发电产业发展规划与国土空间规划的衔接。各地要认真做好绿色能源发展规划等专项规划与国土空间规划的衔接，优化大型光伏基地和光伏发电项目空间布局。在市、县、乡镇国土空间总体规划中将其列入重点建设项目清单，合理安排光伏项目新增用地规模、布局和开发建设时序。在符合“三区三线”管控规则的前提下，相关项目经可行性论证后可统筹纳入国土空间规划“一张图”，作为审批光伏项目新增用地用林用草的规划依据。</w:t>
                  </w:r>
                </w:p>
              </w:tc>
              <w:tc>
                <w:tcPr>
                  <w:tcW w:w="1600" w:type="pct"/>
                  <w:vAlign w:val="center"/>
                </w:tcPr>
                <w:p w14:paraId="47BFFEC7">
                  <w:pPr>
                    <w:pStyle w:val="167"/>
                    <w:jc w:val="both"/>
                    <w:rPr>
                      <w:rFonts w:hint="eastAsia"/>
                      <w:color w:val="auto"/>
                      <w:sz w:val="21"/>
                      <w:szCs w:val="21"/>
                    </w:rPr>
                  </w:pPr>
                  <w:r>
                    <w:rPr>
                      <w:rFonts w:hint="eastAsia"/>
                      <w:color w:val="auto"/>
                      <w:sz w:val="21"/>
                      <w:szCs w:val="21"/>
                    </w:rPr>
                    <w:t>对照于《云南省发展和改革委员会云南省能源局关于印发云南省2025年第一批新能源项目开发建设方案的通知》中“云南省2025年新能源项目建设清单”，项目属于该清单内项目。</w:t>
                  </w:r>
                </w:p>
                <w:p w14:paraId="2D031FCE">
                  <w:pPr>
                    <w:pStyle w:val="167"/>
                    <w:jc w:val="both"/>
                    <w:rPr>
                      <w:rFonts w:hint="eastAsia"/>
                      <w:b/>
                      <w:color w:val="auto"/>
                      <w:sz w:val="21"/>
                      <w:szCs w:val="21"/>
                    </w:rPr>
                  </w:pPr>
                  <w:r>
                    <w:rPr>
                      <w:rFonts w:hint="eastAsia"/>
                      <w:color w:val="auto"/>
                      <w:sz w:val="21"/>
                      <w:szCs w:val="21"/>
                    </w:rPr>
                    <w:t>根据云南省自然资源厅发布的“三区三线”划定成果及《</w:t>
                  </w:r>
                  <w:r>
                    <w:rPr>
                      <w:rFonts w:hint="eastAsia"/>
                      <w:color w:val="auto"/>
                      <w:sz w:val="21"/>
                      <w:szCs w:val="21"/>
                    </w:rPr>
                    <w:fldChar w:fldCharType="begin"/>
                  </w:r>
                  <w:r>
                    <w:rPr>
                      <w:rFonts w:hint="eastAsia"/>
                      <w:color w:val="auto"/>
                      <w:sz w:val="21"/>
                      <w:szCs w:val="21"/>
                    </w:rPr>
                    <w:instrText xml:space="preserve"> REF _Ref218539235 \h  \* MERGEFORMAT </w:instrText>
                  </w:r>
                  <w:r>
                    <w:rPr>
                      <w:rFonts w:hint="eastAsia"/>
                      <w:color w:val="auto"/>
                      <w:sz w:val="21"/>
                      <w:szCs w:val="21"/>
                    </w:rPr>
                    <w:fldChar w:fldCharType="separate"/>
                  </w:r>
                  <w:r>
                    <w:rPr>
                      <w:rFonts w:hint="eastAsia"/>
                      <w:color w:val="auto"/>
                      <w:sz w:val="21"/>
                      <w:szCs w:val="21"/>
                    </w:rPr>
                    <w:t>南涧彝族自治县自然资源局关于沙乐光伏发电项目用地审查意见</w:t>
                  </w:r>
                  <w:r>
                    <w:rPr>
                      <w:rFonts w:hint="eastAsia"/>
                      <w:color w:val="auto"/>
                      <w:sz w:val="21"/>
                      <w:szCs w:val="21"/>
                    </w:rPr>
                    <w:fldChar w:fldCharType="end"/>
                  </w:r>
                  <w:r>
                    <w:rPr>
                      <w:rFonts w:hint="eastAsia"/>
                      <w:color w:val="auto"/>
                      <w:sz w:val="21"/>
                      <w:szCs w:val="21"/>
                    </w:rPr>
                    <w:t>》，本项目选址不占用生态保护红线、永久基本农田、城镇开发边界，与各类管控红线不交叉重叠。</w:t>
                  </w:r>
                </w:p>
              </w:tc>
              <w:tc>
                <w:tcPr>
                  <w:tcW w:w="497" w:type="pct"/>
                  <w:vAlign w:val="center"/>
                </w:tcPr>
                <w:p w14:paraId="6BE7EF29">
                  <w:pPr>
                    <w:pStyle w:val="167"/>
                    <w:rPr>
                      <w:rFonts w:hint="eastAsia"/>
                      <w:b/>
                      <w:color w:val="auto"/>
                      <w:sz w:val="21"/>
                      <w:szCs w:val="21"/>
                    </w:rPr>
                  </w:pPr>
                  <w:r>
                    <w:rPr>
                      <w:color w:val="auto"/>
                      <w:sz w:val="21"/>
                      <w:szCs w:val="21"/>
                    </w:rPr>
                    <w:t>符合</w:t>
                  </w:r>
                </w:p>
              </w:tc>
            </w:tr>
            <w:tr w14:paraId="274E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690" w:type="pct"/>
                  <w:vMerge w:val="continue"/>
                  <w:vAlign w:val="center"/>
                </w:tcPr>
                <w:p w14:paraId="0AEBCD0B">
                  <w:pPr>
                    <w:pStyle w:val="167"/>
                    <w:rPr>
                      <w:rFonts w:hint="eastAsia"/>
                      <w:b/>
                      <w:color w:val="auto"/>
                      <w:sz w:val="21"/>
                      <w:szCs w:val="21"/>
                    </w:rPr>
                  </w:pPr>
                </w:p>
              </w:tc>
              <w:tc>
                <w:tcPr>
                  <w:tcW w:w="2213" w:type="pct"/>
                  <w:vAlign w:val="center"/>
                </w:tcPr>
                <w:p w14:paraId="1325DBFE">
                  <w:pPr>
                    <w:pStyle w:val="167"/>
                    <w:rPr>
                      <w:rFonts w:hint="eastAsia"/>
                      <w:b/>
                      <w:color w:val="auto"/>
                      <w:sz w:val="21"/>
                      <w:szCs w:val="21"/>
                    </w:rPr>
                  </w:pPr>
                  <w:r>
                    <w:rPr>
                      <w:color w:val="auto"/>
                      <w:sz w:val="21"/>
                      <w:szCs w:val="21"/>
                    </w:rPr>
                    <w:t>（二）鼓励利用未利用地和存量建设用地发展光伏发电产业。在严格保护生态前提下，鼓励在沙漠、戈壁、荒漠等区域选址建设大型光伏基地；对于油田、气田以及难以复垦或修复的采煤沉陷区，推进其中的非耕地区域规划建设光伏基地。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和东北内蒙古重点国有林区。</w:t>
                  </w:r>
                </w:p>
              </w:tc>
              <w:tc>
                <w:tcPr>
                  <w:tcW w:w="1600" w:type="pct"/>
                  <w:vAlign w:val="center"/>
                </w:tcPr>
                <w:p w14:paraId="21C23F4A">
                  <w:pPr>
                    <w:pStyle w:val="167"/>
                    <w:jc w:val="both"/>
                    <w:rPr>
                      <w:rFonts w:hint="eastAsia"/>
                      <w:color w:val="auto"/>
                      <w:sz w:val="21"/>
                      <w:szCs w:val="21"/>
                    </w:rPr>
                  </w:pPr>
                  <w:r>
                    <w:rPr>
                      <w:rFonts w:hint="eastAsia"/>
                      <w:color w:val="auto"/>
                      <w:sz w:val="21"/>
                      <w:szCs w:val="21"/>
                    </w:rPr>
                    <w:t>根据《</w:t>
                  </w:r>
                  <w:r>
                    <w:rPr>
                      <w:rFonts w:hint="eastAsia"/>
                      <w:color w:val="auto"/>
                      <w:sz w:val="21"/>
                      <w:szCs w:val="21"/>
                    </w:rPr>
                    <w:fldChar w:fldCharType="begin"/>
                  </w:r>
                  <w:r>
                    <w:rPr>
                      <w:rFonts w:hint="eastAsia"/>
                      <w:color w:val="auto"/>
                      <w:sz w:val="21"/>
                      <w:szCs w:val="21"/>
                    </w:rPr>
                    <w:instrText xml:space="preserve"> REF _Ref218539235 \h  \* MERGEFORMAT </w:instrText>
                  </w:r>
                  <w:r>
                    <w:rPr>
                      <w:rFonts w:hint="eastAsia"/>
                      <w:color w:val="auto"/>
                      <w:sz w:val="21"/>
                      <w:szCs w:val="21"/>
                    </w:rPr>
                    <w:fldChar w:fldCharType="separate"/>
                  </w:r>
                  <w:r>
                    <w:rPr>
                      <w:rFonts w:hint="eastAsia"/>
                      <w:color w:val="auto"/>
                      <w:sz w:val="21"/>
                      <w:szCs w:val="21"/>
                    </w:rPr>
                    <w:t>南涧彝族自治县自然资源局关于沙乐光伏发电项目用地审查意见</w:t>
                  </w:r>
                  <w:r>
                    <w:rPr>
                      <w:rFonts w:hint="eastAsia"/>
                      <w:color w:val="auto"/>
                      <w:sz w:val="21"/>
                      <w:szCs w:val="21"/>
                    </w:rPr>
                    <w:fldChar w:fldCharType="end"/>
                  </w:r>
                  <w:r>
                    <w:rPr>
                      <w:rFonts w:hint="eastAsia"/>
                      <w:color w:val="auto"/>
                      <w:sz w:val="21"/>
                      <w:szCs w:val="21"/>
                    </w:rPr>
                    <w:t>》，本项目选址不占用生态保护红线、永久基本农田、城镇开发边界，与各类管控红线不交叉重叠。</w:t>
                  </w:r>
                </w:p>
                <w:p w14:paraId="651FAAFD">
                  <w:pPr>
                    <w:pStyle w:val="167"/>
                    <w:jc w:val="both"/>
                    <w:rPr>
                      <w:rFonts w:hint="eastAsia"/>
                      <w:b/>
                      <w:color w:val="auto"/>
                      <w:sz w:val="21"/>
                      <w:szCs w:val="21"/>
                    </w:rPr>
                  </w:pPr>
                  <w:r>
                    <w:rPr>
                      <w:rFonts w:hint="eastAsia"/>
                      <w:color w:val="auto"/>
                      <w:sz w:val="21"/>
                      <w:szCs w:val="21"/>
                    </w:rPr>
                    <w:t>根据《</w:t>
                  </w:r>
                  <w:r>
                    <w:rPr>
                      <w:rFonts w:hint="eastAsia"/>
                      <w:color w:val="auto"/>
                      <w:sz w:val="21"/>
                      <w:szCs w:val="21"/>
                    </w:rPr>
                    <w:fldChar w:fldCharType="begin"/>
                  </w:r>
                  <w:r>
                    <w:rPr>
                      <w:rFonts w:hint="eastAsia"/>
                      <w:color w:val="auto"/>
                      <w:sz w:val="21"/>
                      <w:szCs w:val="21"/>
                    </w:rPr>
                    <w:instrText xml:space="preserve"> REF _Ref218625276 \h  \* MERGEFORMAT </w:instrText>
                  </w:r>
                  <w:r>
                    <w:rPr>
                      <w:rFonts w:hint="eastAsia"/>
                      <w:color w:val="auto"/>
                      <w:sz w:val="21"/>
                      <w:szCs w:val="21"/>
                    </w:rPr>
                    <w:fldChar w:fldCharType="separate"/>
                  </w:r>
                  <w:r>
                    <w:rPr>
                      <w:rFonts w:hint="eastAsia"/>
                      <w:color w:val="auto"/>
                      <w:sz w:val="21"/>
                      <w:szCs w:val="21"/>
                    </w:rPr>
                    <w:t>南涧彝族自治县林业和草原局关于沙乐光伏发电项目选址意见</w:t>
                  </w:r>
                  <w:r>
                    <w:rPr>
                      <w:rFonts w:hint="eastAsia"/>
                      <w:color w:val="auto"/>
                      <w:sz w:val="21"/>
                      <w:szCs w:val="21"/>
                    </w:rPr>
                    <w:fldChar w:fldCharType="end"/>
                  </w:r>
                  <w:r>
                    <w:rPr>
                      <w:rFonts w:hint="eastAsia"/>
                      <w:color w:val="auto"/>
                      <w:sz w:val="21"/>
                      <w:szCs w:val="21"/>
                    </w:rPr>
                    <w:t>》：“该项目矢量范围未涉及自然保护区、风景名胜区、三江并流世界自然遗产地和基本草原”。项目不涉及天然林停伐保护范围林地、基本草原、I级保护林地等。</w:t>
                  </w:r>
                </w:p>
              </w:tc>
              <w:tc>
                <w:tcPr>
                  <w:tcW w:w="497" w:type="pct"/>
                  <w:vAlign w:val="center"/>
                </w:tcPr>
                <w:p w14:paraId="0AEFA9B8">
                  <w:pPr>
                    <w:pStyle w:val="167"/>
                    <w:rPr>
                      <w:rFonts w:hint="eastAsia"/>
                      <w:b/>
                      <w:color w:val="auto"/>
                      <w:sz w:val="21"/>
                      <w:szCs w:val="21"/>
                    </w:rPr>
                  </w:pPr>
                  <w:r>
                    <w:rPr>
                      <w:color w:val="auto"/>
                      <w:sz w:val="21"/>
                      <w:szCs w:val="21"/>
                    </w:rPr>
                    <w:t>符合</w:t>
                  </w:r>
                </w:p>
              </w:tc>
            </w:tr>
            <w:tr w14:paraId="0746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90" w:type="pct"/>
                  <w:vMerge w:val="restart"/>
                  <w:vAlign w:val="center"/>
                </w:tcPr>
                <w:p w14:paraId="0FE9DC25">
                  <w:pPr>
                    <w:pStyle w:val="167"/>
                    <w:rPr>
                      <w:rFonts w:hint="eastAsia"/>
                      <w:b/>
                      <w:color w:val="auto"/>
                      <w:sz w:val="21"/>
                      <w:szCs w:val="21"/>
                    </w:rPr>
                  </w:pPr>
                  <w:r>
                    <w:rPr>
                      <w:color w:val="auto"/>
                      <w:sz w:val="21"/>
                      <w:szCs w:val="21"/>
                    </w:rPr>
                    <w:t>二、光伏发电项目用地实行分类管理</w:t>
                  </w:r>
                </w:p>
              </w:tc>
              <w:tc>
                <w:tcPr>
                  <w:tcW w:w="2213" w:type="pct"/>
                  <w:vAlign w:val="center"/>
                </w:tcPr>
                <w:p w14:paraId="19AF39AE">
                  <w:pPr>
                    <w:pStyle w:val="167"/>
                    <w:jc w:val="both"/>
                    <w:rPr>
                      <w:rFonts w:hint="eastAsia"/>
                      <w:b/>
                      <w:color w:val="auto"/>
                      <w:sz w:val="21"/>
                      <w:szCs w:val="21"/>
                    </w:rPr>
                  </w:pPr>
                  <w:r>
                    <w:rPr>
                      <w:color w:val="auto"/>
                      <w:sz w:val="21"/>
                      <w:szCs w:val="21"/>
                    </w:rPr>
                    <w:t>（一）光伏方阵用地。光伏方阵用地不得占用耕地，占用其他农用地的，应根据实际合理控制，节约集约用地，尽量避免对生态和农业生产造成影响。光伏方阵用地涉及使用林地的，须采用林光互补模式，可使用年降水量400毫米以下区域的灌木林地以及其他区域覆盖度低于50%的灌木林地，不得采伐林木、割灌及破坏原有植被，不得将乔木林地、竹林地等采伐改造为灌木林地后架设光伏板；光伏支架最低点应高于灌木高度1米以上，每列光伏板南北方向应合理设置净间距，具体由各地结合实地确定，并采取有效水土保持措施，确保灌木覆盖度等生长状态不低于林光互补前水平。光伏方阵按规定使用灌木林地的，施工期间应办理临时使用林地手续，运营期间相关方签订协议，项目服务期满后应当恢复林地原状。光伏方阵用地涉及占用基本草原外草原的，地方林草主管部门应科学评估本地区草原资源与生态状况，合理确定项目的适建区域、建设模式与建设要求。鼓励采用“草光互补”模式。</w:t>
                  </w:r>
                </w:p>
                <w:p w14:paraId="72449190">
                  <w:pPr>
                    <w:pStyle w:val="167"/>
                    <w:jc w:val="both"/>
                    <w:rPr>
                      <w:rFonts w:hint="eastAsia"/>
                      <w:b/>
                      <w:color w:val="auto"/>
                      <w:sz w:val="21"/>
                      <w:szCs w:val="21"/>
                    </w:rPr>
                  </w:pPr>
                  <w:r>
                    <w:rPr>
                      <w:color w:val="auto"/>
                      <w:sz w:val="21"/>
                      <w:szCs w:val="21"/>
                    </w:rPr>
                    <w:t>光伏方阵用地不得改变地表形态，以第三次全国国土调查及后续开展的年度国土变更调查成果为底版，依法依规进行管理。实行用地备案，不需按非农建设用地审批。</w:t>
                  </w:r>
                </w:p>
              </w:tc>
              <w:tc>
                <w:tcPr>
                  <w:tcW w:w="1600" w:type="pct"/>
                  <w:vMerge w:val="restart"/>
                  <w:vAlign w:val="center"/>
                </w:tcPr>
                <w:p w14:paraId="56B2A8F6">
                  <w:pPr>
                    <w:pStyle w:val="167"/>
                    <w:jc w:val="both"/>
                    <w:rPr>
                      <w:rFonts w:hint="eastAsia"/>
                      <w:bCs/>
                      <w:color w:val="auto"/>
                      <w:sz w:val="21"/>
                      <w:szCs w:val="21"/>
                    </w:rPr>
                  </w:pPr>
                  <w:r>
                    <w:rPr>
                      <w:rFonts w:hint="eastAsia"/>
                      <w:bCs/>
                      <w:color w:val="auto"/>
                      <w:sz w:val="21"/>
                      <w:szCs w:val="21"/>
                    </w:rPr>
                    <w:t>（1）项目选址已避让耕地、生态保护红线、天然林地、自然保护地、永久基本农田、基本草原和</w:t>
                  </w:r>
                  <w:r>
                    <w:rPr>
                      <w:rFonts w:hAnsi="Times New Roman"/>
                      <w:bCs/>
                      <w:color w:val="auto"/>
                      <w:sz w:val="21"/>
                      <w:szCs w:val="21"/>
                    </w:rPr>
                    <w:t>Ⅰ</w:t>
                  </w:r>
                  <w:r>
                    <w:rPr>
                      <w:rFonts w:hint="eastAsia"/>
                      <w:bCs/>
                      <w:color w:val="auto"/>
                      <w:sz w:val="21"/>
                      <w:szCs w:val="21"/>
                    </w:rPr>
                    <w:t>级保护林地等生态敏感区。</w:t>
                  </w:r>
                </w:p>
                <w:p w14:paraId="1F08DC35">
                  <w:pPr>
                    <w:pStyle w:val="167"/>
                    <w:jc w:val="both"/>
                    <w:rPr>
                      <w:rFonts w:hint="eastAsia"/>
                      <w:bCs/>
                      <w:color w:val="auto"/>
                      <w:sz w:val="21"/>
                      <w:szCs w:val="21"/>
                    </w:rPr>
                  </w:pPr>
                  <w:r>
                    <w:rPr>
                      <w:rFonts w:hint="eastAsia"/>
                      <w:bCs/>
                      <w:color w:val="auto"/>
                      <w:sz w:val="21"/>
                      <w:szCs w:val="21"/>
                    </w:rPr>
                    <w:t>（2）</w:t>
                  </w:r>
                  <w:r>
                    <w:rPr>
                      <w:bCs/>
                      <w:color w:val="auto"/>
                      <w:sz w:val="21"/>
                      <w:szCs w:val="21"/>
                    </w:rPr>
                    <w:t>本项目为光伏发电项目，项目按“农业种植+光伏发电”的方案进行设计，节约集约用地。根据</w:t>
                  </w:r>
                  <w:r>
                    <w:rPr>
                      <w:rFonts w:hint="eastAsia"/>
                      <w:color w:val="auto"/>
                      <w:sz w:val="21"/>
                      <w:szCs w:val="21"/>
                    </w:rPr>
                    <w:t>《</w:t>
                  </w:r>
                  <w:r>
                    <w:rPr>
                      <w:rFonts w:hint="eastAsia"/>
                      <w:color w:val="auto"/>
                      <w:sz w:val="21"/>
                      <w:szCs w:val="21"/>
                    </w:rPr>
                    <w:fldChar w:fldCharType="begin"/>
                  </w:r>
                  <w:r>
                    <w:rPr>
                      <w:rFonts w:hint="eastAsia"/>
                      <w:color w:val="auto"/>
                      <w:sz w:val="21"/>
                      <w:szCs w:val="21"/>
                    </w:rPr>
                    <w:instrText xml:space="preserve"> REF _Ref218625276 \h  \* MERGEFORMAT </w:instrText>
                  </w:r>
                  <w:r>
                    <w:rPr>
                      <w:rFonts w:hint="eastAsia"/>
                      <w:color w:val="auto"/>
                      <w:sz w:val="21"/>
                      <w:szCs w:val="21"/>
                    </w:rPr>
                    <w:fldChar w:fldCharType="separate"/>
                  </w:r>
                  <w:r>
                    <w:rPr>
                      <w:rFonts w:hint="eastAsia"/>
                      <w:color w:val="auto"/>
                      <w:sz w:val="21"/>
                      <w:szCs w:val="21"/>
                    </w:rPr>
                    <w:t>南涧彝族自治县林业和草原局关于沙乐光伏发电项目选址意见</w:t>
                  </w:r>
                  <w:r>
                    <w:rPr>
                      <w:rFonts w:hint="eastAsia"/>
                      <w:color w:val="auto"/>
                      <w:sz w:val="21"/>
                      <w:szCs w:val="21"/>
                    </w:rPr>
                    <w:fldChar w:fldCharType="end"/>
                  </w:r>
                  <w:r>
                    <w:rPr>
                      <w:rFonts w:hint="eastAsia"/>
                      <w:color w:val="auto"/>
                      <w:sz w:val="21"/>
                      <w:szCs w:val="21"/>
                    </w:rPr>
                    <w:t>》：“该项目建设不涉及占用湿地、各级自然保护区及其他类型自然保护地，世界自然遗产地，野生动物重要栖息地，珍稀濒危和极小种群野生植物重要原生境和天然林保护重点区域。”</w:t>
                  </w:r>
                  <w:r>
                    <w:rPr>
                      <w:rFonts w:hint="eastAsia"/>
                      <w:bCs/>
                      <w:color w:val="auto"/>
                      <w:sz w:val="21"/>
                      <w:szCs w:val="21"/>
                    </w:rPr>
                    <w:t>本项目在设计阶段通过优化布局，本项目占地类型为园地和交通运输用地，项目</w:t>
                  </w:r>
                  <w:r>
                    <w:rPr>
                      <w:bCs/>
                      <w:color w:val="auto"/>
                      <w:sz w:val="21"/>
                      <w:szCs w:val="21"/>
                    </w:rPr>
                    <w:t>施工不会采伐林木、割灌及破坏原有植被，项目不涉及乔木林地、竹林地，与要求不冲突。</w:t>
                  </w:r>
                </w:p>
                <w:p w14:paraId="31F493E1">
                  <w:pPr>
                    <w:pStyle w:val="167"/>
                    <w:jc w:val="both"/>
                    <w:rPr>
                      <w:rFonts w:hint="eastAsia"/>
                      <w:bCs/>
                      <w:color w:val="auto"/>
                      <w:sz w:val="21"/>
                      <w:szCs w:val="21"/>
                    </w:rPr>
                  </w:pPr>
                  <w:r>
                    <w:rPr>
                      <w:bCs/>
                      <w:color w:val="auto"/>
                      <w:sz w:val="21"/>
                      <w:szCs w:val="21"/>
                    </w:rPr>
                    <w:t>（3）项目按光伏组件最低端离地距离2.5m架设要求执行。</w:t>
                  </w:r>
                </w:p>
                <w:p w14:paraId="0ED9E22D">
                  <w:pPr>
                    <w:pStyle w:val="167"/>
                    <w:jc w:val="both"/>
                    <w:rPr>
                      <w:rFonts w:hint="eastAsia"/>
                      <w:bCs/>
                      <w:color w:val="auto"/>
                      <w:sz w:val="21"/>
                      <w:szCs w:val="21"/>
                    </w:rPr>
                  </w:pPr>
                  <w:r>
                    <w:rPr>
                      <w:bCs/>
                      <w:color w:val="auto"/>
                      <w:sz w:val="21"/>
                      <w:szCs w:val="21"/>
                    </w:rPr>
                    <w:t>（4）本项目已编制水土保持方案报告书，并采取有效水土保持措施，确保灌木覆盖度等生长状态不低于</w:t>
                  </w:r>
                  <w:r>
                    <w:rPr>
                      <w:rFonts w:hint="eastAsia"/>
                      <w:bCs/>
                      <w:color w:val="auto"/>
                      <w:sz w:val="21"/>
                      <w:szCs w:val="21"/>
                    </w:rPr>
                    <w:t>项目施工</w:t>
                  </w:r>
                  <w:r>
                    <w:rPr>
                      <w:bCs/>
                      <w:color w:val="auto"/>
                      <w:sz w:val="21"/>
                      <w:szCs w:val="21"/>
                    </w:rPr>
                    <w:t>前水平。</w:t>
                  </w:r>
                </w:p>
                <w:p w14:paraId="57C69E1B">
                  <w:pPr>
                    <w:pStyle w:val="167"/>
                    <w:jc w:val="both"/>
                    <w:rPr>
                      <w:rFonts w:hint="eastAsia"/>
                      <w:bCs/>
                      <w:color w:val="auto"/>
                      <w:sz w:val="21"/>
                      <w:szCs w:val="21"/>
                    </w:rPr>
                  </w:pPr>
                  <w:r>
                    <w:rPr>
                      <w:bCs/>
                      <w:color w:val="auto"/>
                      <w:sz w:val="21"/>
                      <w:szCs w:val="21"/>
                    </w:rPr>
                    <w:t>（5）现阶段为项目施工前前期工作开展阶段，施工建设前建设单位将严格根据相关用地法律法规要求按照程序办理用地使用手续；运营期间相关方签订协议，项目服务期满后应当恢复原状。</w:t>
                  </w:r>
                </w:p>
                <w:p w14:paraId="79AC4FC4">
                  <w:pPr>
                    <w:pStyle w:val="167"/>
                    <w:jc w:val="both"/>
                    <w:rPr>
                      <w:rFonts w:hint="eastAsia"/>
                      <w:bCs/>
                      <w:color w:val="auto"/>
                      <w:sz w:val="21"/>
                      <w:szCs w:val="21"/>
                    </w:rPr>
                  </w:pPr>
                  <w:r>
                    <w:rPr>
                      <w:rFonts w:hint="eastAsia"/>
                      <w:bCs/>
                      <w:color w:val="auto"/>
                      <w:sz w:val="21"/>
                      <w:szCs w:val="21"/>
                    </w:rPr>
                    <w:t>（6）项目光伏发电配套设施用地等将按照建设用地要求办理国土用地手续。项目直接配套光伏方阵的道路用地采用农村道路的要求进行管理，其他道路按建设用地管理。</w:t>
                  </w:r>
                </w:p>
                <w:p w14:paraId="4B913AD9">
                  <w:pPr>
                    <w:pStyle w:val="167"/>
                    <w:jc w:val="both"/>
                    <w:rPr>
                      <w:rFonts w:hint="eastAsia"/>
                      <w:b/>
                      <w:color w:val="auto"/>
                      <w:sz w:val="21"/>
                      <w:szCs w:val="21"/>
                    </w:rPr>
                  </w:pPr>
                  <w:r>
                    <w:rPr>
                      <w:rFonts w:hint="eastAsia"/>
                      <w:bCs/>
                      <w:color w:val="auto"/>
                      <w:sz w:val="21"/>
                      <w:szCs w:val="21"/>
                    </w:rPr>
                    <w:t>（7）对施工场地（含环保工程及各类设施等）、临时表土堆放区域等临时工程，施工结束后采用草灌结合的方式，将前期剥离的表土回覆，恢复耕种层；参照《环境影响评价技术导则</w:t>
                  </w:r>
                  <w:r>
                    <w:rPr>
                      <w:bCs/>
                      <w:color w:val="auto"/>
                      <w:sz w:val="21"/>
                      <w:szCs w:val="21"/>
                    </w:rPr>
                    <w:t xml:space="preserve"> </w:t>
                  </w:r>
                  <w:r>
                    <w:rPr>
                      <w:rFonts w:hint="eastAsia"/>
                      <w:bCs/>
                      <w:color w:val="auto"/>
                      <w:sz w:val="21"/>
                      <w:szCs w:val="21"/>
                    </w:rPr>
                    <w:t>生态影响》（</w:t>
                  </w:r>
                  <w:r>
                    <w:rPr>
                      <w:bCs/>
                      <w:color w:val="auto"/>
                      <w:sz w:val="21"/>
                      <w:szCs w:val="21"/>
                    </w:rPr>
                    <w:t>HJ19-2022</w:t>
                  </w:r>
                  <w:r>
                    <w:rPr>
                      <w:rFonts w:hint="eastAsia"/>
                      <w:bCs/>
                      <w:color w:val="auto"/>
                      <w:sz w:val="21"/>
                      <w:szCs w:val="21"/>
                    </w:rPr>
                    <w:t>）中</w:t>
                  </w:r>
                  <w:r>
                    <w:rPr>
                      <w:bCs/>
                      <w:color w:val="auto"/>
                      <w:sz w:val="21"/>
                      <w:szCs w:val="21"/>
                    </w:rPr>
                    <w:t>9.2.2</w:t>
                  </w:r>
                  <w:r>
                    <w:rPr>
                      <w:rFonts w:hint="eastAsia"/>
                      <w:bCs/>
                      <w:color w:val="auto"/>
                      <w:sz w:val="21"/>
                      <w:szCs w:val="21"/>
                    </w:rPr>
                    <w:t>条，生态恢复优先选用原生表土和乡土物种，禁止选用外来物种，防止外来生物入茶树侵，乔灌可以选用：茶树、栓皮栎、云南松、滇青冈、化香树、锥连栎、麻栎、清香木、车桑子等；草本可以选用：多年生黑麦草、鸭茅、短芒披碱草等。</w:t>
                  </w:r>
                </w:p>
              </w:tc>
              <w:tc>
                <w:tcPr>
                  <w:tcW w:w="497" w:type="pct"/>
                  <w:vAlign w:val="center"/>
                </w:tcPr>
                <w:p w14:paraId="1D8B624A">
                  <w:pPr>
                    <w:pStyle w:val="167"/>
                    <w:rPr>
                      <w:rFonts w:hint="eastAsia"/>
                      <w:b/>
                      <w:color w:val="auto"/>
                      <w:sz w:val="21"/>
                      <w:szCs w:val="21"/>
                    </w:rPr>
                  </w:pPr>
                  <w:r>
                    <w:rPr>
                      <w:color w:val="auto"/>
                      <w:sz w:val="21"/>
                      <w:szCs w:val="21"/>
                    </w:rPr>
                    <w:t>符合</w:t>
                  </w:r>
                </w:p>
              </w:tc>
            </w:tr>
            <w:tr w14:paraId="23C8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690" w:type="pct"/>
                  <w:vMerge w:val="continue"/>
                  <w:vAlign w:val="center"/>
                </w:tcPr>
                <w:p w14:paraId="320394EA">
                  <w:pPr>
                    <w:pStyle w:val="167"/>
                    <w:rPr>
                      <w:rFonts w:hint="eastAsia"/>
                      <w:b/>
                      <w:color w:val="auto"/>
                      <w:sz w:val="21"/>
                      <w:szCs w:val="21"/>
                    </w:rPr>
                  </w:pPr>
                </w:p>
              </w:tc>
              <w:tc>
                <w:tcPr>
                  <w:tcW w:w="2213" w:type="pct"/>
                  <w:vAlign w:val="center"/>
                </w:tcPr>
                <w:p w14:paraId="4E74A807">
                  <w:pPr>
                    <w:pStyle w:val="167"/>
                    <w:jc w:val="both"/>
                    <w:rPr>
                      <w:rFonts w:hint="eastAsia"/>
                      <w:b/>
                      <w:color w:val="auto"/>
                      <w:sz w:val="21"/>
                      <w:szCs w:val="21"/>
                    </w:rPr>
                  </w:pPr>
                  <w:r>
                    <w:rPr>
                      <w:color w:val="auto"/>
                      <w:sz w:val="21"/>
                      <w:szCs w:val="21"/>
                    </w:rPr>
                    <w:t>（二）配套设施用地管理。光伏发电项目配套设施用地，按建设用地进行管理，依法依规办理建设用地审批手续。其中，涉及占用耕地的，按规定落实占补平衡。符合光伏用地标准，位于方阵内部和四周，直接配套光伏方阵的道路，可按农村道路用地管理，涉及占用耕地的，按规定落实进出平衡。其他道路按建设用地管理。</w:t>
                  </w:r>
                </w:p>
              </w:tc>
              <w:tc>
                <w:tcPr>
                  <w:tcW w:w="1600" w:type="pct"/>
                  <w:vMerge w:val="continue"/>
                  <w:vAlign w:val="center"/>
                </w:tcPr>
                <w:p w14:paraId="6C5EF845">
                  <w:pPr>
                    <w:pStyle w:val="167"/>
                    <w:rPr>
                      <w:rFonts w:hint="eastAsia"/>
                      <w:b/>
                      <w:color w:val="auto"/>
                      <w:sz w:val="21"/>
                      <w:szCs w:val="21"/>
                    </w:rPr>
                  </w:pPr>
                </w:p>
              </w:tc>
              <w:tc>
                <w:tcPr>
                  <w:tcW w:w="497" w:type="pct"/>
                  <w:vAlign w:val="center"/>
                </w:tcPr>
                <w:p w14:paraId="12676635">
                  <w:pPr>
                    <w:pStyle w:val="167"/>
                    <w:rPr>
                      <w:rFonts w:hint="eastAsia"/>
                      <w:b/>
                      <w:color w:val="auto"/>
                      <w:sz w:val="21"/>
                      <w:szCs w:val="21"/>
                    </w:rPr>
                  </w:pPr>
                  <w:r>
                    <w:rPr>
                      <w:color w:val="auto"/>
                      <w:sz w:val="21"/>
                      <w:szCs w:val="21"/>
                    </w:rPr>
                    <w:t>符合</w:t>
                  </w:r>
                </w:p>
              </w:tc>
            </w:tr>
            <w:tr w14:paraId="312B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90" w:type="pct"/>
                  <w:vAlign w:val="center"/>
                </w:tcPr>
                <w:p w14:paraId="64698E05">
                  <w:pPr>
                    <w:pStyle w:val="167"/>
                    <w:rPr>
                      <w:rFonts w:hint="eastAsia"/>
                      <w:b/>
                      <w:color w:val="auto"/>
                      <w:sz w:val="21"/>
                      <w:szCs w:val="21"/>
                    </w:rPr>
                  </w:pPr>
                  <w:r>
                    <w:rPr>
                      <w:color w:val="auto"/>
                      <w:sz w:val="21"/>
                      <w:szCs w:val="21"/>
                    </w:rPr>
                    <w:t>三、加快办理项目用地手续</w:t>
                  </w:r>
                </w:p>
              </w:tc>
              <w:tc>
                <w:tcPr>
                  <w:tcW w:w="2213" w:type="pct"/>
                  <w:vAlign w:val="center"/>
                </w:tcPr>
                <w:p w14:paraId="407A3B32">
                  <w:pPr>
                    <w:pStyle w:val="167"/>
                    <w:jc w:val="both"/>
                    <w:rPr>
                      <w:rFonts w:hint="eastAsia"/>
                      <w:b/>
                      <w:color w:val="auto"/>
                      <w:sz w:val="21"/>
                      <w:szCs w:val="21"/>
                    </w:rPr>
                  </w:pPr>
                  <w:r>
                    <w:rPr>
                      <w:color w:val="auto"/>
                      <w:sz w:val="21"/>
                      <w:szCs w:val="21"/>
                    </w:rPr>
                    <w:t>（一）建立用地用林用草联审机制。各地自然资源、林草主管部门要建立项目用地用林用草审查协调联动机制，对于符合国土空间规划和用途管制要求、纳入国土空间规划“一张图”的国家大型光伏基地建设范围项目，在项目立项与论证时，要对项目用地用林用草提出意见与要求，严格执行《光伏发电站工程项目用地控制指标》和光伏电站使用林地有关规定，保障项目用地用林用草合理需求。</w:t>
                  </w:r>
                </w:p>
              </w:tc>
              <w:tc>
                <w:tcPr>
                  <w:tcW w:w="1600" w:type="pct"/>
                  <w:vAlign w:val="center"/>
                </w:tcPr>
                <w:p w14:paraId="2C3DBDCA">
                  <w:pPr>
                    <w:pStyle w:val="167"/>
                    <w:jc w:val="both"/>
                    <w:rPr>
                      <w:rFonts w:hint="eastAsia"/>
                      <w:b/>
                      <w:color w:val="auto"/>
                      <w:sz w:val="21"/>
                      <w:szCs w:val="21"/>
                    </w:rPr>
                  </w:pPr>
                  <w:r>
                    <w:rPr>
                      <w:rFonts w:hint="eastAsia"/>
                      <w:color w:val="auto"/>
                      <w:sz w:val="21"/>
                      <w:szCs w:val="21"/>
                    </w:rPr>
                    <w:t>根据《</w:t>
                  </w:r>
                  <w:r>
                    <w:rPr>
                      <w:rFonts w:hint="eastAsia"/>
                      <w:color w:val="auto"/>
                      <w:sz w:val="21"/>
                      <w:szCs w:val="21"/>
                    </w:rPr>
                    <w:fldChar w:fldCharType="begin"/>
                  </w:r>
                  <w:r>
                    <w:rPr>
                      <w:rFonts w:hint="eastAsia"/>
                      <w:color w:val="auto"/>
                      <w:sz w:val="21"/>
                      <w:szCs w:val="21"/>
                    </w:rPr>
                    <w:instrText xml:space="preserve"> REF _Ref218625276 \h  \* MERGEFORMAT </w:instrText>
                  </w:r>
                  <w:r>
                    <w:rPr>
                      <w:rFonts w:hint="eastAsia"/>
                      <w:color w:val="auto"/>
                      <w:sz w:val="21"/>
                      <w:szCs w:val="21"/>
                    </w:rPr>
                    <w:fldChar w:fldCharType="separate"/>
                  </w:r>
                  <w:r>
                    <w:rPr>
                      <w:rFonts w:hint="eastAsia"/>
                      <w:color w:val="auto"/>
                      <w:sz w:val="21"/>
                      <w:szCs w:val="21"/>
                    </w:rPr>
                    <w:t>南涧彝族自治县林业和草原局关于沙乐光伏发电项目选址意见</w:t>
                  </w:r>
                  <w:r>
                    <w:rPr>
                      <w:rFonts w:hint="eastAsia"/>
                      <w:color w:val="auto"/>
                      <w:sz w:val="21"/>
                      <w:szCs w:val="21"/>
                    </w:rPr>
                    <w:fldChar w:fldCharType="end"/>
                  </w:r>
                  <w:r>
                    <w:rPr>
                      <w:rFonts w:hint="eastAsia"/>
                      <w:color w:val="auto"/>
                      <w:sz w:val="21"/>
                      <w:szCs w:val="21"/>
                    </w:rPr>
                    <w:t>》：“该项目建设不涉及占用湿地、各级自然保护区及其他类型自然保护地，世界自然遗产地，野生动物重要栖息地，珍稀濒危和极小种群野生植物重要原生境和天然林保护重点区域。”项目不涉及天然林停伐保护范围林地、基本草原、I级保护林地等。</w:t>
                  </w:r>
                </w:p>
              </w:tc>
              <w:tc>
                <w:tcPr>
                  <w:tcW w:w="497" w:type="pct"/>
                  <w:vAlign w:val="center"/>
                </w:tcPr>
                <w:p w14:paraId="57A6B2F1">
                  <w:pPr>
                    <w:pStyle w:val="167"/>
                    <w:rPr>
                      <w:rFonts w:hint="eastAsia"/>
                      <w:color w:val="auto"/>
                      <w:sz w:val="21"/>
                      <w:szCs w:val="21"/>
                    </w:rPr>
                  </w:pPr>
                  <w:r>
                    <w:rPr>
                      <w:color w:val="auto"/>
                      <w:sz w:val="21"/>
                      <w:szCs w:val="21"/>
                    </w:rPr>
                    <w:t>符合</w:t>
                  </w:r>
                </w:p>
              </w:tc>
            </w:tr>
          </w:tbl>
          <w:p w14:paraId="73035DAD">
            <w:pPr>
              <w:autoSpaceDE w:val="0"/>
              <w:autoSpaceDN w:val="0"/>
              <w:adjustRightInd w:val="0"/>
              <w:snapToGrid w:val="0"/>
              <w:ind w:firstLine="480"/>
              <w:rPr>
                <w:color w:val="auto"/>
                <w:kern w:val="0"/>
              </w:rPr>
            </w:pPr>
            <w:r>
              <w:rPr>
                <w:rFonts w:hint="eastAsia"/>
                <w:color w:val="auto"/>
                <w:kern w:val="0"/>
              </w:rPr>
              <w:t>综上，项目与《自然资源部办公厅 国家林业和草原局办公室 国家能源局综合司关于支持光伏发电产业发展规范用地管理有关工作的通知》（自然资办发〔2023〕12号）相关要求相符。</w:t>
            </w:r>
          </w:p>
          <w:p w14:paraId="632DB320">
            <w:pPr>
              <w:pStyle w:val="4"/>
              <w:spacing w:before="48" w:after="48"/>
              <w:rPr>
                <w:color w:val="auto"/>
              </w:rPr>
            </w:pPr>
            <w:r>
              <w:rPr>
                <w:rFonts w:hint="eastAsia"/>
                <w:color w:val="auto"/>
              </w:rPr>
              <w:t>与《关于光伏电站建设使用林地有关问题的通知》（林资发</w:t>
            </w:r>
            <w:r>
              <w:rPr>
                <w:rFonts w:hint="eastAsia" w:ascii="宋体" w:hAnsi="宋体"/>
                <w:color w:val="auto"/>
              </w:rPr>
              <w:t>〔</w:t>
            </w:r>
            <w:r>
              <w:rPr>
                <w:rFonts w:hint="eastAsia"/>
                <w:color w:val="auto"/>
              </w:rPr>
              <w:t>2015</w:t>
            </w:r>
            <w:r>
              <w:rPr>
                <w:rFonts w:hint="eastAsia" w:ascii="宋体" w:hAnsi="宋体"/>
                <w:color w:val="auto"/>
              </w:rPr>
              <w:t>〕</w:t>
            </w:r>
            <w:r>
              <w:rPr>
                <w:rFonts w:hint="eastAsia"/>
                <w:color w:val="auto"/>
              </w:rPr>
              <w:t>153号）、《云南省林业厅关于规范光伏电站建设使用林地的通知》（云林林政</w:t>
            </w:r>
            <w:r>
              <w:rPr>
                <w:rFonts w:hint="eastAsia" w:ascii="宋体" w:hAnsi="宋体"/>
                <w:color w:val="auto"/>
              </w:rPr>
              <w:t>〔</w:t>
            </w:r>
            <w:r>
              <w:rPr>
                <w:rFonts w:hint="eastAsia"/>
                <w:color w:val="auto"/>
              </w:rPr>
              <w:t>2016</w:t>
            </w:r>
            <w:r>
              <w:rPr>
                <w:rFonts w:hint="eastAsia" w:ascii="宋体" w:hAnsi="宋体"/>
                <w:color w:val="auto"/>
              </w:rPr>
              <w:t>〕</w:t>
            </w:r>
            <w:r>
              <w:rPr>
                <w:rFonts w:hint="eastAsia"/>
                <w:color w:val="auto"/>
              </w:rPr>
              <w:t>17号）、《云南省林业和草原局 云南省能源局关于进一步规范光伏复合项目使用林草地有关事项的通知（云林规</w:t>
            </w:r>
            <w:r>
              <w:rPr>
                <w:rFonts w:hint="eastAsia" w:ascii="宋体" w:hAnsi="宋体"/>
                <w:color w:val="auto"/>
              </w:rPr>
              <w:t>〔</w:t>
            </w:r>
            <w:r>
              <w:rPr>
                <w:rFonts w:hint="eastAsia"/>
                <w:color w:val="auto"/>
              </w:rPr>
              <w:t>2021</w:t>
            </w:r>
            <w:r>
              <w:rPr>
                <w:rFonts w:hint="eastAsia" w:ascii="宋体" w:hAnsi="宋体"/>
                <w:color w:val="auto"/>
              </w:rPr>
              <w:t>〕</w:t>
            </w:r>
            <w:r>
              <w:rPr>
                <w:rFonts w:hint="eastAsia"/>
                <w:color w:val="auto"/>
              </w:rPr>
              <w:t>5号）》</w:t>
            </w:r>
            <w:r>
              <w:rPr>
                <w:color w:val="auto"/>
              </w:rPr>
              <w:t>符合性分析</w:t>
            </w:r>
          </w:p>
          <w:p w14:paraId="6B3DC770">
            <w:pPr>
              <w:autoSpaceDE w:val="0"/>
              <w:autoSpaceDN w:val="0"/>
              <w:adjustRightInd w:val="0"/>
              <w:snapToGrid w:val="0"/>
              <w:ind w:firstLine="480"/>
              <w:rPr>
                <w:color w:val="auto"/>
                <w:kern w:val="0"/>
              </w:rPr>
            </w:pPr>
            <w:r>
              <w:rPr>
                <w:rFonts w:hint="eastAsia"/>
                <w:color w:val="auto"/>
                <w:kern w:val="0"/>
              </w:rPr>
              <w:t>根据《国家林业局关于光伏电站建设使用林地有关问题的通知》（林资发〔2015〕153号）、《云南省林业厅关于规范光伏电站建设使用林地的通知》（云林林政〔2016〕17号）、《云南省林业和草原局 云南省能源局关于进一步规范光伏复合项目使用林草地有关事项的通知（云林规〔2021〕5号）》：“光伏电站建设禁止占用自然保护区、国家公园、湿地、森林公园、濒危物种栖息地、天然林保护工程区等环境敏感区域的林地建设光伏电站。云南省天然林保护工程区系指纳入全省天然林保护二期工程森林管护的国有林、集体所有的国家级公益林和地方公益林。光伏电站的电池组件阵列仅限于使用三种类型的林地：一是县级以上人民政府规划的宜林地，二是年降雨量400毫米以下区域覆盖度低于30%的灌木林地，三是年降雨量400毫米以上区域覆盖度低于50%的灌木林地。此外，建设光伏电站所使用林地的范围，必须严格按照林地保护利用规划进行界定，决不允许擅自修改调整林地保护利用规划”。</w:t>
            </w:r>
          </w:p>
          <w:p w14:paraId="3C18F458">
            <w:pPr>
              <w:autoSpaceDE w:val="0"/>
              <w:autoSpaceDN w:val="0"/>
              <w:adjustRightInd w:val="0"/>
              <w:snapToGrid w:val="0"/>
              <w:ind w:firstLine="480"/>
              <w:rPr>
                <w:color w:val="auto"/>
              </w:rPr>
            </w:pPr>
            <w:r>
              <w:rPr>
                <w:rFonts w:hint="eastAsia"/>
                <w:color w:val="auto"/>
                <w:kern w:val="0"/>
              </w:rPr>
              <w:t>根据《</w:t>
            </w:r>
            <w:r>
              <w:rPr>
                <w:color w:val="auto"/>
                <w:kern w:val="0"/>
              </w:rPr>
              <w:fldChar w:fldCharType="begin"/>
            </w:r>
            <w:r>
              <w:rPr>
                <w:color w:val="auto"/>
                <w:kern w:val="0"/>
              </w:rPr>
              <w:instrText xml:space="preserve"> </w:instrText>
            </w:r>
            <w:r>
              <w:rPr>
                <w:rFonts w:hint="eastAsia"/>
                <w:color w:val="auto"/>
                <w:kern w:val="0"/>
              </w:rPr>
              <w:instrText xml:space="preserve">REF _Ref218625276 \h</w:instrText>
            </w:r>
            <w:r>
              <w:rPr>
                <w:color w:val="auto"/>
                <w:kern w:val="0"/>
              </w:rPr>
              <w:instrText xml:space="preserve"> </w:instrText>
            </w:r>
            <w:r>
              <w:rPr>
                <w:color w:val="auto"/>
                <w:kern w:val="0"/>
              </w:rPr>
              <w:fldChar w:fldCharType="separate"/>
            </w:r>
            <w:r>
              <w:rPr>
                <w:rFonts w:hint="eastAsia"/>
                <w:color w:val="auto"/>
              </w:rPr>
              <w:t>南涧彝族自治县林业和草原局关于沙乐光伏发电项目选址意见</w:t>
            </w:r>
            <w:r>
              <w:rPr>
                <w:color w:val="auto"/>
                <w:kern w:val="0"/>
              </w:rPr>
              <w:fldChar w:fldCharType="end"/>
            </w:r>
            <w:r>
              <w:rPr>
                <w:rFonts w:hint="eastAsia"/>
                <w:color w:val="auto"/>
                <w:kern w:val="0"/>
              </w:rPr>
              <w:t>》：“该项目建设不涉及国家公园、自然保护区、森林公园风景名胜区、草原公园等各类自然保护地，世界自然遗产地，野生动物重要栖息地，珍稀濒危和极小种群野生植物重要原生境和天然林保护重点区域。”</w:t>
            </w:r>
            <w:r>
              <w:rPr>
                <w:rFonts w:hint="eastAsia"/>
                <w:color w:val="auto"/>
              </w:rPr>
              <w:t>因此，本项目建设不涉及国家公园、自然保护区、森林公园、风景名胜区、草原公园等各类自然保护地，世界自然遗产地，野生动物重要栖息地，珍稀濒危和极小种群野生植物重要原生境和天然林保护重点区域等敏感因素。</w:t>
            </w:r>
          </w:p>
          <w:p w14:paraId="2462BA19">
            <w:pPr>
              <w:autoSpaceDE w:val="0"/>
              <w:autoSpaceDN w:val="0"/>
              <w:adjustRightInd w:val="0"/>
              <w:snapToGrid w:val="0"/>
              <w:ind w:firstLine="480"/>
              <w:rPr>
                <w:color w:val="auto"/>
                <w:kern w:val="0"/>
              </w:rPr>
            </w:pPr>
            <w:r>
              <w:rPr>
                <w:rFonts w:hint="eastAsia"/>
                <w:color w:val="auto"/>
                <w:kern w:val="0"/>
              </w:rPr>
              <w:t>本项目场区年降雨量597mm，</w:t>
            </w:r>
            <w:r>
              <w:rPr>
                <w:rFonts w:hint="eastAsia"/>
                <w:color w:val="auto"/>
              </w:rPr>
              <w:t>项目</w:t>
            </w:r>
            <w:r>
              <w:rPr>
                <w:color w:val="auto"/>
              </w:rPr>
              <w:t>总征占地面积</w:t>
            </w:r>
            <w:r>
              <w:rPr>
                <w:rFonts w:hint="eastAsia"/>
                <w:color w:val="auto"/>
              </w:rPr>
              <w:t>117.06</w:t>
            </w:r>
            <w:r>
              <w:rPr>
                <w:color w:val="auto"/>
              </w:rPr>
              <w:t>h</w:t>
            </w:r>
            <w:r>
              <w:rPr>
                <w:color w:val="auto"/>
                <w:szCs w:val="21"/>
              </w:rPr>
              <w:t>m</w:t>
            </w:r>
            <w:r>
              <w:rPr>
                <w:color w:val="auto"/>
                <w:szCs w:val="21"/>
                <w:vertAlign w:val="superscript"/>
              </w:rPr>
              <w:t>2</w:t>
            </w:r>
            <w:r>
              <w:rPr>
                <w:rFonts w:hint="eastAsia"/>
                <w:color w:val="auto"/>
                <w:kern w:val="0"/>
              </w:rPr>
              <w:t>，占地类型为园地和交通运输用地，不涉及占用</w:t>
            </w:r>
            <w:r>
              <w:rPr>
                <w:rFonts w:hint="eastAsia"/>
                <w:color w:val="auto"/>
              </w:rPr>
              <w:t>林地，</w:t>
            </w:r>
            <w:r>
              <w:rPr>
                <w:rFonts w:hint="eastAsia"/>
                <w:color w:val="auto"/>
                <w:kern w:val="0"/>
              </w:rPr>
              <w:t>符合《云南省林业和草原局云南省能源局关于进一步规范光伏符合项目使用林草地有关事项的通知》（云林规〔2021〕5号）“年降雨量400毫米以上区域覆盖度低于50%灌木林地”要求；施工期临时设置的施工辅助设施区、临时施工道路等，禁止使用乔木林。</w:t>
            </w:r>
          </w:p>
          <w:p w14:paraId="7A8A1AA9">
            <w:pPr>
              <w:ind w:firstLine="480"/>
              <w:rPr>
                <w:color w:val="auto"/>
              </w:rPr>
            </w:pPr>
            <w:r>
              <w:rPr>
                <w:rFonts w:hint="eastAsia"/>
                <w:color w:val="auto"/>
                <w:kern w:val="0"/>
              </w:rPr>
              <w:t>综上，项目建设符合《关于光伏电站建设使用林地有关问题的通知》（林资发〔2015〕153号）、《云南省林业厅关于规范光伏电站建设使用林地的通知》（云林林政〔2016〕17号）、《云南省林业和草原局 云南省能源局关于进一步规范光伏复合项目使用林草地有关事项的通知（云林规〔2021〕5号）》要求</w:t>
            </w:r>
            <w:r>
              <w:rPr>
                <w:rFonts w:hint="eastAsia"/>
                <w:color w:val="auto"/>
              </w:rPr>
              <w:t>。</w:t>
            </w:r>
          </w:p>
          <w:p w14:paraId="1F2DAD79">
            <w:pPr>
              <w:pStyle w:val="4"/>
              <w:spacing w:before="48" w:after="48"/>
              <w:rPr>
                <w:color w:val="auto"/>
              </w:rPr>
            </w:pPr>
            <w:r>
              <w:rPr>
                <w:rFonts w:hint="eastAsia"/>
                <w:color w:val="auto"/>
              </w:rPr>
              <w:t>与《云南省人民政府办公厅关于印发云南省绿色能源发展“十四五”规划的通知》（云政办发〔2022〕99号）符合性分析</w:t>
            </w:r>
          </w:p>
          <w:p w14:paraId="3664B9F9">
            <w:pPr>
              <w:autoSpaceDE w:val="0"/>
              <w:autoSpaceDN w:val="0"/>
              <w:adjustRightInd w:val="0"/>
              <w:snapToGrid w:val="0"/>
              <w:ind w:firstLine="480"/>
              <w:jc w:val="left"/>
              <w:rPr>
                <w:color w:val="auto"/>
                <w:kern w:val="0"/>
              </w:rPr>
            </w:pPr>
            <w:r>
              <w:rPr>
                <w:rFonts w:hint="eastAsia"/>
                <w:color w:val="auto"/>
                <w:kern w:val="0"/>
              </w:rPr>
              <w:t>《规划》实施环境影响分析评价：“十四五”时期，《规划》项目开发建设对环境的主要影响有：火电建设运行会产生烟尘、二氧化硫、氮氧化物、二氧化碳等大气污染物，可能对生态环境产生负面影响。油气管道建设及石油炼化项目，发生管道和设备破坏等事故将使油气大量外泄，对周围土壤、植被、水体等造成污染和损害，引发火灾、爆炸和泄漏等环境风险。水电、新能源项目开发和送出工程，可能对环境敏感区产生影响，可能带来上下游水文泥沙情势变化，可能对水生生物及陆生生物造成一定影响。总体来看，在能源重大项目具体推进过程中采取相应的预防措施和生态环境保护策略基本可以避免实施《规划》产生的环境负面影响。同时，《规划》的实施可推动云南能源资源有效利用和清洁低碳发展，促进经济发展与生态环境更加平衡协调。按照《规划环境影响评价技术导则总纲》的有关要求，根据规划的环境影响分析结果，拟采取措施符合性分析如下：</w:t>
            </w:r>
          </w:p>
          <w:p w14:paraId="513F5614">
            <w:pPr>
              <w:pStyle w:val="63"/>
              <w:rPr>
                <w:color w:val="auto"/>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1.5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4</w:t>
            </w:r>
            <w:r>
              <w:rPr>
                <w:color w:val="auto"/>
              </w:rPr>
              <w:fldChar w:fldCharType="end"/>
            </w:r>
            <w:r>
              <w:rPr>
                <w:color w:val="auto"/>
              </w:rPr>
              <w:t xml:space="preserve">  </w:t>
            </w:r>
            <w:r>
              <w:rPr>
                <w:rFonts w:hint="eastAsia"/>
                <w:color w:val="auto"/>
              </w:rPr>
              <w:t>与《云南省绿色能源发展“十四五”规划》环境影响措施符合性分析</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2926"/>
              <w:gridCol w:w="2320"/>
              <w:gridCol w:w="725"/>
            </w:tblGrid>
            <w:tr w14:paraId="6788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4" w:type="pct"/>
                  <w:vAlign w:val="center"/>
                </w:tcPr>
                <w:p w14:paraId="05D62831">
                  <w:pPr>
                    <w:widowControl/>
                    <w:topLinePunct/>
                    <w:adjustRightInd w:val="0"/>
                    <w:snapToGrid w:val="0"/>
                    <w:spacing w:line="240" w:lineRule="auto"/>
                    <w:ind w:firstLine="0" w:firstLineChars="0"/>
                    <w:jc w:val="center"/>
                    <w:rPr>
                      <w:rFonts w:cs="Times New Roman"/>
                      <w:b/>
                      <w:bCs/>
                      <w:color w:val="auto"/>
                      <w:kern w:val="0"/>
                      <w:sz w:val="21"/>
                      <w:szCs w:val="21"/>
                    </w:rPr>
                  </w:pPr>
                  <w:r>
                    <w:rPr>
                      <w:rFonts w:hint="eastAsia" w:cs="Times New Roman"/>
                      <w:b/>
                      <w:bCs/>
                      <w:color w:val="auto"/>
                      <w:kern w:val="0"/>
                      <w:sz w:val="21"/>
                      <w:szCs w:val="21"/>
                    </w:rPr>
                    <w:t>规划要求</w:t>
                  </w:r>
                </w:p>
              </w:tc>
              <w:tc>
                <w:tcPr>
                  <w:tcW w:w="2120" w:type="pct"/>
                  <w:vAlign w:val="center"/>
                </w:tcPr>
                <w:p w14:paraId="03D09B00">
                  <w:pPr>
                    <w:widowControl/>
                    <w:topLinePunct/>
                    <w:adjustRightInd w:val="0"/>
                    <w:snapToGrid w:val="0"/>
                    <w:spacing w:line="240" w:lineRule="auto"/>
                    <w:ind w:firstLine="0" w:firstLineChars="0"/>
                    <w:jc w:val="center"/>
                    <w:rPr>
                      <w:rFonts w:cs="Times New Roman"/>
                      <w:b/>
                      <w:bCs/>
                      <w:color w:val="auto"/>
                      <w:kern w:val="0"/>
                      <w:sz w:val="21"/>
                      <w:szCs w:val="21"/>
                    </w:rPr>
                  </w:pPr>
                  <w:r>
                    <w:rPr>
                      <w:rFonts w:hint="eastAsia" w:cs="Times New Roman"/>
                      <w:b/>
                      <w:bCs/>
                      <w:color w:val="auto"/>
                      <w:kern w:val="0"/>
                      <w:sz w:val="21"/>
                      <w:szCs w:val="21"/>
                    </w:rPr>
                    <w:t>规划内容</w:t>
                  </w:r>
                </w:p>
              </w:tc>
              <w:tc>
                <w:tcPr>
                  <w:tcW w:w="1681" w:type="pct"/>
                  <w:vAlign w:val="center"/>
                </w:tcPr>
                <w:p w14:paraId="74D6EF24">
                  <w:pPr>
                    <w:widowControl/>
                    <w:topLinePunct/>
                    <w:adjustRightInd w:val="0"/>
                    <w:snapToGrid w:val="0"/>
                    <w:spacing w:line="240" w:lineRule="auto"/>
                    <w:ind w:firstLine="0" w:firstLineChars="0"/>
                    <w:jc w:val="center"/>
                    <w:rPr>
                      <w:rFonts w:cs="Times New Roman"/>
                      <w:b/>
                      <w:bCs/>
                      <w:color w:val="auto"/>
                      <w:kern w:val="0"/>
                      <w:sz w:val="21"/>
                      <w:szCs w:val="21"/>
                    </w:rPr>
                  </w:pPr>
                  <w:r>
                    <w:rPr>
                      <w:rFonts w:hint="eastAsia" w:cs="Times New Roman"/>
                      <w:b/>
                      <w:bCs/>
                      <w:color w:val="auto"/>
                      <w:kern w:val="0"/>
                      <w:sz w:val="21"/>
                      <w:szCs w:val="21"/>
                    </w:rPr>
                    <w:t>本项目对照情况</w:t>
                  </w:r>
                </w:p>
              </w:tc>
              <w:tc>
                <w:tcPr>
                  <w:tcW w:w="526" w:type="pct"/>
                  <w:vAlign w:val="center"/>
                </w:tcPr>
                <w:p w14:paraId="74A1355B">
                  <w:pPr>
                    <w:widowControl/>
                    <w:topLinePunct/>
                    <w:adjustRightInd w:val="0"/>
                    <w:snapToGrid w:val="0"/>
                    <w:spacing w:line="240" w:lineRule="auto"/>
                    <w:ind w:firstLine="0" w:firstLineChars="0"/>
                    <w:jc w:val="center"/>
                    <w:rPr>
                      <w:rFonts w:cs="Times New Roman"/>
                      <w:b/>
                      <w:bCs/>
                      <w:color w:val="auto"/>
                      <w:kern w:val="0"/>
                      <w:sz w:val="21"/>
                      <w:szCs w:val="21"/>
                    </w:rPr>
                  </w:pPr>
                  <w:r>
                    <w:rPr>
                      <w:rFonts w:hint="eastAsia" w:cs="Times New Roman"/>
                      <w:b/>
                      <w:bCs/>
                      <w:color w:val="auto"/>
                      <w:kern w:val="0"/>
                      <w:sz w:val="21"/>
                      <w:szCs w:val="21"/>
                    </w:rPr>
                    <w:t>符合性</w:t>
                  </w:r>
                </w:p>
              </w:tc>
            </w:tr>
            <w:tr w14:paraId="712B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pct"/>
                  <w:vAlign w:val="center"/>
                </w:tcPr>
                <w:p w14:paraId="07F4C3BF">
                  <w:pPr>
                    <w:widowControl/>
                    <w:topLinePunct/>
                    <w:adjustRightInd w:val="0"/>
                    <w:snapToGrid w:val="0"/>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发挥《规划》的指导约束作用</w:t>
                  </w:r>
                </w:p>
              </w:tc>
              <w:tc>
                <w:tcPr>
                  <w:tcW w:w="2120" w:type="pct"/>
                  <w:vAlign w:val="center"/>
                </w:tcPr>
                <w:p w14:paraId="54063CF8">
                  <w:pPr>
                    <w:widowControl/>
                    <w:topLinePunct/>
                    <w:adjustRightInd w:val="0"/>
                    <w:snapToGrid w:val="0"/>
                    <w:spacing w:line="240" w:lineRule="auto"/>
                    <w:ind w:firstLine="0" w:firstLineChars="0"/>
                    <w:rPr>
                      <w:rFonts w:cs="Times New Roman"/>
                      <w:color w:val="auto"/>
                      <w:kern w:val="0"/>
                      <w:sz w:val="21"/>
                      <w:szCs w:val="21"/>
                    </w:rPr>
                  </w:pPr>
                  <w:r>
                    <w:rPr>
                      <w:rFonts w:hint="eastAsia" w:cs="Times New Roman"/>
                      <w:color w:val="auto"/>
                      <w:kern w:val="0"/>
                      <w:sz w:val="21"/>
                      <w:szCs w:val="21"/>
                    </w:rPr>
                    <w:t>发挥能源规划及规划环评的指导约束作用，合理规划项目布局，避让自然保护区、风景名胜区等各类自然保护地和集中居民区等环境敏感区，采取工程和生态保护措施，减少树木采伐，及时进行生态修复，降低生态影响。</w:t>
                  </w:r>
                </w:p>
              </w:tc>
              <w:tc>
                <w:tcPr>
                  <w:tcW w:w="1681" w:type="pct"/>
                  <w:vAlign w:val="center"/>
                </w:tcPr>
                <w:p w14:paraId="0E5DD3FB">
                  <w:pPr>
                    <w:widowControl/>
                    <w:topLinePunct/>
                    <w:adjustRightInd w:val="0"/>
                    <w:snapToGrid w:val="0"/>
                    <w:spacing w:line="240" w:lineRule="auto"/>
                    <w:ind w:firstLine="0" w:firstLineChars="0"/>
                    <w:rPr>
                      <w:rFonts w:cs="Times New Roman"/>
                      <w:color w:val="auto"/>
                      <w:kern w:val="0"/>
                      <w:sz w:val="21"/>
                      <w:szCs w:val="21"/>
                    </w:rPr>
                  </w:pPr>
                  <w:r>
                    <w:rPr>
                      <w:rFonts w:hint="eastAsia" w:cs="Times New Roman"/>
                      <w:color w:val="auto"/>
                      <w:kern w:val="0"/>
                      <w:sz w:val="21"/>
                      <w:szCs w:val="21"/>
                    </w:rPr>
                    <w:t>本项目选址不涉及占用生态保护红线和永久基本农田，涉及占用稳定耕地。也不涉及国家公园、自然保护区、风景名胜区、草原公园、世界自然遗产地、野生动物重要栖息地、珍稀濒危和极小种群野生植物重要原生境、基本草原、天然林等重点区域。项目施工过程应严格控制施工范围，避让天然林地。本项目光伏组件最低沿应高于地面2.5m、桩基间列间距大于4m、行间距应大于6.5m建设，以便于临时工程占地在施工结束后进行植被恢复，对于植物物种的选取，应以乡土树种为主；场内集电线路采用电缆直埋和架空方式敷设，直埋电缆基本沿现有道路布设，部分局部穿越一般耕地（茶园），挖设电缆壕沟敷设电缆后，覆土回填，地面不做硬化，不影响农业生产条件，不破坏耕作层，本项目在采取生态和工程保护措施后，对环境的影响较小。</w:t>
                  </w:r>
                </w:p>
              </w:tc>
              <w:tc>
                <w:tcPr>
                  <w:tcW w:w="526" w:type="pct"/>
                  <w:vAlign w:val="center"/>
                </w:tcPr>
                <w:p w14:paraId="409A0E83">
                  <w:pPr>
                    <w:widowControl/>
                    <w:topLinePunct/>
                    <w:adjustRightInd w:val="0"/>
                    <w:snapToGrid w:val="0"/>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符合</w:t>
                  </w:r>
                </w:p>
              </w:tc>
            </w:tr>
            <w:tr w14:paraId="0A6D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pct"/>
                  <w:vAlign w:val="center"/>
                </w:tcPr>
                <w:p w14:paraId="308AEE38">
                  <w:pPr>
                    <w:widowControl/>
                    <w:topLinePunct/>
                    <w:adjustRightInd w:val="0"/>
                    <w:snapToGrid w:val="0"/>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严格各类能源开发生产的过程控制</w:t>
                  </w:r>
                </w:p>
              </w:tc>
              <w:tc>
                <w:tcPr>
                  <w:tcW w:w="2120" w:type="pct"/>
                  <w:vAlign w:val="center"/>
                </w:tcPr>
                <w:p w14:paraId="5CE1A7E5">
                  <w:pPr>
                    <w:widowControl/>
                    <w:topLinePunct/>
                    <w:adjustRightInd w:val="0"/>
                    <w:snapToGrid w:val="0"/>
                    <w:spacing w:line="240" w:lineRule="auto"/>
                    <w:ind w:firstLine="0" w:firstLineChars="0"/>
                    <w:rPr>
                      <w:rFonts w:cs="Times New Roman"/>
                      <w:color w:val="auto"/>
                      <w:kern w:val="0"/>
                      <w:sz w:val="21"/>
                      <w:szCs w:val="21"/>
                    </w:rPr>
                  </w:pPr>
                  <w:r>
                    <w:rPr>
                      <w:rFonts w:hint="eastAsia" w:cs="Times New Roman"/>
                      <w:color w:val="auto"/>
                      <w:kern w:val="0"/>
                      <w:sz w:val="21"/>
                      <w:szCs w:val="21"/>
                    </w:rPr>
                    <w:t>做好项目建设涉及的自然生态环境保护工作，注意避让生态环境敏感区和脆弱区。加强施工准备、筹建和施工过程中的环境保护。提高电网运行安全稳定水平，降低电磁环境影响。制定矿区生态综合整治目标，严格控制施工占地。加强油气管网运营与环境保护。</w:t>
                  </w:r>
                </w:p>
              </w:tc>
              <w:tc>
                <w:tcPr>
                  <w:tcW w:w="1681" w:type="pct"/>
                  <w:vAlign w:val="center"/>
                </w:tcPr>
                <w:p w14:paraId="57F2D5F4">
                  <w:pPr>
                    <w:widowControl/>
                    <w:topLinePunct/>
                    <w:adjustRightInd w:val="0"/>
                    <w:snapToGrid w:val="0"/>
                    <w:spacing w:line="240" w:lineRule="auto"/>
                    <w:ind w:firstLine="0" w:firstLineChars="0"/>
                    <w:rPr>
                      <w:rFonts w:cs="Times New Roman"/>
                      <w:color w:val="auto"/>
                      <w:kern w:val="0"/>
                      <w:sz w:val="21"/>
                      <w:szCs w:val="21"/>
                    </w:rPr>
                  </w:pPr>
                  <w:r>
                    <w:rPr>
                      <w:rFonts w:hint="eastAsia" w:cs="Times New Roman"/>
                      <w:color w:val="auto"/>
                      <w:kern w:val="0"/>
                      <w:sz w:val="21"/>
                      <w:szCs w:val="21"/>
                    </w:rPr>
                    <w:t>本项目用地不涉及生态环境敏感区和脆弱区。</w:t>
                  </w:r>
                </w:p>
                <w:p w14:paraId="1A06E2B6">
                  <w:pPr>
                    <w:widowControl/>
                    <w:topLinePunct/>
                    <w:adjustRightInd w:val="0"/>
                    <w:snapToGrid w:val="0"/>
                    <w:spacing w:line="240" w:lineRule="auto"/>
                    <w:ind w:firstLine="0" w:firstLineChars="0"/>
                    <w:rPr>
                      <w:rFonts w:cs="Times New Roman"/>
                      <w:color w:val="auto"/>
                      <w:kern w:val="0"/>
                      <w:sz w:val="21"/>
                      <w:szCs w:val="21"/>
                    </w:rPr>
                  </w:pPr>
                  <w:r>
                    <w:rPr>
                      <w:rFonts w:hint="eastAsia" w:cs="Times New Roman"/>
                      <w:color w:val="auto"/>
                      <w:kern w:val="0"/>
                      <w:sz w:val="21"/>
                      <w:szCs w:val="21"/>
                    </w:rPr>
                    <w:t>本次项目不新建升压站，不产生工频电场强度和工频磁感应强度均。</w:t>
                  </w:r>
                </w:p>
              </w:tc>
              <w:tc>
                <w:tcPr>
                  <w:tcW w:w="526" w:type="pct"/>
                  <w:vAlign w:val="center"/>
                </w:tcPr>
                <w:p w14:paraId="15341744">
                  <w:pPr>
                    <w:widowControl/>
                    <w:topLinePunct/>
                    <w:adjustRightInd w:val="0"/>
                    <w:snapToGrid w:val="0"/>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符合</w:t>
                  </w:r>
                </w:p>
              </w:tc>
            </w:tr>
            <w:tr w14:paraId="6AC5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pct"/>
                  <w:vAlign w:val="center"/>
                </w:tcPr>
                <w:p w14:paraId="20116BDD">
                  <w:pPr>
                    <w:widowControl/>
                    <w:topLinePunct/>
                    <w:adjustRightInd w:val="0"/>
                    <w:snapToGrid w:val="0"/>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严格落实能源消费总量和强度“双控”机制</w:t>
                  </w:r>
                </w:p>
              </w:tc>
              <w:tc>
                <w:tcPr>
                  <w:tcW w:w="2120" w:type="pct"/>
                  <w:vAlign w:val="center"/>
                </w:tcPr>
                <w:p w14:paraId="5763B781">
                  <w:pPr>
                    <w:widowControl/>
                    <w:topLinePunct/>
                    <w:adjustRightInd w:val="0"/>
                    <w:snapToGrid w:val="0"/>
                    <w:spacing w:line="240" w:lineRule="auto"/>
                    <w:ind w:firstLine="0" w:firstLineChars="0"/>
                    <w:rPr>
                      <w:rFonts w:cs="Times New Roman"/>
                      <w:color w:val="auto"/>
                      <w:kern w:val="0"/>
                      <w:sz w:val="21"/>
                      <w:szCs w:val="21"/>
                    </w:rPr>
                  </w:pPr>
                  <w:r>
                    <w:rPr>
                      <w:rFonts w:hint="eastAsia" w:cs="Times New Roman"/>
                      <w:color w:val="auto"/>
                      <w:kern w:val="0"/>
                      <w:sz w:val="21"/>
                      <w:szCs w:val="21"/>
                    </w:rPr>
                    <w:t>继续贯彻落实国家能源消费总量和强度“双控”要求，调整能源需求结构，加强节能和需求侧管理，推进生产、流通、消费各环节循环经济发展。健全法律法规和标准体系，加强监测能力建设。实施全面节能行动方案，逐步构建以企业为主体、政府引导、全社会共同参与的合理用能、科学用能、节约用能的长效机制。</w:t>
                  </w:r>
                </w:p>
              </w:tc>
              <w:tc>
                <w:tcPr>
                  <w:tcW w:w="1681" w:type="pct"/>
                  <w:vAlign w:val="center"/>
                </w:tcPr>
                <w:p w14:paraId="2783AEE0">
                  <w:pPr>
                    <w:widowControl/>
                    <w:topLinePunct/>
                    <w:adjustRightInd w:val="0"/>
                    <w:snapToGrid w:val="0"/>
                    <w:spacing w:line="240" w:lineRule="auto"/>
                    <w:ind w:firstLine="0" w:firstLineChars="0"/>
                    <w:rPr>
                      <w:rFonts w:cs="Times New Roman"/>
                      <w:color w:val="auto"/>
                      <w:kern w:val="0"/>
                      <w:sz w:val="21"/>
                      <w:szCs w:val="21"/>
                    </w:rPr>
                  </w:pPr>
                  <w:r>
                    <w:rPr>
                      <w:rFonts w:hint="eastAsia" w:cs="Times New Roman"/>
                      <w:color w:val="auto"/>
                      <w:kern w:val="0"/>
                      <w:sz w:val="21"/>
                      <w:szCs w:val="21"/>
                    </w:rPr>
                    <w:t>本项目为光伏发电项目，项目符合能源消费总量和强度“双控”机制要求。</w:t>
                  </w:r>
                </w:p>
              </w:tc>
              <w:tc>
                <w:tcPr>
                  <w:tcW w:w="526" w:type="pct"/>
                  <w:vAlign w:val="center"/>
                </w:tcPr>
                <w:p w14:paraId="01D88725">
                  <w:pPr>
                    <w:widowControl/>
                    <w:topLinePunct/>
                    <w:adjustRightInd w:val="0"/>
                    <w:snapToGrid w:val="0"/>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符合</w:t>
                  </w:r>
                </w:p>
              </w:tc>
            </w:tr>
            <w:tr w14:paraId="16D9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pct"/>
                  <w:vAlign w:val="center"/>
                </w:tcPr>
                <w:p w14:paraId="2B41CA1C">
                  <w:pPr>
                    <w:widowControl/>
                    <w:topLinePunct/>
                    <w:adjustRightInd w:val="0"/>
                    <w:snapToGrid w:val="0"/>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加强能源发展的环境管理</w:t>
                  </w:r>
                </w:p>
              </w:tc>
              <w:tc>
                <w:tcPr>
                  <w:tcW w:w="2120" w:type="pct"/>
                  <w:vAlign w:val="center"/>
                </w:tcPr>
                <w:p w14:paraId="15F36A1E">
                  <w:pPr>
                    <w:widowControl/>
                    <w:topLinePunct/>
                    <w:adjustRightInd w:val="0"/>
                    <w:snapToGrid w:val="0"/>
                    <w:spacing w:line="240" w:lineRule="auto"/>
                    <w:ind w:firstLine="0" w:firstLineChars="0"/>
                    <w:rPr>
                      <w:rFonts w:cs="Times New Roman"/>
                      <w:color w:val="auto"/>
                      <w:kern w:val="0"/>
                      <w:sz w:val="21"/>
                      <w:szCs w:val="21"/>
                    </w:rPr>
                  </w:pPr>
                  <w:r>
                    <w:rPr>
                      <w:rFonts w:hint="eastAsia" w:cs="Times New Roman"/>
                      <w:color w:val="auto"/>
                      <w:kern w:val="0"/>
                      <w:sz w:val="21"/>
                      <w:szCs w:val="21"/>
                    </w:rPr>
                    <w:t>建立覆盖全社会的能源环境监管体制，明确各部门监管职责，完善监管标准、监管规则和监管程序，形成规范有序、公开透明的监管体系。开展项目环境保护工作阶段性检查和验收工作，适时开展环境影响回顾性评价和后评价，注重主要环境影响复核和环境保护措施效果分析，及时调整补充相应环保措施。</w:t>
                  </w:r>
                </w:p>
              </w:tc>
              <w:tc>
                <w:tcPr>
                  <w:tcW w:w="1681" w:type="pct"/>
                  <w:vAlign w:val="center"/>
                </w:tcPr>
                <w:p w14:paraId="363AC17D">
                  <w:pPr>
                    <w:widowControl/>
                    <w:topLinePunct/>
                    <w:adjustRightInd w:val="0"/>
                    <w:snapToGrid w:val="0"/>
                    <w:spacing w:line="240" w:lineRule="auto"/>
                    <w:ind w:firstLine="0" w:firstLineChars="0"/>
                    <w:rPr>
                      <w:rFonts w:cs="Times New Roman"/>
                      <w:color w:val="auto"/>
                      <w:kern w:val="0"/>
                      <w:sz w:val="21"/>
                      <w:szCs w:val="21"/>
                    </w:rPr>
                  </w:pPr>
                  <w:r>
                    <w:rPr>
                      <w:rFonts w:hint="eastAsia" w:cs="Times New Roman"/>
                      <w:color w:val="auto"/>
                      <w:kern w:val="0"/>
                      <w:sz w:val="21"/>
                      <w:szCs w:val="21"/>
                    </w:rPr>
                    <w:t>项目建成运行后，严格按照环境保护验收要求进行项目验收工作，按相关管理要求落实环境保护措施及影响复核。</w:t>
                  </w:r>
                </w:p>
              </w:tc>
              <w:tc>
                <w:tcPr>
                  <w:tcW w:w="526" w:type="pct"/>
                  <w:vAlign w:val="center"/>
                </w:tcPr>
                <w:p w14:paraId="071DA1EB">
                  <w:pPr>
                    <w:widowControl/>
                    <w:topLinePunct/>
                    <w:adjustRightInd w:val="0"/>
                    <w:snapToGrid w:val="0"/>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符合</w:t>
                  </w:r>
                </w:p>
              </w:tc>
            </w:tr>
          </w:tbl>
          <w:p w14:paraId="2E8894F6">
            <w:pPr>
              <w:ind w:firstLine="480"/>
              <w:rPr>
                <w:color w:val="auto"/>
                <w:szCs w:val="21"/>
              </w:rPr>
            </w:pPr>
            <w:r>
              <w:rPr>
                <w:rFonts w:hint="eastAsia"/>
                <w:color w:val="auto"/>
                <w:szCs w:val="21"/>
              </w:rPr>
              <w:t>综上所述，本项目的建设不违背《云南省绿色能源发展“十四五”规划》的相关要求。</w:t>
            </w:r>
          </w:p>
          <w:p w14:paraId="48C76AA6">
            <w:pPr>
              <w:pStyle w:val="3"/>
              <w:spacing w:before="72" w:after="72"/>
              <w:rPr>
                <w:color w:val="auto"/>
              </w:rPr>
            </w:pPr>
            <w:r>
              <w:rPr>
                <w:rFonts w:hint="eastAsia"/>
                <w:color w:val="auto"/>
              </w:rPr>
              <w:t>与《云南省生态环境保护条例》的符合性分析</w:t>
            </w:r>
          </w:p>
          <w:p w14:paraId="25532E82">
            <w:pPr>
              <w:ind w:firstLine="480"/>
              <w:rPr>
                <w:color w:val="auto"/>
              </w:rPr>
            </w:pPr>
            <w:r>
              <w:rPr>
                <w:rFonts w:hint="eastAsia"/>
                <w:color w:val="auto"/>
              </w:rPr>
              <w:t>2024年9月26日云南省第十四届人民代表大会常务委员会第十二次会议通过《云南省生态环境保护条例》。</w:t>
            </w:r>
          </w:p>
          <w:p w14:paraId="032C00A8">
            <w:pPr>
              <w:ind w:firstLine="480"/>
              <w:rPr>
                <w:color w:val="auto"/>
              </w:rPr>
            </w:pPr>
            <w:r>
              <w:rPr>
                <w:rFonts w:hint="eastAsia"/>
                <w:color w:val="auto"/>
              </w:rPr>
              <w:t>项目与《云南省生态环境保护条例》的符合性分析如下表所示。</w:t>
            </w:r>
          </w:p>
          <w:p w14:paraId="4A21CED3">
            <w:pPr>
              <w:pStyle w:val="63"/>
              <w:rPr>
                <w:color w:val="auto"/>
              </w:rPr>
            </w:pPr>
            <w:r>
              <w:rPr>
                <w:rFonts w:hint="eastAsia"/>
                <w:color w:val="auto"/>
              </w:rPr>
              <w:t xml:space="preserve">表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1.6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表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 xml:space="preserve">  </w:t>
            </w:r>
            <w:r>
              <w:rPr>
                <w:color w:val="auto"/>
              </w:rPr>
              <w:t>项目与</w:t>
            </w:r>
            <w:r>
              <w:rPr>
                <w:rFonts w:hint="eastAsia"/>
                <w:color w:val="auto"/>
              </w:rPr>
              <w:t>《云南省生态环境保护条例》（节选）的符合性分析</w:t>
            </w:r>
          </w:p>
          <w:tbl>
            <w:tblPr>
              <w:tblStyle w:val="4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428"/>
              <w:gridCol w:w="2194"/>
              <w:gridCol w:w="646"/>
            </w:tblGrid>
            <w:tr w14:paraId="6ABB58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946" w:type="pct"/>
                  <w:gridSpan w:val="2"/>
                  <w:tcBorders>
                    <w:top w:val="single" w:color="auto" w:sz="4" w:space="0"/>
                    <w:left w:val="single" w:color="auto" w:sz="4" w:space="0"/>
                    <w:bottom w:val="single" w:color="auto" w:sz="4" w:space="0"/>
                  </w:tcBorders>
                  <w:vAlign w:val="center"/>
                </w:tcPr>
                <w:p w14:paraId="0E084B6D">
                  <w:pPr>
                    <w:pStyle w:val="167"/>
                    <w:rPr>
                      <w:rFonts w:hint="eastAsia"/>
                      <w:b/>
                      <w:color w:val="auto"/>
                      <w:sz w:val="21"/>
                      <w:szCs w:val="21"/>
                    </w:rPr>
                  </w:pPr>
                  <w:r>
                    <w:rPr>
                      <w:rFonts w:hint="eastAsia"/>
                      <w:b/>
                      <w:color w:val="auto"/>
                      <w:sz w:val="21"/>
                      <w:szCs w:val="21"/>
                    </w:rPr>
                    <w:t>文件要求</w:t>
                  </w:r>
                </w:p>
              </w:tc>
              <w:tc>
                <w:tcPr>
                  <w:tcW w:w="1587" w:type="pct"/>
                  <w:tcBorders>
                    <w:top w:val="single" w:color="auto" w:sz="4" w:space="0"/>
                    <w:bottom w:val="single" w:color="auto" w:sz="4" w:space="0"/>
                  </w:tcBorders>
                  <w:vAlign w:val="center"/>
                </w:tcPr>
                <w:p w14:paraId="6F4245C0">
                  <w:pPr>
                    <w:pStyle w:val="167"/>
                    <w:rPr>
                      <w:rFonts w:hint="eastAsia"/>
                      <w:b/>
                      <w:color w:val="auto"/>
                      <w:sz w:val="21"/>
                      <w:szCs w:val="21"/>
                    </w:rPr>
                  </w:pPr>
                  <w:r>
                    <w:rPr>
                      <w:b/>
                      <w:color w:val="auto"/>
                      <w:sz w:val="21"/>
                      <w:szCs w:val="21"/>
                    </w:rPr>
                    <w:t>本项目情况</w:t>
                  </w:r>
                </w:p>
              </w:tc>
              <w:tc>
                <w:tcPr>
                  <w:tcW w:w="467" w:type="pct"/>
                  <w:tcBorders>
                    <w:top w:val="single" w:color="auto" w:sz="4" w:space="0"/>
                    <w:bottom w:val="single" w:color="auto" w:sz="4" w:space="0"/>
                    <w:right w:val="single" w:color="auto" w:sz="4" w:space="0"/>
                  </w:tcBorders>
                  <w:vAlign w:val="center"/>
                </w:tcPr>
                <w:p w14:paraId="5C7AB695">
                  <w:pPr>
                    <w:pStyle w:val="167"/>
                    <w:rPr>
                      <w:rFonts w:hint="eastAsia"/>
                      <w:b/>
                      <w:color w:val="auto"/>
                      <w:spacing w:val="-4"/>
                      <w:sz w:val="21"/>
                      <w:szCs w:val="21"/>
                    </w:rPr>
                  </w:pPr>
                  <w:r>
                    <w:rPr>
                      <w:b/>
                      <w:color w:val="auto"/>
                      <w:spacing w:val="-4"/>
                      <w:sz w:val="21"/>
                      <w:szCs w:val="21"/>
                    </w:rPr>
                    <w:t>符合性</w:t>
                  </w:r>
                </w:p>
              </w:tc>
            </w:tr>
            <w:tr w14:paraId="36FA0C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restart"/>
                  <w:tcBorders>
                    <w:top w:val="single" w:color="auto" w:sz="4" w:space="0"/>
                    <w:left w:val="single" w:color="auto" w:sz="4" w:space="0"/>
                  </w:tcBorders>
                  <w:vAlign w:val="center"/>
                </w:tcPr>
                <w:p w14:paraId="3035A58F">
                  <w:pPr>
                    <w:pStyle w:val="167"/>
                    <w:jc w:val="both"/>
                    <w:rPr>
                      <w:rFonts w:hint="eastAsia"/>
                      <w:color w:val="auto"/>
                      <w:sz w:val="21"/>
                      <w:szCs w:val="21"/>
                    </w:rPr>
                  </w:pPr>
                  <w:r>
                    <w:rPr>
                      <w:rFonts w:hint="eastAsia"/>
                      <w:color w:val="auto"/>
                      <w:sz w:val="21"/>
                      <w:szCs w:val="21"/>
                    </w:rPr>
                    <w:t>第二章 监督管理</w:t>
                  </w:r>
                </w:p>
              </w:tc>
              <w:tc>
                <w:tcPr>
                  <w:tcW w:w="2479" w:type="pct"/>
                  <w:tcBorders>
                    <w:top w:val="single" w:color="auto" w:sz="4" w:space="0"/>
                  </w:tcBorders>
                  <w:vAlign w:val="center"/>
                </w:tcPr>
                <w:p w14:paraId="151D20AA">
                  <w:pPr>
                    <w:pStyle w:val="167"/>
                    <w:jc w:val="both"/>
                    <w:rPr>
                      <w:rFonts w:hint="eastAsia"/>
                      <w:color w:val="auto"/>
                      <w:sz w:val="21"/>
                      <w:szCs w:val="21"/>
                    </w:rPr>
                  </w:pPr>
                  <w:r>
                    <w:rPr>
                      <w:rFonts w:hint="eastAsia"/>
                      <w:color w:val="auto"/>
                      <w:sz w:val="21"/>
                      <w:szCs w:val="21"/>
                    </w:rPr>
                    <w:t>第十七条 编制有关开发利用规划，建设对生态环境有影响的项目，应当依法进行环境影响评价。</w:t>
                  </w:r>
                </w:p>
                <w:p w14:paraId="197AD8B3">
                  <w:pPr>
                    <w:pStyle w:val="167"/>
                    <w:jc w:val="both"/>
                    <w:rPr>
                      <w:rFonts w:hint="eastAsia"/>
                      <w:color w:val="auto"/>
                      <w:sz w:val="21"/>
                      <w:szCs w:val="21"/>
                    </w:rPr>
                  </w:pPr>
                  <w:r>
                    <w:rPr>
                      <w:rFonts w:hint="eastAsia"/>
                      <w:color w:val="auto"/>
                      <w:sz w:val="21"/>
                      <w:szCs w:val="21"/>
                    </w:rPr>
                    <w:t>未依法进行环境影响评价的开发利用规划，不得组织实施；未依法进行环境影响评价的建设项目，不得开工建设。</w:t>
                  </w:r>
                </w:p>
              </w:tc>
              <w:tc>
                <w:tcPr>
                  <w:tcW w:w="1587" w:type="pct"/>
                  <w:tcBorders>
                    <w:top w:val="single" w:color="auto" w:sz="4" w:space="0"/>
                    <w:bottom w:val="single" w:color="auto" w:sz="4" w:space="0"/>
                  </w:tcBorders>
                  <w:vAlign w:val="center"/>
                </w:tcPr>
                <w:p w14:paraId="18D814AF">
                  <w:pPr>
                    <w:pStyle w:val="167"/>
                    <w:widowControl w:val="0"/>
                    <w:jc w:val="both"/>
                    <w:rPr>
                      <w:rFonts w:hint="eastAsia"/>
                      <w:color w:val="auto"/>
                      <w:sz w:val="21"/>
                      <w:szCs w:val="21"/>
                      <w:highlight w:val="yellow"/>
                    </w:rPr>
                  </w:pPr>
                  <w:r>
                    <w:rPr>
                      <w:rFonts w:hint="eastAsia"/>
                      <w:color w:val="auto"/>
                      <w:sz w:val="21"/>
                      <w:szCs w:val="21"/>
                    </w:rPr>
                    <w:t>本工程属于对生态环境有影响的项目，已依法进行环境影响评价。</w:t>
                  </w:r>
                </w:p>
              </w:tc>
              <w:tc>
                <w:tcPr>
                  <w:tcW w:w="467" w:type="pct"/>
                  <w:tcBorders>
                    <w:top w:val="single" w:color="auto" w:sz="4" w:space="0"/>
                    <w:bottom w:val="single" w:color="auto" w:sz="4" w:space="0"/>
                    <w:right w:val="single" w:color="auto" w:sz="4" w:space="0"/>
                  </w:tcBorders>
                  <w:vAlign w:val="center"/>
                </w:tcPr>
                <w:p w14:paraId="349E4641">
                  <w:pPr>
                    <w:pStyle w:val="167"/>
                    <w:widowControl w:val="0"/>
                    <w:rPr>
                      <w:rFonts w:hint="eastAsia"/>
                      <w:color w:val="auto"/>
                      <w:sz w:val="21"/>
                      <w:szCs w:val="21"/>
                    </w:rPr>
                  </w:pPr>
                  <w:r>
                    <w:rPr>
                      <w:color w:val="auto"/>
                      <w:sz w:val="21"/>
                      <w:szCs w:val="21"/>
                    </w:rPr>
                    <w:t>符合</w:t>
                  </w:r>
                </w:p>
              </w:tc>
            </w:tr>
            <w:tr w14:paraId="7C6AE8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31C9B824">
                  <w:pPr>
                    <w:pStyle w:val="167"/>
                    <w:jc w:val="both"/>
                    <w:rPr>
                      <w:rFonts w:hint="eastAsia"/>
                      <w:color w:val="auto"/>
                      <w:sz w:val="21"/>
                      <w:szCs w:val="21"/>
                    </w:rPr>
                  </w:pPr>
                </w:p>
              </w:tc>
              <w:tc>
                <w:tcPr>
                  <w:tcW w:w="2479" w:type="pct"/>
                  <w:vAlign w:val="center"/>
                </w:tcPr>
                <w:p w14:paraId="22AA023D">
                  <w:pPr>
                    <w:pStyle w:val="167"/>
                    <w:jc w:val="both"/>
                    <w:rPr>
                      <w:rFonts w:hint="eastAsia"/>
                      <w:color w:val="auto"/>
                      <w:sz w:val="21"/>
                      <w:szCs w:val="21"/>
                    </w:rPr>
                  </w:pPr>
                  <w:r>
                    <w:rPr>
                      <w:rFonts w:hint="eastAsia"/>
                      <w:color w:val="auto"/>
                      <w:sz w:val="21"/>
                      <w:szCs w:val="21"/>
                    </w:rPr>
                    <w:t>第十八条 建设项目需要配套建设的环境保护设施应当与主体工程同时设计、同时施工、同时投产使用。</w:t>
                  </w:r>
                </w:p>
                <w:p w14:paraId="6F24AABC">
                  <w:pPr>
                    <w:pStyle w:val="167"/>
                    <w:jc w:val="both"/>
                    <w:rPr>
                      <w:rFonts w:hint="eastAsia"/>
                      <w:color w:val="auto"/>
                      <w:sz w:val="21"/>
                      <w:szCs w:val="21"/>
                    </w:rPr>
                  </w:pPr>
                  <w:r>
                    <w:rPr>
                      <w:rFonts w:hint="eastAsia"/>
                      <w:color w:val="auto"/>
                      <w:sz w:val="21"/>
                      <w:szCs w:val="21"/>
                    </w:rPr>
                    <w:t>编制环境影响报告书、环境影响报告表的建设项目竣工后，建设单位应当按照国家规定的标准和程序，对配套建设的环境保护设施进行验收，编制验收报告。配套建设的环境保护设施经验收合格，方可投入生产或者使用；未经验收或者验收不合格的，不得投入生产或者使用。</w:t>
                  </w:r>
                </w:p>
              </w:tc>
              <w:tc>
                <w:tcPr>
                  <w:tcW w:w="1587" w:type="pct"/>
                  <w:tcBorders>
                    <w:top w:val="single" w:color="auto" w:sz="4" w:space="0"/>
                    <w:bottom w:val="single" w:color="auto" w:sz="4" w:space="0"/>
                  </w:tcBorders>
                  <w:vAlign w:val="center"/>
                </w:tcPr>
                <w:p w14:paraId="6CB6E08F">
                  <w:pPr>
                    <w:pStyle w:val="167"/>
                    <w:jc w:val="both"/>
                    <w:rPr>
                      <w:rFonts w:hint="eastAsia"/>
                      <w:color w:val="auto"/>
                      <w:sz w:val="21"/>
                      <w:szCs w:val="21"/>
                    </w:rPr>
                  </w:pPr>
                  <w:r>
                    <w:rPr>
                      <w:rFonts w:hint="eastAsia"/>
                      <w:color w:val="auto"/>
                      <w:sz w:val="21"/>
                      <w:szCs w:val="21"/>
                    </w:rPr>
                    <w:t>本工程建设的环境保护设施将与主体工程同时设计、同时施工、同时投产使用。</w:t>
                  </w:r>
                </w:p>
                <w:p w14:paraId="3ED1CE4D">
                  <w:pPr>
                    <w:pStyle w:val="167"/>
                    <w:jc w:val="both"/>
                    <w:rPr>
                      <w:rFonts w:hint="eastAsia"/>
                      <w:color w:val="auto"/>
                      <w:sz w:val="21"/>
                      <w:szCs w:val="21"/>
                      <w:highlight w:val="yellow"/>
                    </w:rPr>
                  </w:pPr>
                  <w:r>
                    <w:rPr>
                      <w:rFonts w:hint="eastAsia"/>
                      <w:color w:val="auto"/>
                      <w:sz w:val="21"/>
                      <w:szCs w:val="21"/>
                    </w:rPr>
                    <w:t>本项目竣工后，建设单位将按照国家规定的标准和程序，对配套建设的环境保护设施进行验收，编制验收报告。配套建设的环境保护设施经验收合格，方可投入生产或者使用。</w:t>
                  </w:r>
                </w:p>
              </w:tc>
              <w:tc>
                <w:tcPr>
                  <w:tcW w:w="467" w:type="pct"/>
                  <w:tcBorders>
                    <w:top w:val="single" w:color="auto" w:sz="4" w:space="0"/>
                    <w:bottom w:val="single" w:color="auto" w:sz="4" w:space="0"/>
                    <w:right w:val="single" w:color="auto" w:sz="4" w:space="0"/>
                  </w:tcBorders>
                  <w:vAlign w:val="center"/>
                </w:tcPr>
                <w:p w14:paraId="11E43FA9">
                  <w:pPr>
                    <w:pStyle w:val="167"/>
                    <w:rPr>
                      <w:rFonts w:hint="eastAsia"/>
                      <w:color w:val="auto"/>
                      <w:sz w:val="21"/>
                      <w:szCs w:val="21"/>
                    </w:rPr>
                  </w:pPr>
                  <w:r>
                    <w:rPr>
                      <w:color w:val="auto"/>
                      <w:sz w:val="21"/>
                      <w:szCs w:val="21"/>
                    </w:rPr>
                    <w:t>符合</w:t>
                  </w:r>
                </w:p>
              </w:tc>
            </w:tr>
            <w:tr w14:paraId="26C489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restart"/>
                  <w:tcBorders>
                    <w:left w:val="single" w:color="auto" w:sz="4" w:space="0"/>
                  </w:tcBorders>
                  <w:vAlign w:val="center"/>
                </w:tcPr>
                <w:p w14:paraId="2C58C4A9">
                  <w:pPr>
                    <w:pStyle w:val="167"/>
                    <w:jc w:val="both"/>
                    <w:rPr>
                      <w:rFonts w:hint="eastAsia"/>
                      <w:color w:val="auto"/>
                      <w:sz w:val="21"/>
                      <w:szCs w:val="21"/>
                    </w:rPr>
                  </w:pPr>
                  <w:r>
                    <w:rPr>
                      <w:rFonts w:hint="eastAsia"/>
                      <w:color w:val="auto"/>
                      <w:sz w:val="21"/>
                      <w:szCs w:val="21"/>
                    </w:rPr>
                    <w:t>第三章 保护和改善生态环境</w:t>
                  </w:r>
                </w:p>
              </w:tc>
              <w:tc>
                <w:tcPr>
                  <w:tcW w:w="2479" w:type="pct"/>
                  <w:vAlign w:val="center"/>
                </w:tcPr>
                <w:p w14:paraId="647D4C8D">
                  <w:pPr>
                    <w:pStyle w:val="167"/>
                    <w:jc w:val="both"/>
                    <w:rPr>
                      <w:rFonts w:hint="eastAsia"/>
                      <w:color w:val="auto"/>
                      <w:sz w:val="21"/>
                      <w:szCs w:val="21"/>
                    </w:rPr>
                  </w:pPr>
                  <w:r>
                    <w:rPr>
                      <w:rFonts w:hint="eastAsia"/>
                      <w:color w:val="auto"/>
                      <w:sz w:val="21"/>
                      <w:szCs w:val="21"/>
                    </w:rPr>
                    <w:t>第二十八条 各级人民政府应当推进以国家公园为主体、以自然保护区为基础、以各类自然公园为补充的自然保护地体系建设，确保重要自然生态系统、自然遗址、自然景观和生物多样性得到系统性保护。</w:t>
                  </w:r>
                </w:p>
              </w:tc>
              <w:tc>
                <w:tcPr>
                  <w:tcW w:w="1587" w:type="pct"/>
                  <w:tcBorders>
                    <w:top w:val="single" w:color="auto" w:sz="4" w:space="0"/>
                    <w:bottom w:val="single" w:color="auto" w:sz="4" w:space="0"/>
                  </w:tcBorders>
                  <w:vAlign w:val="center"/>
                </w:tcPr>
                <w:p w14:paraId="35EEB02A">
                  <w:pPr>
                    <w:pStyle w:val="167"/>
                    <w:jc w:val="both"/>
                    <w:rPr>
                      <w:rFonts w:hint="eastAsia"/>
                      <w:color w:val="auto"/>
                      <w:sz w:val="21"/>
                      <w:szCs w:val="21"/>
                    </w:rPr>
                  </w:pPr>
                  <w:r>
                    <w:rPr>
                      <w:rFonts w:hint="eastAsia"/>
                      <w:color w:val="auto"/>
                      <w:sz w:val="21"/>
                      <w:szCs w:val="21"/>
                    </w:rPr>
                    <w:t>根据《</w:t>
                  </w:r>
                  <w:r>
                    <w:rPr>
                      <w:rFonts w:hint="eastAsia"/>
                      <w:color w:val="auto"/>
                      <w:sz w:val="21"/>
                      <w:szCs w:val="21"/>
                    </w:rPr>
                    <w:fldChar w:fldCharType="begin"/>
                  </w:r>
                  <w:r>
                    <w:rPr>
                      <w:rFonts w:hint="eastAsia"/>
                      <w:color w:val="auto"/>
                      <w:sz w:val="21"/>
                      <w:szCs w:val="21"/>
                    </w:rPr>
                    <w:instrText xml:space="preserve"> REF _Ref218625276 \h  \* MERGEFORMAT </w:instrText>
                  </w:r>
                  <w:r>
                    <w:rPr>
                      <w:rFonts w:hint="eastAsia"/>
                      <w:color w:val="auto"/>
                      <w:sz w:val="21"/>
                      <w:szCs w:val="21"/>
                    </w:rPr>
                    <w:fldChar w:fldCharType="separate"/>
                  </w:r>
                  <w:r>
                    <w:rPr>
                      <w:rFonts w:hint="eastAsia"/>
                      <w:color w:val="auto"/>
                      <w:sz w:val="21"/>
                      <w:szCs w:val="21"/>
                    </w:rPr>
                    <w:t>南涧彝族自治县林业和草原局关于沙乐光伏发电项目选址意见</w:t>
                  </w:r>
                  <w:r>
                    <w:rPr>
                      <w:rFonts w:hint="eastAsia"/>
                      <w:color w:val="auto"/>
                      <w:sz w:val="21"/>
                      <w:szCs w:val="21"/>
                    </w:rPr>
                    <w:fldChar w:fldCharType="end"/>
                  </w:r>
                  <w:r>
                    <w:rPr>
                      <w:rFonts w:hint="eastAsia"/>
                      <w:color w:val="auto"/>
                      <w:sz w:val="21"/>
                      <w:szCs w:val="21"/>
                    </w:rPr>
                    <w:t>》，本项目建设不涉及国家公园、自然保护区、森林公园、风景名胜区、草原公园等各类自然保护地，世界自然遗产地，野生动物重要栖息地，珍稀濒危和极小种群野生植物重要原生境和天然林保护重点区域。</w:t>
                  </w:r>
                </w:p>
              </w:tc>
              <w:tc>
                <w:tcPr>
                  <w:tcW w:w="467" w:type="pct"/>
                  <w:tcBorders>
                    <w:top w:val="single" w:color="auto" w:sz="4" w:space="0"/>
                    <w:bottom w:val="single" w:color="auto" w:sz="4" w:space="0"/>
                    <w:right w:val="single" w:color="auto" w:sz="4" w:space="0"/>
                  </w:tcBorders>
                  <w:vAlign w:val="center"/>
                </w:tcPr>
                <w:p w14:paraId="20E9072A">
                  <w:pPr>
                    <w:pStyle w:val="167"/>
                    <w:rPr>
                      <w:rFonts w:hint="eastAsia"/>
                      <w:color w:val="auto"/>
                      <w:sz w:val="21"/>
                      <w:szCs w:val="21"/>
                    </w:rPr>
                  </w:pPr>
                  <w:r>
                    <w:rPr>
                      <w:rFonts w:hint="eastAsia"/>
                      <w:color w:val="auto"/>
                      <w:sz w:val="21"/>
                      <w:szCs w:val="21"/>
                    </w:rPr>
                    <w:t>符合</w:t>
                  </w:r>
                </w:p>
              </w:tc>
            </w:tr>
            <w:tr w14:paraId="7EADFB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5CE7A2D7">
                  <w:pPr>
                    <w:pStyle w:val="167"/>
                    <w:jc w:val="both"/>
                    <w:rPr>
                      <w:rFonts w:hint="eastAsia"/>
                      <w:color w:val="auto"/>
                      <w:sz w:val="21"/>
                      <w:szCs w:val="21"/>
                    </w:rPr>
                  </w:pPr>
                </w:p>
              </w:tc>
              <w:tc>
                <w:tcPr>
                  <w:tcW w:w="2479" w:type="pct"/>
                  <w:vAlign w:val="center"/>
                </w:tcPr>
                <w:p w14:paraId="3D5EE760">
                  <w:pPr>
                    <w:pStyle w:val="167"/>
                    <w:jc w:val="both"/>
                    <w:rPr>
                      <w:rFonts w:hint="eastAsia"/>
                      <w:color w:val="auto"/>
                      <w:sz w:val="21"/>
                      <w:szCs w:val="21"/>
                    </w:rPr>
                  </w:pPr>
                  <w:r>
                    <w:rPr>
                      <w:rFonts w:hint="eastAsia"/>
                      <w:color w:val="auto"/>
                      <w:sz w:val="21"/>
                      <w:szCs w:val="21"/>
                    </w:rPr>
                    <w:t>第三十四条 各级人民政府应当全面落实饮用水水源保护区制度，开展饮用水水源地规范化建设，加强监测和监管，确保饮用水水源安全。</w:t>
                  </w:r>
                </w:p>
                <w:p w14:paraId="7CDF1C79">
                  <w:pPr>
                    <w:pStyle w:val="167"/>
                    <w:jc w:val="both"/>
                    <w:rPr>
                      <w:rFonts w:hint="eastAsia"/>
                      <w:color w:val="auto"/>
                      <w:sz w:val="21"/>
                      <w:szCs w:val="21"/>
                    </w:rPr>
                  </w:pPr>
                  <w:r>
                    <w:rPr>
                      <w:rFonts w:hint="eastAsia"/>
                      <w:color w:val="auto"/>
                      <w:sz w:val="21"/>
                      <w:szCs w:val="21"/>
                    </w:rPr>
                    <w:t>州（市）、县（市、区）人民政府应当按照国家有关规定提出饮用水水源保护区的划定和调整方案，报省人民政府批准。</w:t>
                  </w:r>
                </w:p>
              </w:tc>
              <w:tc>
                <w:tcPr>
                  <w:tcW w:w="1587" w:type="pct"/>
                  <w:tcBorders>
                    <w:top w:val="single" w:color="auto" w:sz="4" w:space="0"/>
                    <w:bottom w:val="single" w:color="auto" w:sz="4" w:space="0"/>
                  </w:tcBorders>
                  <w:vAlign w:val="center"/>
                </w:tcPr>
                <w:p w14:paraId="16543C8E">
                  <w:pPr>
                    <w:pStyle w:val="167"/>
                    <w:jc w:val="both"/>
                    <w:rPr>
                      <w:rFonts w:hint="eastAsia"/>
                      <w:color w:val="auto"/>
                      <w:sz w:val="21"/>
                      <w:szCs w:val="21"/>
                    </w:rPr>
                  </w:pPr>
                  <w:r>
                    <w:rPr>
                      <w:rFonts w:hint="eastAsia"/>
                      <w:color w:val="auto"/>
                      <w:sz w:val="21"/>
                      <w:szCs w:val="21"/>
                    </w:rPr>
                    <w:t>根据《</w:t>
                  </w:r>
                  <w:r>
                    <w:rPr>
                      <w:rFonts w:hint="eastAsia"/>
                      <w:color w:val="auto"/>
                      <w:sz w:val="21"/>
                      <w:szCs w:val="21"/>
                    </w:rPr>
                    <w:fldChar w:fldCharType="begin"/>
                  </w:r>
                  <w:r>
                    <w:rPr>
                      <w:rFonts w:hint="eastAsia"/>
                      <w:color w:val="auto"/>
                      <w:sz w:val="21"/>
                      <w:szCs w:val="21"/>
                    </w:rPr>
                    <w:instrText xml:space="preserve"> REF _Ref218542484 \h  \* MERGEFORMAT </w:instrText>
                  </w:r>
                  <w:r>
                    <w:rPr>
                      <w:rFonts w:hint="eastAsia"/>
                      <w:color w:val="auto"/>
                      <w:sz w:val="21"/>
                      <w:szCs w:val="21"/>
                    </w:rPr>
                    <w:fldChar w:fldCharType="separate"/>
                  </w:r>
                  <w:r>
                    <w:rPr>
                      <w:rFonts w:hint="eastAsia"/>
                      <w:color w:val="auto"/>
                      <w:sz w:val="21"/>
                      <w:szCs w:val="21"/>
                    </w:rPr>
                    <w:t>大理白族自治州生态环境局南涧分局关于沙乐光伏发电项目二次选址的意见</w:t>
                  </w:r>
                  <w:r>
                    <w:rPr>
                      <w:rFonts w:hint="eastAsia"/>
                      <w:color w:val="auto"/>
                      <w:sz w:val="21"/>
                      <w:szCs w:val="21"/>
                    </w:rPr>
                    <w:fldChar w:fldCharType="end"/>
                  </w:r>
                  <w:r>
                    <w:rPr>
                      <w:rFonts w:hint="eastAsia"/>
                      <w:color w:val="auto"/>
                      <w:sz w:val="21"/>
                      <w:szCs w:val="21"/>
                    </w:rPr>
                    <w:t>》，项目区范围内不涉及饮用水水源保护区范围。</w:t>
                  </w:r>
                </w:p>
              </w:tc>
              <w:tc>
                <w:tcPr>
                  <w:tcW w:w="467" w:type="pct"/>
                  <w:tcBorders>
                    <w:top w:val="single" w:color="auto" w:sz="4" w:space="0"/>
                    <w:bottom w:val="single" w:color="auto" w:sz="4" w:space="0"/>
                    <w:right w:val="single" w:color="auto" w:sz="4" w:space="0"/>
                  </w:tcBorders>
                  <w:vAlign w:val="center"/>
                </w:tcPr>
                <w:p w14:paraId="38A3CAF5">
                  <w:pPr>
                    <w:pStyle w:val="167"/>
                    <w:rPr>
                      <w:rFonts w:hint="eastAsia"/>
                      <w:color w:val="auto"/>
                      <w:sz w:val="21"/>
                      <w:szCs w:val="21"/>
                    </w:rPr>
                  </w:pPr>
                  <w:r>
                    <w:rPr>
                      <w:rFonts w:hint="eastAsia"/>
                      <w:color w:val="auto"/>
                      <w:sz w:val="21"/>
                      <w:szCs w:val="21"/>
                    </w:rPr>
                    <w:t>符合</w:t>
                  </w:r>
                </w:p>
              </w:tc>
            </w:tr>
            <w:tr w14:paraId="62A83A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restart"/>
                  <w:tcBorders>
                    <w:left w:val="single" w:color="auto" w:sz="4" w:space="0"/>
                  </w:tcBorders>
                  <w:vAlign w:val="center"/>
                </w:tcPr>
                <w:p w14:paraId="73A02ABF">
                  <w:pPr>
                    <w:pStyle w:val="167"/>
                    <w:jc w:val="both"/>
                    <w:rPr>
                      <w:rFonts w:hint="eastAsia"/>
                      <w:color w:val="auto"/>
                      <w:sz w:val="21"/>
                      <w:szCs w:val="21"/>
                    </w:rPr>
                  </w:pPr>
                  <w:r>
                    <w:rPr>
                      <w:rFonts w:hint="eastAsia"/>
                      <w:color w:val="auto"/>
                      <w:sz w:val="21"/>
                      <w:szCs w:val="21"/>
                    </w:rPr>
                    <w:t>第四章 污染防治</w:t>
                  </w:r>
                </w:p>
              </w:tc>
              <w:tc>
                <w:tcPr>
                  <w:tcW w:w="2479" w:type="pct"/>
                  <w:vAlign w:val="center"/>
                </w:tcPr>
                <w:p w14:paraId="6294E988">
                  <w:pPr>
                    <w:pStyle w:val="167"/>
                    <w:jc w:val="both"/>
                    <w:rPr>
                      <w:rFonts w:hint="eastAsia"/>
                      <w:color w:val="auto"/>
                      <w:sz w:val="21"/>
                      <w:szCs w:val="21"/>
                    </w:rPr>
                  </w:pPr>
                  <w:r>
                    <w:rPr>
                      <w:rFonts w:hint="eastAsia"/>
                      <w:color w:val="auto"/>
                      <w:sz w:val="21"/>
                      <w:szCs w:val="21"/>
                    </w:rPr>
                    <w:t>第三十六条 排放污染物的企业事业单位和其他生产经营者，应当采取措施，防治在生产建设或者其他活动中产生的废气、废水、废渣、医疗废物、粉尘、恶臭气体、放射性物质以及噪声、振动、光辐射、电磁辐射等对生态环境的污染和危害。</w:t>
                  </w:r>
                </w:p>
              </w:tc>
              <w:tc>
                <w:tcPr>
                  <w:tcW w:w="1587" w:type="pct"/>
                  <w:tcBorders>
                    <w:top w:val="single" w:color="auto" w:sz="4" w:space="0"/>
                    <w:bottom w:val="single" w:color="auto" w:sz="4" w:space="0"/>
                  </w:tcBorders>
                  <w:vAlign w:val="center"/>
                </w:tcPr>
                <w:p w14:paraId="05CFE1E6">
                  <w:pPr>
                    <w:pStyle w:val="167"/>
                    <w:jc w:val="both"/>
                    <w:rPr>
                      <w:rFonts w:hint="eastAsia"/>
                      <w:color w:val="auto"/>
                      <w:sz w:val="21"/>
                      <w:szCs w:val="21"/>
                    </w:rPr>
                  </w:pPr>
                  <w:r>
                    <w:rPr>
                      <w:rFonts w:hint="eastAsia"/>
                      <w:color w:val="auto"/>
                      <w:sz w:val="21"/>
                      <w:szCs w:val="21"/>
                    </w:rPr>
                    <w:t>本工程将采取措施减小施工期的粉尘、废水、固废、噪声以及运营期的废水、固废、噪声的环境影响。</w:t>
                  </w:r>
                </w:p>
              </w:tc>
              <w:tc>
                <w:tcPr>
                  <w:tcW w:w="467" w:type="pct"/>
                  <w:tcBorders>
                    <w:top w:val="single" w:color="auto" w:sz="4" w:space="0"/>
                    <w:bottom w:val="single" w:color="auto" w:sz="4" w:space="0"/>
                    <w:right w:val="single" w:color="auto" w:sz="4" w:space="0"/>
                  </w:tcBorders>
                  <w:vAlign w:val="center"/>
                </w:tcPr>
                <w:p w14:paraId="1319DFB7">
                  <w:pPr>
                    <w:pStyle w:val="167"/>
                    <w:rPr>
                      <w:rFonts w:hint="eastAsia"/>
                      <w:color w:val="auto"/>
                      <w:sz w:val="21"/>
                      <w:szCs w:val="21"/>
                    </w:rPr>
                  </w:pPr>
                  <w:r>
                    <w:rPr>
                      <w:rFonts w:hint="eastAsia"/>
                      <w:color w:val="auto"/>
                      <w:sz w:val="21"/>
                      <w:szCs w:val="21"/>
                    </w:rPr>
                    <w:t>符合</w:t>
                  </w:r>
                </w:p>
              </w:tc>
            </w:tr>
            <w:tr w14:paraId="125049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6AE9B94A">
                  <w:pPr>
                    <w:pStyle w:val="167"/>
                    <w:jc w:val="both"/>
                    <w:rPr>
                      <w:rFonts w:hint="eastAsia"/>
                      <w:color w:val="auto"/>
                      <w:sz w:val="21"/>
                      <w:szCs w:val="21"/>
                    </w:rPr>
                  </w:pPr>
                </w:p>
              </w:tc>
              <w:tc>
                <w:tcPr>
                  <w:tcW w:w="2479" w:type="pct"/>
                  <w:vAlign w:val="center"/>
                </w:tcPr>
                <w:p w14:paraId="23763D40">
                  <w:pPr>
                    <w:pStyle w:val="167"/>
                    <w:jc w:val="both"/>
                    <w:rPr>
                      <w:rFonts w:hint="eastAsia"/>
                      <w:color w:val="auto"/>
                      <w:sz w:val="21"/>
                      <w:szCs w:val="21"/>
                    </w:rPr>
                  </w:pPr>
                  <w:r>
                    <w:rPr>
                      <w:rFonts w:hint="eastAsia"/>
                      <w:color w:val="auto"/>
                      <w:sz w:val="21"/>
                      <w:szCs w:val="21"/>
                    </w:rPr>
                    <w:t>第四十五条 产生危险废物的单位，应当按照国家有关规定和环境保护标准要求贮存、利用、处置危险废物，不得擅自倾倒、堆放。从事收集、贮存、利用、处置危险废物经营活动的单位，应当依法申请取得许可证，并执行许可证管理制度的相关规定。</w:t>
                  </w:r>
                </w:p>
              </w:tc>
              <w:tc>
                <w:tcPr>
                  <w:tcW w:w="1587" w:type="pct"/>
                  <w:tcBorders>
                    <w:top w:val="single" w:color="auto" w:sz="4" w:space="0"/>
                    <w:bottom w:val="single" w:color="auto" w:sz="4" w:space="0"/>
                  </w:tcBorders>
                  <w:vAlign w:val="center"/>
                </w:tcPr>
                <w:p w14:paraId="0A189359">
                  <w:pPr>
                    <w:pStyle w:val="167"/>
                    <w:jc w:val="both"/>
                    <w:rPr>
                      <w:rFonts w:hint="eastAsia"/>
                      <w:color w:val="auto"/>
                      <w:sz w:val="21"/>
                      <w:szCs w:val="21"/>
                    </w:rPr>
                  </w:pPr>
                  <w:r>
                    <w:rPr>
                      <w:rFonts w:hint="eastAsia"/>
                      <w:color w:val="auto"/>
                      <w:sz w:val="21"/>
                      <w:szCs w:val="21"/>
                    </w:rPr>
                    <w:t>本工程将按照国家有关规定和环境保护标准要求贮存、利用、处置危险废物，不擅自倾倒、堆放。</w:t>
                  </w:r>
                </w:p>
              </w:tc>
              <w:tc>
                <w:tcPr>
                  <w:tcW w:w="467" w:type="pct"/>
                  <w:tcBorders>
                    <w:top w:val="single" w:color="auto" w:sz="4" w:space="0"/>
                    <w:bottom w:val="single" w:color="auto" w:sz="4" w:space="0"/>
                    <w:right w:val="single" w:color="auto" w:sz="4" w:space="0"/>
                  </w:tcBorders>
                  <w:vAlign w:val="center"/>
                </w:tcPr>
                <w:p w14:paraId="6BD981AA">
                  <w:pPr>
                    <w:pStyle w:val="167"/>
                    <w:rPr>
                      <w:rFonts w:hint="eastAsia"/>
                      <w:color w:val="auto"/>
                      <w:sz w:val="21"/>
                      <w:szCs w:val="21"/>
                    </w:rPr>
                  </w:pPr>
                  <w:r>
                    <w:rPr>
                      <w:rFonts w:hint="eastAsia"/>
                      <w:color w:val="auto"/>
                      <w:sz w:val="21"/>
                      <w:szCs w:val="21"/>
                    </w:rPr>
                    <w:t>符合</w:t>
                  </w:r>
                </w:p>
              </w:tc>
            </w:tr>
            <w:tr w14:paraId="7F4D2C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tcBorders>
                  <w:vAlign w:val="center"/>
                </w:tcPr>
                <w:p w14:paraId="2D2B03E0">
                  <w:pPr>
                    <w:pStyle w:val="167"/>
                    <w:jc w:val="both"/>
                    <w:rPr>
                      <w:rFonts w:hint="eastAsia"/>
                      <w:color w:val="auto"/>
                      <w:sz w:val="21"/>
                      <w:szCs w:val="21"/>
                    </w:rPr>
                  </w:pPr>
                </w:p>
              </w:tc>
              <w:tc>
                <w:tcPr>
                  <w:tcW w:w="2479" w:type="pct"/>
                  <w:vAlign w:val="center"/>
                </w:tcPr>
                <w:p w14:paraId="66408522">
                  <w:pPr>
                    <w:pStyle w:val="167"/>
                    <w:jc w:val="both"/>
                    <w:rPr>
                      <w:rFonts w:hint="eastAsia"/>
                      <w:color w:val="auto"/>
                      <w:sz w:val="21"/>
                      <w:szCs w:val="21"/>
                    </w:rPr>
                  </w:pPr>
                  <w:r>
                    <w:rPr>
                      <w:rFonts w:hint="eastAsia"/>
                      <w:color w:val="auto"/>
                      <w:sz w:val="21"/>
                      <w:szCs w:val="21"/>
                    </w:rPr>
                    <w:t>第四十七条 排放噪声的单位和个人应当采取有效措施，使其排放的噪声符合国家规定的排放标准。</w:t>
                  </w:r>
                </w:p>
                <w:p w14:paraId="5440649C">
                  <w:pPr>
                    <w:pStyle w:val="167"/>
                    <w:jc w:val="both"/>
                    <w:rPr>
                      <w:rFonts w:hint="eastAsia"/>
                      <w:color w:val="auto"/>
                      <w:sz w:val="21"/>
                      <w:szCs w:val="21"/>
                    </w:rPr>
                  </w:pPr>
                  <w:r>
                    <w:rPr>
                      <w:rFonts w:hint="eastAsia"/>
                      <w:color w:val="auto"/>
                      <w:sz w:val="21"/>
                      <w:szCs w:val="21"/>
                    </w:rPr>
                    <w:t>在噪声敏感建筑物集中区域，禁止夜间进行产生噪声的建筑施工作业，但抢修、抢险施工作业，因生产工艺要求或者其他特殊需要必须连续施工作业的除外。</w:t>
                  </w:r>
                </w:p>
                <w:p w14:paraId="456086CB">
                  <w:pPr>
                    <w:pStyle w:val="167"/>
                    <w:jc w:val="both"/>
                    <w:rPr>
                      <w:rFonts w:hint="eastAsia"/>
                      <w:color w:val="auto"/>
                      <w:sz w:val="21"/>
                      <w:szCs w:val="21"/>
                    </w:rPr>
                  </w:pPr>
                  <w:r>
                    <w:rPr>
                      <w:rFonts w:hint="eastAsia"/>
                      <w:color w:val="auto"/>
                      <w:sz w:val="21"/>
                      <w:szCs w:val="21"/>
                    </w:rPr>
                    <w:t>因特殊需要必须连续施工作业的，应当取得县级以上人民政府住房城乡建设、生态环境主管部门或者各级人民政府指定的部门的证明，并在施工现场显著位置公示或者以其他方式提前公告附近居民。</w:t>
                  </w:r>
                </w:p>
                <w:p w14:paraId="231FF696">
                  <w:pPr>
                    <w:pStyle w:val="167"/>
                    <w:jc w:val="both"/>
                    <w:rPr>
                      <w:rFonts w:hint="eastAsia"/>
                      <w:color w:val="auto"/>
                      <w:sz w:val="21"/>
                      <w:szCs w:val="21"/>
                    </w:rPr>
                  </w:pPr>
                  <w:r>
                    <w:rPr>
                      <w:rFonts w:hint="eastAsia"/>
                      <w:color w:val="auto"/>
                      <w:sz w:val="21"/>
                      <w:szCs w:val="21"/>
                    </w:rPr>
                    <w:t>在举行中等学校招生考试、高等学校招生统一考试等特殊活动期间，各级人民政府或者其指定的部门可以对可能产生噪声影响的活动，作出时间和区域的限制性规定，并提前向社会公告。</w:t>
                  </w:r>
                </w:p>
              </w:tc>
              <w:tc>
                <w:tcPr>
                  <w:tcW w:w="1587" w:type="pct"/>
                  <w:tcBorders>
                    <w:top w:val="single" w:color="auto" w:sz="4" w:space="0"/>
                    <w:bottom w:val="single" w:color="auto" w:sz="4" w:space="0"/>
                  </w:tcBorders>
                  <w:vAlign w:val="center"/>
                </w:tcPr>
                <w:p w14:paraId="1C438DFE">
                  <w:pPr>
                    <w:pStyle w:val="167"/>
                    <w:jc w:val="both"/>
                    <w:rPr>
                      <w:rFonts w:hint="eastAsia"/>
                      <w:color w:val="auto"/>
                      <w:sz w:val="21"/>
                      <w:szCs w:val="21"/>
                    </w:rPr>
                  </w:pPr>
                  <w:r>
                    <w:rPr>
                      <w:rFonts w:hint="eastAsia"/>
                      <w:color w:val="auto"/>
                      <w:sz w:val="21"/>
                      <w:szCs w:val="21"/>
                    </w:rPr>
                    <w:t>本工程施工期、运营期都将采取措施，使噪声达标排放。</w:t>
                  </w:r>
                </w:p>
                <w:p w14:paraId="66AB1746">
                  <w:pPr>
                    <w:pStyle w:val="167"/>
                    <w:jc w:val="both"/>
                    <w:rPr>
                      <w:rFonts w:hint="eastAsia"/>
                      <w:color w:val="auto"/>
                      <w:sz w:val="21"/>
                      <w:szCs w:val="21"/>
                    </w:rPr>
                  </w:pPr>
                  <w:r>
                    <w:rPr>
                      <w:rFonts w:hint="eastAsia"/>
                      <w:color w:val="auto"/>
                      <w:sz w:val="21"/>
                      <w:szCs w:val="21"/>
                    </w:rPr>
                    <w:t>本工程施工期间禁止在夜间（22时至次日6时）进行建筑施工作业，但抢修、抢险作业和因混凝土浇灌、桩基冲孔、钻孔桩成型等生产工艺需要连续作业的除外。确需夜间施工的，须办理相关手续，并公告周边居民。</w:t>
                  </w:r>
                </w:p>
              </w:tc>
              <w:tc>
                <w:tcPr>
                  <w:tcW w:w="467" w:type="pct"/>
                  <w:tcBorders>
                    <w:top w:val="single" w:color="auto" w:sz="4" w:space="0"/>
                    <w:bottom w:val="single" w:color="auto" w:sz="4" w:space="0"/>
                    <w:right w:val="single" w:color="auto" w:sz="4" w:space="0"/>
                  </w:tcBorders>
                  <w:vAlign w:val="center"/>
                </w:tcPr>
                <w:p w14:paraId="4CA8B5A4">
                  <w:pPr>
                    <w:pStyle w:val="167"/>
                    <w:rPr>
                      <w:rFonts w:hint="eastAsia"/>
                      <w:color w:val="auto"/>
                      <w:sz w:val="21"/>
                      <w:szCs w:val="21"/>
                    </w:rPr>
                  </w:pPr>
                  <w:r>
                    <w:rPr>
                      <w:rFonts w:hint="eastAsia"/>
                      <w:color w:val="auto"/>
                      <w:sz w:val="21"/>
                      <w:szCs w:val="21"/>
                    </w:rPr>
                    <w:t>符合</w:t>
                  </w:r>
                </w:p>
              </w:tc>
            </w:tr>
            <w:tr w14:paraId="28AB04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tcBorders>
                    <w:left w:val="single" w:color="auto" w:sz="4" w:space="0"/>
                    <w:bottom w:val="single" w:color="auto" w:sz="4" w:space="0"/>
                  </w:tcBorders>
                  <w:vAlign w:val="center"/>
                </w:tcPr>
                <w:p w14:paraId="4EC11321">
                  <w:pPr>
                    <w:pStyle w:val="167"/>
                    <w:jc w:val="both"/>
                    <w:rPr>
                      <w:rFonts w:hint="eastAsia"/>
                      <w:color w:val="auto"/>
                      <w:sz w:val="21"/>
                      <w:szCs w:val="21"/>
                    </w:rPr>
                  </w:pPr>
                </w:p>
              </w:tc>
              <w:tc>
                <w:tcPr>
                  <w:tcW w:w="2479" w:type="pct"/>
                  <w:tcBorders>
                    <w:bottom w:val="single" w:color="auto" w:sz="4" w:space="0"/>
                  </w:tcBorders>
                  <w:vAlign w:val="center"/>
                </w:tcPr>
                <w:p w14:paraId="6007B838">
                  <w:pPr>
                    <w:pStyle w:val="167"/>
                    <w:jc w:val="both"/>
                    <w:rPr>
                      <w:rFonts w:hint="eastAsia"/>
                      <w:color w:val="auto"/>
                      <w:sz w:val="21"/>
                      <w:szCs w:val="21"/>
                    </w:rPr>
                  </w:pPr>
                  <w:r>
                    <w:rPr>
                      <w:rFonts w:hint="eastAsia"/>
                      <w:color w:val="auto"/>
                      <w:sz w:val="21"/>
                      <w:szCs w:val="21"/>
                    </w:rPr>
                    <w:t>第四十九条 县级以上人民政府生态环境主管部门应当根据本级人民政府突发环境事件专项应急预案，制定本部门的应急预案，报本级人民政府和上级人民政府生态环境主管部门备案。</w:t>
                  </w:r>
                </w:p>
                <w:p w14:paraId="23333761">
                  <w:pPr>
                    <w:pStyle w:val="167"/>
                    <w:jc w:val="both"/>
                    <w:rPr>
                      <w:rFonts w:hint="eastAsia"/>
                      <w:color w:val="auto"/>
                      <w:sz w:val="21"/>
                      <w:szCs w:val="21"/>
                    </w:rPr>
                  </w:pPr>
                  <w:r>
                    <w:rPr>
                      <w:rFonts w:hint="eastAsia"/>
                      <w:color w:val="auto"/>
                      <w:sz w:val="21"/>
                      <w:szCs w:val="21"/>
                    </w:rPr>
                    <w:t>企业事业单位应当按照规定，在开展突发环境事件风险评估和应急资源调查的基础上制定突发环境事件应急预案，并按照分类分级管理的原则，报县级以上人民政府生态环境主管部门备案。</w:t>
                  </w:r>
                </w:p>
                <w:p w14:paraId="7EE04174">
                  <w:pPr>
                    <w:pStyle w:val="167"/>
                    <w:jc w:val="both"/>
                    <w:rPr>
                      <w:rFonts w:hint="eastAsia"/>
                      <w:color w:val="auto"/>
                      <w:sz w:val="21"/>
                      <w:szCs w:val="21"/>
                    </w:rPr>
                  </w:pPr>
                  <w:r>
                    <w:rPr>
                      <w:rFonts w:hint="eastAsia"/>
                      <w:color w:val="auto"/>
                      <w:sz w:val="21"/>
                      <w:szCs w:val="21"/>
                    </w:rPr>
                    <w:t>编制应急预案的有关部门和企业事业单位，应当定期开展应急演练，依法组织做好突发环境事件的风险控制、应急准备、应急处置和事后恢复等工作。</w:t>
                  </w:r>
                </w:p>
              </w:tc>
              <w:tc>
                <w:tcPr>
                  <w:tcW w:w="1587" w:type="pct"/>
                  <w:tcBorders>
                    <w:top w:val="single" w:color="auto" w:sz="4" w:space="0"/>
                    <w:bottom w:val="single" w:color="auto" w:sz="4" w:space="0"/>
                  </w:tcBorders>
                  <w:vAlign w:val="center"/>
                </w:tcPr>
                <w:p w14:paraId="7C3BE856">
                  <w:pPr>
                    <w:pStyle w:val="167"/>
                    <w:jc w:val="both"/>
                    <w:rPr>
                      <w:rFonts w:hint="eastAsia"/>
                      <w:color w:val="auto"/>
                      <w:sz w:val="21"/>
                      <w:szCs w:val="21"/>
                    </w:rPr>
                  </w:pPr>
                  <w:r>
                    <w:rPr>
                      <w:rFonts w:hint="eastAsia"/>
                      <w:color w:val="auto"/>
                      <w:sz w:val="21"/>
                      <w:szCs w:val="21"/>
                    </w:rPr>
                    <w:t>项目将按照《企业事业单位突发环境事件应急预案备案管理办法（试行）》的通知，环发〔2015〕4号的要求，编制运营期应急预案并在当地生态环境部门备案后，定期开展演练。</w:t>
                  </w:r>
                </w:p>
              </w:tc>
              <w:tc>
                <w:tcPr>
                  <w:tcW w:w="467" w:type="pct"/>
                  <w:tcBorders>
                    <w:top w:val="single" w:color="auto" w:sz="4" w:space="0"/>
                    <w:bottom w:val="single" w:color="auto" w:sz="4" w:space="0"/>
                    <w:right w:val="single" w:color="auto" w:sz="4" w:space="0"/>
                  </w:tcBorders>
                  <w:vAlign w:val="center"/>
                </w:tcPr>
                <w:p w14:paraId="214D2C59">
                  <w:pPr>
                    <w:pStyle w:val="167"/>
                    <w:rPr>
                      <w:rFonts w:hint="eastAsia"/>
                      <w:color w:val="auto"/>
                      <w:sz w:val="21"/>
                      <w:szCs w:val="21"/>
                    </w:rPr>
                  </w:pPr>
                  <w:r>
                    <w:rPr>
                      <w:rFonts w:hint="eastAsia"/>
                      <w:color w:val="auto"/>
                      <w:sz w:val="21"/>
                      <w:szCs w:val="21"/>
                    </w:rPr>
                    <w:t>符合</w:t>
                  </w:r>
                </w:p>
              </w:tc>
            </w:tr>
            <w:tr w14:paraId="17422B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left w:val="single" w:color="auto" w:sz="4" w:space="0"/>
                    <w:bottom w:val="single" w:color="auto" w:sz="4" w:space="0"/>
                  </w:tcBorders>
                  <w:vAlign w:val="center"/>
                </w:tcPr>
                <w:p w14:paraId="43DCA9F1">
                  <w:pPr>
                    <w:pStyle w:val="167"/>
                    <w:jc w:val="both"/>
                    <w:rPr>
                      <w:rFonts w:hint="eastAsia"/>
                      <w:color w:val="auto"/>
                      <w:sz w:val="21"/>
                      <w:szCs w:val="21"/>
                    </w:rPr>
                  </w:pPr>
                  <w:r>
                    <w:rPr>
                      <w:rFonts w:hint="eastAsia"/>
                      <w:color w:val="auto"/>
                      <w:sz w:val="21"/>
                      <w:szCs w:val="21"/>
                    </w:rPr>
                    <w:t>第五章 绿色低碳发展</w:t>
                  </w:r>
                </w:p>
              </w:tc>
              <w:tc>
                <w:tcPr>
                  <w:tcW w:w="2479" w:type="pct"/>
                  <w:tcBorders>
                    <w:bottom w:val="single" w:color="auto" w:sz="4" w:space="0"/>
                  </w:tcBorders>
                  <w:vAlign w:val="center"/>
                </w:tcPr>
                <w:p w14:paraId="03705128">
                  <w:pPr>
                    <w:pStyle w:val="167"/>
                    <w:jc w:val="both"/>
                    <w:rPr>
                      <w:rFonts w:hint="eastAsia"/>
                      <w:color w:val="auto"/>
                      <w:sz w:val="21"/>
                      <w:szCs w:val="21"/>
                    </w:rPr>
                  </w:pPr>
                  <w:r>
                    <w:rPr>
                      <w:rFonts w:hint="eastAsia"/>
                      <w:color w:val="auto"/>
                      <w:sz w:val="21"/>
                      <w:szCs w:val="21"/>
                    </w:rPr>
                    <w:t>第五十四条 县级以上人民政府应当统筹建立清洁低碳、安全高效的能源体系，推进绿色能源开发利用、全产业链发展，提升可再生能源利用比例，在保证生态系统多样性、稳定性、持续性的前提下，因地制宜发展水能、风能、太阳能、地热能、生物质能等，促进能源产业高质量发展。</w:t>
                  </w:r>
                </w:p>
              </w:tc>
              <w:tc>
                <w:tcPr>
                  <w:tcW w:w="1587" w:type="pct"/>
                  <w:tcBorders>
                    <w:top w:val="single" w:color="auto" w:sz="4" w:space="0"/>
                    <w:bottom w:val="single" w:color="auto" w:sz="4" w:space="0"/>
                  </w:tcBorders>
                  <w:vAlign w:val="center"/>
                </w:tcPr>
                <w:p w14:paraId="06E60D67">
                  <w:pPr>
                    <w:pStyle w:val="167"/>
                    <w:jc w:val="both"/>
                    <w:rPr>
                      <w:rFonts w:hint="eastAsia"/>
                      <w:color w:val="auto"/>
                      <w:sz w:val="21"/>
                      <w:szCs w:val="21"/>
                    </w:rPr>
                  </w:pPr>
                  <w:r>
                    <w:rPr>
                      <w:rFonts w:hint="eastAsia"/>
                      <w:color w:val="auto"/>
                      <w:sz w:val="21"/>
                      <w:szCs w:val="21"/>
                    </w:rPr>
                    <w:t>本工程为光伏发电项目，属于在保证生态系统多样性、稳定性、持续性的前提下因地制宜发展太阳能，项目建设有助于建立清洁低碳、安全高效的能源体系，推进绿色能源开发利用、全产业链发展，提升可再生能源利用比例。</w:t>
                  </w:r>
                </w:p>
              </w:tc>
              <w:tc>
                <w:tcPr>
                  <w:tcW w:w="467" w:type="pct"/>
                  <w:tcBorders>
                    <w:top w:val="single" w:color="auto" w:sz="4" w:space="0"/>
                    <w:bottom w:val="single" w:color="auto" w:sz="4" w:space="0"/>
                    <w:right w:val="single" w:color="auto" w:sz="4" w:space="0"/>
                  </w:tcBorders>
                  <w:vAlign w:val="center"/>
                </w:tcPr>
                <w:p w14:paraId="429CDFCA">
                  <w:pPr>
                    <w:pStyle w:val="167"/>
                    <w:rPr>
                      <w:rFonts w:hint="eastAsia"/>
                      <w:color w:val="auto"/>
                      <w:sz w:val="21"/>
                      <w:szCs w:val="21"/>
                    </w:rPr>
                  </w:pPr>
                  <w:r>
                    <w:rPr>
                      <w:rFonts w:hint="eastAsia"/>
                      <w:color w:val="auto"/>
                      <w:sz w:val="21"/>
                      <w:szCs w:val="21"/>
                    </w:rPr>
                    <w:t>符合</w:t>
                  </w:r>
                </w:p>
              </w:tc>
            </w:tr>
          </w:tbl>
          <w:p w14:paraId="607DC6FD">
            <w:pPr>
              <w:pStyle w:val="63"/>
              <w:keepNext/>
              <w:rPr>
                <w:color w:val="auto"/>
              </w:rPr>
            </w:pPr>
          </w:p>
        </w:tc>
      </w:tr>
    </w:tbl>
    <w:p w14:paraId="76AD794B">
      <w:pPr>
        <w:pStyle w:val="2"/>
        <w:spacing w:before="120" w:after="120"/>
        <w:ind w:firstLine="643"/>
        <w:rPr>
          <w:color w:val="auto"/>
        </w:rPr>
      </w:pPr>
      <w:bookmarkStart w:id="290" w:name="_Toc218698789"/>
      <w:bookmarkStart w:id="291" w:name="_Toc161415536"/>
      <w:bookmarkStart w:id="292" w:name="_Toc181738206"/>
      <w:bookmarkStart w:id="293" w:name="_Toc212667808"/>
      <w:r>
        <w:rPr>
          <w:rFonts w:hint="eastAsia"/>
          <w:color w:val="auto"/>
        </w:rPr>
        <w:t>、建设内容</w:t>
      </w:r>
      <w:bookmarkEnd w:id="290"/>
      <w:bookmarkEnd w:id="291"/>
      <w:bookmarkEnd w:id="292"/>
      <w:bookmarkEnd w:id="293"/>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926"/>
      </w:tblGrid>
      <w:tr w14:paraId="66F6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1CE6213D">
            <w:pPr>
              <w:ind w:firstLine="0" w:firstLineChars="0"/>
              <w:jc w:val="center"/>
              <w:rPr>
                <w:rFonts w:cs="Times New Roman"/>
                <w:color w:val="auto"/>
                <w:kern w:val="0"/>
                <w:szCs w:val="20"/>
              </w:rPr>
            </w:pPr>
            <w:r>
              <w:rPr>
                <w:rFonts w:cs="Times New Roman"/>
                <w:color w:val="auto"/>
                <w:kern w:val="0"/>
                <w:szCs w:val="21"/>
              </w:rPr>
              <w:t>地理位置</w:t>
            </w:r>
          </w:p>
        </w:tc>
        <w:tc>
          <w:tcPr>
            <w:tcW w:w="7740" w:type="dxa"/>
          </w:tcPr>
          <w:p w14:paraId="08D25C8D">
            <w:pPr>
              <w:pStyle w:val="3"/>
              <w:spacing w:before="72" w:after="72"/>
              <w:rPr>
                <w:color w:val="auto"/>
                <w:kern w:val="0"/>
              </w:rPr>
            </w:pPr>
            <w:bookmarkStart w:id="294" w:name="_Toc181293522"/>
            <w:bookmarkStart w:id="295" w:name="_Toc158491242"/>
            <w:bookmarkStart w:id="296" w:name="_Toc1590"/>
            <w:bookmarkStart w:id="297" w:name="_Toc177072815"/>
            <w:bookmarkStart w:id="298" w:name="_Toc136794298"/>
            <w:bookmarkStart w:id="299" w:name="_Toc159349010"/>
            <w:bookmarkStart w:id="300" w:name="_Toc177072387"/>
            <w:bookmarkStart w:id="301" w:name="_Toc4571"/>
            <w:bookmarkStart w:id="302" w:name="_Toc136794173"/>
            <w:bookmarkStart w:id="303" w:name="_Toc156144135"/>
            <w:bookmarkStart w:id="304" w:name="_Toc161415537"/>
            <w:bookmarkStart w:id="305" w:name="_Toc160473783"/>
            <w:bookmarkStart w:id="306" w:name="_Toc156137821"/>
            <w:bookmarkStart w:id="307" w:name="_Toc177482887"/>
            <w:bookmarkStart w:id="308" w:name="_Toc112165608"/>
            <w:bookmarkStart w:id="309" w:name="_Toc177488199"/>
            <w:bookmarkStart w:id="310" w:name="_Toc112173903"/>
            <w:bookmarkStart w:id="311" w:name="_Toc181732800"/>
            <w:bookmarkStart w:id="312" w:name="_Toc181738207"/>
            <w:bookmarkStart w:id="313" w:name="_Toc160730859"/>
            <w:bookmarkStart w:id="314" w:name="_Toc112424245"/>
            <w:r>
              <w:rPr>
                <w:color w:val="auto"/>
                <w:kern w:val="0"/>
              </w:rPr>
              <w:t>地理位置</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09353CCE">
            <w:pPr>
              <w:ind w:firstLine="480"/>
              <w:rPr>
                <w:rFonts w:cs="Times New Roman"/>
                <w:color w:val="auto"/>
                <w:kern w:val="0"/>
                <w:szCs w:val="21"/>
              </w:rPr>
            </w:pPr>
            <w:r>
              <w:rPr>
                <w:rFonts w:hint="eastAsia" w:cs="Times New Roman"/>
                <w:color w:val="auto"/>
                <w:kern w:val="0"/>
                <w:szCs w:val="21"/>
              </w:rPr>
              <w:t>沙乐光伏发电项目位于南涧县公郎镇，项目规划22个光伏方阵，其中S01~S02、S11光伏方阵位于下朵么北侧和安召西侧附近山坡地带，S03~S10光伏方阵位于旧村东北侧、蚂蟥箐西南侧附近山坡地带， S12~S18光伏方阵位于包茂村北侧和大歇场东北侧附近山坡地带，S19~S22光伏方阵位于大平掌西北侧附近山坡地带。项目</w:t>
            </w:r>
            <w:r>
              <w:rPr>
                <w:rFonts w:cs="Times New Roman"/>
                <w:color w:val="auto"/>
                <w:kern w:val="0"/>
                <w:szCs w:val="21"/>
              </w:rPr>
              <w:t>总占地面积约</w:t>
            </w:r>
            <w:r>
              <w:rPr>
                <w:rFonts w:hint="eastAsia" w:cs="Times New Roman"/>
                <w:color w:val="auto"/>
                <w:kern w:val="0"/>
                <w:szCs w:val="21"/>
              </w:rPr>
              <w:t>117.06</w:t>
            </w:r>
            <w:r>
              <w:rPr>
                <w:rFonts w:cs="Times New Roman"/>
                <w:color w:val="auto"/>
                <w:kern w:val="0"/>
                <w:szCs w:val="21"/>
              </w:rPr>
              <w:t>hm</w:t>
            </w:r>
            <w:r>
              <w:rPr>
                <w:rFonts w:cs="Times New Roman"/>
                <w:color w:val="auto"/>
                <w:kern w:val="0"/>
                <w:szCs w:val="21"/>
                <w:vertAlign w:val="superscript"/>
              </w:rPr>
              <w:t>2</w:t>
            </w:r>
            <w:r>
              <w:rPr>
                <w:rFonts w:cs="Times New Roman"/>
                <w:color w:val="auto"/>
                <w:kern w:val="0"/>
                <w:szCs w:val="21"/>
              </w:rPr>
              <w:t>，光伏场址</w:t>
            </w:r>
            <w:r>
              <w:rPr>
                <w:rFonts w:hint="eastAsia" w:cs="Times New Roman"/>
                <w:color w:val="auto"/>
                <w:kern w:val="0"/>
                <w:szCs w:val="21"/>
              </w:rPr>
              <w:t>范围东经100°25′9.764″~100°30′10.721″,北纬24°46′26.624″~24°44′37.242″，本项目海拔高程在1760m～2323m之间。场址中心距离南涧县中心直线距离约30km。场址区域地面作物以台地茶为主，零散分布种植有少量作物（豌豆和小麦）。场址及其周边有多条公路通过，交通运输条件较为便利。其中，沙乐线从场址南部通过。可通过沙乐线进入场内，交通运输条件较好。</w:t>
            </w:r>
          </w:p>
          <w:p w14:paraId="4395DAC8">
            <w:pPr>
              <w:ind w:firstLine="0" w:firstLineChars="0"/>
              <w:rPr>
                <w:rFonts w:cs="Times New Roman"/>
                <w:color w:val="auto"/>
                <w:kern w:val="0"/>
                <w:szCs w:val="20"/>
              </w:rPr>
            </w:pPr>
            <w:r>
              <w:rPr>
                <w:rFonts w:cs="Times New Roman"/>
                <w:color w:val="auto"/>
                <w:kern w:val="0"/>
                <w:szCs w:val="21"/>
              </w:rPr>
              <w:t>项目地理位置图详见附图</w:t>
            </w:r>
            <w:r>
              <w:rPr>
                <w:rFonts w:hint="eastAsia" w:cs="Times New Roman"/>
                <w:color w:val="auto"/>
                <w:kern w:val="0"/>
                <w:szCs w:val="21"/>
              </w:rPr>
              <w:t>1</w:t>
            </w:r>
            <w:r>
              <w:rPr>
                <w:rFonts w:cs="Times New Roman"/>
                <w:color w:val="auto"/>
                <w:kern w:val="0"/>
                <w:szCs w:val="21"/>
              </w:rPr>
              <w:t>。</w:t>
            </w:r>
          </w:p>
        </w:tc>
      </w:tr>
      <w:tr w14:paraId="6399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2B9FC2E4">
            <w:pPr>
              <w:ind w:firstLine="0" w:firstLineChars="0"/>
              <w:jc w:val="center"/>
              <w:rPr>
                <w:rFonts w:cs="Times New Roman"/>
                <w:color w:val="auto"/>
                <w:kern w:val="0"/>
                <w:szCs w:val="20"/>
              </w:rPr>
            </w:pPr>
            <w:r>
              <w:rPr>
                <w:rFonts w:cs="Times New Roman"/>
                <w:color w:val="auto"/>
                <w:kern w:val="0"/>
                <w:szCs w:val="21"/>
              </w:rPr>
              <w:t>项目组成及规模</w:t>
            </w:r>
          </w:p>
        </w:tc>
        <w:tc>
          <w:tcPr>
            <w:tcW w:w="7740" w:type="dxa"/>
          </w:tcPr>
          <w:p w14:paraId="46B12620">
            <w:pPr>
              <w:ind w:firstLine="480"/>
              <w:rPr>
                <w:rFonts w:cs="Times New Roman"/>
                <w:color w:val="auto"/>
                <w:kern w:val="0"/>
                <w:szCs w:val="21"/>
              </w:rPr>
            </w:pPr>
            <w:r>
              <w:rPr>
                <w:rFonts w:cs="Times New Roman"/>
                <w:color w:val="auto"/>
                <w:kern w:val="0"/>
                <w:szCs w:val="21"/>
              </w:rPr>
              <w:t>根据</w:t>
            </w:r>
            <w:bookmarkStart w:id="315" w:name="_Hlk181643192"/>
            <w:r>
              <w:rPr>
                <w:rFonts w:hint="eastAsia" w:cs="Times New Roman"/>
                <w:color w:val="auto"/>
                <w:kern w:val="0"/>
                <w:szCs w:val="21"/>
              </w:rPr>
              <w:t>《建设项目环境影响评价分类管理名录（2021年版）》</w:t>
            </w:r>
            <w:bookmarkEnd w:id="315"/>
            <w:r>
              <w:rPr>
                <w:rFonts w:hint="eastAsia" w:cs="Times New Roman"/>
                <w:color w:val="auto"/>
                <w:kern w:val="0"/>
                <w:szCs w:val="21"/>
              </w:rPr>
              <w:t>、</w:t>
            </w:r>
            <w:r>
              <w:rPr>
                <w:rFonts w:cs="Times New Roman"/>
                <w:color w:val="auto"/>
                <w:kern w:val="0"/>
                <w:szCs w:val="21"/>
              </w:rPr>
              <w:t>《环境影响评价技术导则 输变电》（HJ24-2020）及《电磁环境控制限值》（GB8702-2014），100kV及以下输变电电磁辐射属于豁免范围，故本项目35kV集电线路属于</w:t>
            </w:r>
            <w:r>
              <w:rPr>
                <w:rFonts w:hint="eastAsia" w:cs="Times New Roman"/>
                <w:color w:val="auto"/>
                <w:kern w:val="0"/>
                <w:szCs w:val="21"/>
              </w:rPr>
              <w:t>电磁辐射评价</w:t>
            </w:r>
            <w:r>
              <w:rPr>
                <w:rFonts w:cs="Times New Roman"/>
                <w:color w:val="auto"/>
                <w:kern w:val="0"/>
                <w:szCs w:val="21"/>
              </w:rPr>
              <w:t>豁免范围内。另外，根据《</w:t>
            </w:r>
            <w:r>
              <w:rPr>
                <w:rFonts w:hint="eastAsia" w:cs="Times New Roman"/>
                <w:color w:val="auto"/>
                <w:kern w:val="0"/>
                <w:szCs w:val="21"/>
              </w:rPr>
              <w:t>沙乐光伏项目可行性研究报告</w:t>
            </w:r>
            <w:r>
              <w:rPr>
                <w:rFonts w:cs="Times New Roman"/>
                <w:color w:val="auto"/>
                <w:kern w:val="0"/>
                <w:szCs w:val="21"/>
              </w:rPr>
              <w:t>》，本项目采用购买调节指标，不配置储能设备</w:t>
            </w:r>
            <w:r>
              <w:rPr>
                <w:rFonts w:hint="eastAsia" w:cs="Times New Roman"/>
                <w:color w:val="auto"/>
                <w:kern w:val="0"/>
                <w:szCs w:val="21"/>
              </w:rPr>
              <w:t>，因此，</w:t>
            </w:r>
            <w:r>
              <w:rPr>
                <w:rFonts w:cs="Times New Roman"/>
                <w:color w:val="auto"/>
                <w:kern w:val="0"/>
                <w:szCs w:val="21"/>
              </w:rPr>
              <w:t>本次评价</w:t>
            </w:r>
            <w:r>
              <w:rPr>
                <w:rFonts w:hint="eastAsia" w:cs="Times New Roman"/>
                <w:color w:val="auto"/>
                <w:kern w:val="0"/>
                <w:szCs w:val="21"/>
              </w:rPr>
              <w:t>工作</w:t>
            </w:r>
            <w:r>
              <w:rPr>
                <w:rFonts w:cs="Times New Roman"/>
                <w:color w:val="auto"/>
                <w:kern w:val="0"/>
                <w:szCs w:val="21"/>
              </w:rPr>
              <w:t>主要建内容包括：光伏方阵、</w:t>
            </w:r>
            <w:r>
              <w:rPr>
                <w:rFonts w:hint="eastAsia" w:cs="Times New Roman"/>
                <w:color w:val="auto"/>
                <w:kern w:val="0"/>
                <w:szCs w:val="21"/>
              </w:rPr>
              <w:t>场内</w:t>
            </w:r>
            <w:r>
              <w:rPr>
                <w:rFonts w:cs="Times New Roman"/>
                <w:color w:val="auto"/>
                <w:kern w:val="0"/>
                <w:szCs w:val="21"/>
              </w:rPr>
              <w:t>集电线路</w:t>
            </w:r>
            <w:r>
              <w:rPr>
                <w:rFonts w:hint="eastAsia" w:cs="Times New Roman"/>
                <w:color w:val="auto"/>
                <w:kern w:val="0"/>
                <w:szCs w:val="21"/>
              </w:rPr>
              <w:t>（电磁辐射评价</w:t>
            </w:r>
            <w:r>
              <w:rPr>
                <w:rFonts w:cs="Times New Roman"/>
                <w:color w:val="auto"/>
                <w:kern w:val="0"/>
                <w:szCs w:val="21"/>
              </w:rPr>
              <w:t>豁免</w:t>
            </w:r>
            <w:r>
              <w:rPr>
                <w:rFonts w:hint="eastAsia" w:cs="Times New Roman"/>
                <w:color w:val="auto"/>
                <w:kern w:val="0"/>
                <w:szCs w:val="21"/>
              </w:rPr>
              <w:t>）</w:t>
            </w:r>
            <w:r>
              <w:rPr>
                <w:rFonts w:cs="Times New Roman"/>
                <w:color w:val="auto"/>
                <w:kern w:val="0"/>
                <w:szCs w:val="21"/>
              </w:rPr>
              <w:t>、箱逆变</w:t>
            </w:r>
            <w:r>
              <w:rPr>
                <w:rFonts w:hint="eastAsia" w:cs="Times New Roman"/>
                <w:color w:val="auto"/>
                <w:kern w:val="0"/>
                <w:szCs w:val="21"/>
              </w:rPr>
              <w:t>及配套建设相应的辅助工程、公用工程、环保工程等。</w:t>
            </w:r>
          </w:p>
          <w:p w14:paraId="15107B56">
            <w:pPr>
              <w:pStyle w:val="3"/>
              <w:spacing w:before="72" w:after="72"/>
              <w:rPr>
                <w:color w:val="auto"/>
                <w:kern w:val="0"/>
                <w:szCs w:val="21"/>
              </w:rPr>
            </w:pPr>
            <w:r>
              <w:rPr>
                <w:color w:val="auto"/>
                <w:kern w:val="0"/>
              </w:rPr>
              <w:t>原项目概况和环保手续办理情况</w:t>
            </w:r>
          </w:p>
          <w:p w14:paraId="34584053">
            <w:pPr>
              <w:ind w:firstLine="480"/>
              <w:rPr>
                <w:rFonts w:cs="Times New Roman"/>
                <w:color w:val="auto"/>
                <w:kern w:val="0"/>
                <w:szCs w:val="21"/>
              </w:rPr>
            </w:pPr>
            <w:r>
              <w:rPr>
                <w:rFonts w:hint="eastAsia" w:cs="Times New Roman"/>
                <w:color w:val="auto"/>
                <w:kern w:val="0"/>
                <w:szCs w:val="21"/>
              </w:rPr>
              <w:t>建设单位委托中国能源建设集团云南省电力设计院有限公司开展沙乐光伏发电项目环境影响评价报告编制以及审批工作，于2025年11月21日完成环评审批，并取得《大理白族自治州生态环境局关于沙乐光伏发电项目环境影响报告表的批复》（大环审〔2025〕58号），原环评及批复内容为：项目位于南涧县公郎镇大平掌村、六保村、旧村、蚂蝗箐附近，额定装机容量为60MW（交流侧）。工程主要建设内容包括：（1）光伏方阵22个，配置逆变器188台和35kV升压箱变22台；（3）建设2回35kV集电线路接入同期建设的德安220kV升压站，场内集电线路总长为17.50km，采用电缆直埋与架空相结合方式敷设，架空路径约12.50km（单回路架设3.30km、双回路架设9.20km，塔基占地0.22hm</w:t>
            </w:r>
            <w:r>
              <w:rPr>
                <w:rFonts w:hint="eastAsia" w:cs="Times New Roman"/>
                <w:color w:val="auto"/>
                <w:kern w:val="0"/>
                <w:szCs w:val="21"/>
                <w:vertAlign w:val="superscript"/>
              </w:rPr>
              <w:t>2</w:t>
            </w:r>
            <w:r>
              <w:rPr>
                <w:rFonts w:hint="eastAsia" w:cs="Times New Roman"/>
                <w:color w:val="auto"/>
                <w:kern w:val="0"/>
                <w:szCs w:val="21"/>
              </w:rPr>
              <w:t>），电缆直埋路径约5.00km；（3）改扩建进场道路9.85km，场内改扩建道路4.95km，新建场内道路1.65km。工程总占地面积83.69hm</w:t>
            </w:r>
            <w:r>
              <w:rPr>
                <w:rFonts w:hint="eastAsia" w:cs="Times New Roman"/>
                <w:color w:val="auto"/>
                <w:kern w:val="0"/>
                <w:szCs w:val="21"/>
                <w:vertAlign w:val="superscript"/>
              </w:rPr>
              <w:t>2</w:t>
            </w:r>
            <w:r>
              <w:rPr>
                <w:rFonts w:hint="eastAsia" w:cs="Times New Roman"/>
                <w:color w:val="auto"/>
                <w:kern w:val="0"/>
                <w:szCs w:val="21"/>
              </w:rPr>
              <w:t>，其中永久占地面积0.28hm</w:t>
            </w:r>
            <w:r>
              <w:rPr>
                <w:rFonts w:hint="eastAsia" w:cs="Times New Roman"/>
                <w:color w:val="auto"/>
                <w:kern w:val="0"/>
                <w:szCs w:val="21"/>
                <w:vertAlign w:val="superscript"/>
              </w:rPr>
              <w:t>2</w:t>
            </w:r>
            <w:r>
              <w:rPr>
                <w:rFonts w:hint="eastAsia" w:cs="Times New Roman"/>
                <w:color w:val="auto"/>
                <w:kern w:val="0"/>
                <w:szCs w:val="21"/>
              </w:rPr>
              <w:t>，临时占地面积83.41hm</w:t>
            </w:r>
            <w:r>
              <w:rPr>
                <w:rFonts w:hint="eastAsia" w:cs="Times New Roman"/>
                <w:color w:val="auto"/>
                <w:kern w:val="0"/>
                <w:szCs w:val="21"/>
                <w:vertAlign w:val="superscript"/>
              </w:rPr>
              <w:t>2</w:t>
            </w:r>
            <w:r>
              <w:rPr>
                <w:rFonts w:hint="eastAsia" w:cs="Times New Roman"/>
                <w:color w:val="auto"/>
                <w:kern w:val="0"/>
                <w:szCs w:val="21"/>
              </w:rPr>
              <w:t>。工程总投资23948.55万元，其中环保投资180.10万元。《报告表》获批后，项目未开工建设。</w:t>
            </w:r>
          </w:p>
          <w:p w14:paraId="38A87ED4">
            <w:pPr>
              <w:pStyle w:val="3"/>
              <w:spacing w:before="72" w:after="72"/>
              <w:jc w:val="both"/>
              <w:rPr>
                <w:rFonts w:cs="Times New Roman"/>
                <w:color w:val="auto"/>
                <w:kern w:val="0"/>
              </w:rPr>
            </w:pPr>
            <w:r>
              <w:rPr>
                <w:rFonts w:cs="Times New Roman"/>
                <w:color w:val="auto"/>
                <w:kern w:val="0"/>
              </w:rPr>
              <w:t>项目变更情况</w:t>
            </w:r>
          </w:p>
          <w:p w14:paraId="33165A37">
            <w:pPr>
              <w:ind w:firstLine="480"/>
              <w:rPr>
                <w:rFonts w:cs="Times New Roman"/>
                <w:color w:val="auto"/>
                <w:kern w:val="0"/>
                <w:szCs w:val="20"/>
              </w:rPr>
            </w:pPr>
            <w:r>
              <w:rPr>
                <w:rFonts w:cs="Times New Roman"/>
                <w:color w:val="auto"/>
                <w:kern w:val="0"/>
                <w:szCs w:val="20"/>
              </w:rPr>
              <w:t>对照</w:t>
            </w:r>
            <w:r>
              <w:rPr>
                <w:rFonts w:hint="eastAsia" w:cs="Times New Roman"/>
                <w:color w:val="auto"/>
                <w:kern w:val="0"/>
                <w:szCs w:val="20"/>
              </w:rPr>
              <w:t>《沙乐光伏发电项目环境影响报告表》</w:t>
            </w:r>
            <w:r>
              <w:rPr>
                <w:rFonts w:cs="Times New Roman"/>
                <w:color w:val="auto"/>
                <w:kern w:val="0"/>
                <w:szCs w:val="20"/>
              </w:rPr>
              <w:t>及其环评批复（</w:t>
            </w:r>
            <w:r>
              <w:rPr>
                <w:rFonts w:hint="eastAsia" w:cs="Times New Roman"/>
                <w:color w:val="auto"/>
                <w:kern w:val="0"/>
                <w:szCs w:val="20"/>
              </w:rPr>
              <w:t>大环审〔2025〕58号</w:t>
            </w:r>
            <w:r>
              <w:rPr>
                <w:rFonts w:cs="Times New Roman"/>
                <w:color w:val="auto"/>
                <w:kern w:val="0"/>
                <w:szCs w:val="20"/>
              </w:rPr>
              <w:t>），本项目太阳能方阵、逆变器、箱变</w:t>
            </w:r>
            <w:r>
              <w:rPr>
                <w:rFonts w:hint="eastAsia" w:cs="Times New Roman"/>
                <w:color w:val="auto"/>
                <w:kern w:val="0"/>
                <w:szCs w:val="20"/>
              </w:rPr>
              <w:t>规模</w:t>
            </w:r>
            <w:r>
              <w:rPr>
                <w:rFonts w:cs="Times New Roman"/>
                <w:color w:val="auto"/>
                <w:kern w:val="0"/>
                <w:szCs w:val="20"/>
              </w:rPr>
              <w:t>不</w:t>
            </w:r>
            <w:r>
              <w:rPr>
                <w:rFonts w:hint="eastAsia" w:cs="Times New Roman"/>
                <w:color w:val="auto"/>
                <w:kern w:val="0"/>
                <w:szCs w:val="20"/>
              </w:rPr>
              <w:t>发生</w:t>
            </w:r>
            <w:r>
              <w:rPr>
                <w:rFonts w:cs="Times New Roman"/>
                <w:color w:val="auto"/>
                <w:kern w:val="0"/>
                <w:szCs w:val="20"/>
              </w:rPr>
              <w:t>变动。</w:t>
            </w:r>
            <w:r>
              <w:rPr>
                <w:rFonts w:hint="eastAsia" w:cs="Times New Roman"/>
                <w:color w:val="auto"/>
                <w:kern w:val="0"/>
                <w:szCs w:val="20"/>
              </w:rPr>
              <w:t>原环评批复的占地面积为83.69hm</w:t>
            </w:r>
            <w:r>
              <w:rPr>
                <w:rFonts w:hint="eastAsia" w:cs="Times New Roman"/>
                <w:color w:val="auto"/>
                <w:kern w:val="0"/>
                <w:szCs w:val="20"/>
                <w:vertAlign w:val="superscript"/>
              </w:rPr>
              <w:t>2</w:t>
            </w:r>
            <w:r>
              <w:rPr>
                <w:rFonts w:hint="eastAsia" w:cs="Times New Roman"/>
                <w:color w:val="auto"/>
                <w:kern w:val="0"/>
                <w:szCs w:val="20"/>
              </w:rPr>
              <w:t>，工程变更后占地面积为117.06hm</w:t>
            </w:r>
            <w:r>
              <w:rPr>
                <w:rFonts w:hint="eastAsia" w:cs="Times New Roman"/>
                <w:color w:val="auto"/>
                <w:kern w:val="0"/>
                <w:szCs w:val="20"/>
                <w:vertAlign w:val="superscript"/>
              </w:rPr>
              <w:t>2</w:t>
            </w:r>
            <w:r>
              <w:rPr>
                <w:rFonts w:hint="eastAsia" w:cs="Times New Roman"/>
                <w:color w:val="auto"/>
                <w:kern w:val="0"/>
                <w:szCs w:val="20"/>
              </w:rPr>
              <w:t>，在原环评批复的范围内52.41hm</w:t>
            </w:r>
            <w:r>
              <w:rPr>
                <w:rFonts w:hint="eastAsia" w:cs="Times New Roman"/>
                <w:color w:val="auto"/>
                <w:kern w:val="0"/>
                <w:szCs w:val="20"/>
                <w:vertAlign w:val="superscript"/>
              </w:rPr>
              <w:t>2</w:t>
            </w:r>
            <w:r>
              <w:rPr>
                <w:rFonts w:hint="eastAsia" w:cs="Times New Roman"/>
                <w:color w:val="auto"/>
                <w:kern w:val="0"/>
                <w:szCs w:val="20"/>
              </w:rPr>
              <w:t>，范围外64.65hm</w:t>
            </w:r>
            <w:r>
              <w:rPr>
                <w:rFonts w:hint="eastAsia" w:cs="Times New Roman"/>
                <w:color w:val="auto"/>
                <w:kern w:val="0"/>
                <w:szCs w:val="20"/>
                <w:vertAlign w:val="superscript"/>
              </w:rPr>
              <w:t>2</w:t>
            </w:r>
            <w:r>
              <w:rPr>
                <w:rFonts w:hint="eastAsia" w:cs="Times New Roman"/>
                <w:color w:val="auto"/>
                <w:kern w:val="0"/>
                <w:szCs w:val="20"/>
              </w:rPr>
              <w:t>，新增面积占原占地面积77.24%。现S03、S04、S07、S08、S09、S10、S19、S20、S21、S22方阵位于原批复范围，其余方阵均为新增用地</w:t>
            </w:r>
            <w:r>
              <w:rPr>
                <w:rFonts w:cs="Times New Roman"/>
                <w:color w:val="auto"/>
                <w:kern w:val="0"/>
                <w:szCs w:val="20"/>
              </w:rPr>
              <w:t>，</w:t>
            </w:r>
            <w:r>
              <w:rPr>
                <w:rFonts w:hint="eastAsia" w:cs="Times New Roman"/>
                <w:color w:val="auto"/>
                <w:kern w:val="0"/>
                <w:szCs w:val="20"/>
              </w:rPr>
              <w:t>共</w:t>
            </w:r>
            <w:r>
              <w:rPr>
                <w:rFonts w:cs="Times New Roman"/>
                <w:color w:val="auto"/>
                <w:kern w:val="0"/>
                <w:szCs w:val="20"/>
              </w:rPr>
              <w:t>布置</w:t>
            </w:r>
            <w:r>
              <w:rPr>
                <w:rFonts w:hint="eastAsia" w:cs="Times New Roman"/>
                <w:color w:val="auto"/>
                <w:kern w:val="0"/>
                <w:szCs w:val="20"/>
              </w:rPr>
              <w:t>22</w:t>
            </w:r>
            <w:r>
              <w:rPr>
                <w:rFonts w:cs="Times New Roman"/>
                <w:color w:val="auto"/>
                <w:kern w:val="0"/>
                <w:szCs w:val="20"/>
              </w:rPr>
              <w:t>个光伏发电方阵，项目变更后总用地面积为</w:t>
            </w:r>
            <w:r>
              <w:rPr>
                <w:rFonts w:hint="eastAsia" w:cs="Times New Roman"/>
                <w:color w:val="auto"/>
                <w:kern w:val="0"/>
                <w:szCs w:val="20"/>
              </w:rPr>
              <w:t>117.06</w:t>
            </w:r>
            <w:r>
              <w:rPr>
                <w:rFonts w:cs="Times New Roman"/>
                <w:color w:val="auto"/>
                <w:kern w:val="0"/>
                <w:szCs w:val="20"/>
              </w:rPr>
              <w:t>hm</w:t>
            </w:r>
            <w:r>
              <w:rPr>
                <w:rFonts w:cs="Times New Roman"/>
                <w:color w:val="auto"/>
                <w:kern w:val="0"/>
                <w:szCs w:val="20"/>
                <w:vertAlign w:val="superscript"/>
              </w:rPr>
              <w:t>2</w:t>
            </w:r>
            <w:r>
              <w:rPr>
                <w:rFonts w:cs="Times New Roman"/>
                <w:color w:val="auto"/>
                <w:kern w:val="0"/>
                <w:szCs w:val="20"/>
              </w:rPr>
              <w:t>，</w:t>
            </w:r>
            <w:r>
              <w:rPr>
                <w:rFonts w:hint="eastAsia" w:cs="Times New Roman"/>
                <w:color w:val="auto"/>
                <w:kern w:val="0"/>
                <w:szCs w:val="20"/>
              </w:rPr>
              <w:t>占地面积比原环评批复的范围增加了33.37</w:t>
            </w:r>
            <w:r>
              <w:rPr>
                <w:rFonts w:cs="Times New Roman"/>
                <w:color w:val="auto"/>
                <w:kern w:val="0"/>
                <w:szCs w:val="20"/>
              </w:rPr>
              <w:t>hm</w:t>
            </w:r>
            <w:r>
              <w:rPr>
                <w:rFonts w:cs="Times New Roman"/>
                <w:color w:val="auto"/>
                <w:kern w:val="0"/>
                <w:szCs w:val="20"/>
                <w:vertAlign w:val="superscript"/>
              </w:rPr>
              <w:t>2</w:t>
            </w:r>
            <w:r>
              <w:rPr>
                <w:rFonts w:hint="eastAsia" w:cs="Times New Roman"/>
                <w:color w:val="auto"/>
                <w:kern w:val="0"/>
                <w:szCs w:val="20"/>
              </w:rPr>
              <w:t>。</w:t>
            </w:r>
          </w:p>
          <w:p w14:paraId="7B8FC997">
            <w:pPr>
              <w:ind w:firstLine="480"/>
              <w:rPr>
                <w:rFonts w:cs="Times New Roman"/>
                <w:color w:val="auto"/>
                <w:kern w:val="0"/>
                <w:szCs w:val="20"/>
              </w:rPr>
            </w:pPr>
            <w:r>
              <w:rPr>
                <w:rFonts w:cs="Times New Roman"/>
                <w:color w:val="auto"/>
                <w:kern w:val="0"/>
                <w:szCs w:val="20"/>
              </w:rPr>
              <w:t>根据对照《关于印发环评管理中部分行业建设项目重大变动清单的通知》（环办〔2015〕52号），原环评占地范围与本次评价范围对比情况见</w:t>
            </w:r>
            <w:r>
              <w:rPr>
                <w:rFonts w:hint="eastAsia" w:cs="Times New Roman"/>
                <w:color w:val="auto"/>
                <w:kern w:val="0"/>
                <w:szCs w:val="20"/>
              </w:rPr>
              <w:t>下</w:t>
            </w:r>
            <w:r>
              <w:rPr>
                <w:rFonts w:cs="Times New Roman"/>
                <w:color w:val="auto"/>
                <w:kern w:val="0"/>
                <w:szCs w:val="20"/>
              </w:rPr>
              <w:t>图。</w:t>
            </w:r>
          </w:p>
          <w:p w14:paraId="5635AF59">
            <w:pPr>
              <w:pStyle w:val="65"/>
              <w:rPr>
                <w:rFonts w:cs="Times New Roman"/>
                <w:color w:val="auto"/>
                <w:kern w:val="0"/>
                <w:szCs w:val="20"/>
              </w:rPr>
            </w:pPr>
            <w:r>
              <w:rPr>
                <w:rFonts w:cs="Times New Roman"/>
                <w:color w:val="auto"/>
                <w:kern w:val="0"/>
                <w:szCs w:val="20"/>
              </w:rPr>
              <w:drawing>
                <wp:inline distT="0" distB="0" distL="0" distR="0">
                  <wp:extent cx="4894580" cy="3452495"/>
                  <wp:effectExtent l="0" t="0" r="1270" b="14605"/>
                  <wp:docPr id="679096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96923" name="图片 1"/>
                          <pic:cNvPicPr>
                            <a:picLocks noChangeAspect="1"/>
                          </pic:cNvPicPr>
                        </pic:nvPicPr>
                        <pic:blipFill>
                          <a:blip r:embed="rId36"/>
                          <a:stretch>
                            <a:fillRect/>
                          </a:stretch>
                        </pic:blipFill>
                        <pic:spPr>
                          <a:xfrm>
                            <a:off x="0" y="0"/>
                            <a:ext cx="4904543" cy="3452495"/>
                          </a:xfrm>
                          <a:prstGeom prst="rect">
                            <a:avLst/>
                          </a:prstGeom>
                        </pic:spPr>
                      </pic:pic>
                    </a:graphicData>
                  </a:graphic>
                </wp:inline>
              </w:drawing>
            </w:r>
          </w:p>
          <w:p w14:paraId="2B046B6A">
            <w:pPr>
              <w:pStyle w:val="63"/>
              <w:ind w:firstLine="480"/>
              <w:rPr>
                <w:rFonts w:cs="Times New Roman"/>
                <w:color w:val="auto"/>
                <w:kern w:val="0"/>
                <w:szCs w:val="20"/>
              </w:rPr>
            </w:pPr>
            <w:bookmarkStart w:id="316" w:name="_Ref214449884"/>
            <w:r>
              <w:rPr>
                <w:rFonts w:cs="Times New Roman"/>
                <w:color w:val="auto"/>
                <w:kern w:val="0"/>
                <w:szCs w:val="20"/>
              </w:rPr>
              <w:t xml:space="preserve">图 </w:t>
            </w:r>
            <w:r>
              <w:rPr>
                <w:rFonts w:cs="Times New Roman"/>
                <w:color w:val="auto"/>
                <w:kern w:val="0"/>
                <w:szCs w:val="20"/>
              </w:rPr>
              <w:fldChar w:fldCharType="begin"/>
            </w:r>
            <w:r>
              <w:rPr>
                <w:rFonts w:cs="Times New Roman"/>
                <w:color w:val="auto"/>
                <w:kern w:val="0"/>
                <w:szCs w:val="20"/>
              </w:rPr>
              <w:instrText xml:space="preserve"> STYLEREF 2 \s </w:instrText>
            </w:r>
            <w:r>
              <w:rPr>
                <w:rFonts w:cs="Times New Roman"/>
                <w:color w:val="auto"/>
                <w:kern w:val="0"/>
                <w:szCs w:val="20"/>
              </w:rPr>
              <w:fldChar w:fldCharType="separate"/>
            </w:r>
            <w:r>
              <w:rPr>
                <w:rFonts w:cs="Times New Roman"/>
                <w:color w:val="auto"/>
                <w:kern w:val="0"/>
                <w:szCs w:val="20"/>
              </w:rPr>
              <w:t>2.3</w:t>
            </w:r>
            <w:r>
              <w:rPr>
                <w:rFonts w:cs="Times New Roman"/>
                <w:color w:val="auto"/>
                <w:kern w:val="0"/>
                <w:szCs w:val="20"/>
              </w:rPr>
              <w:fldChar w:fldCharType="end"/>
            </w:r>
            <w:r>
              <w:rPr>
                <w:rFonts w:cs="Times New Roman"/>
                <w:color w:val="auto"/>
                <w:kern w:val="0"/>
                <w:szCs w:val="20"/>
              </w:rPr>
              <w:noBreakHyphen/>
            </w:r>
            <w:r>
              <w:rPr>
                <w:rFonts w:cs="Times New Roman"/>
                <w:color w:val="auto"/>
                <w:kern w:val="0"/>
                <w:szCs w:val="20"/>
              </w:rPr>
              <w:fldChar w:fldCharType="begin"/>
            </w:r>
            <w:r>
              <w:rPr>
                <w:rFonts w:cs="Times New Roman"/>
                <w:color w:val="auto"/>
                <w:kern w:val="0"/>
                <w:szCs w:val="20"/>
              </w:rPr>
              <w:instrText xml:space="preserve"> SEQ 图 \* ARABIC \s 2 </w:instrText>
            </w:r>
            <w:r>
              <w:rPr>
                <w:rFonts w:cs="Times New Roman"/>
                <w:color w:val="auto"/>
                <w:kern w:val="0"/>
                <w:szCs w:val="20"/>
              </w:rPr>
              <w:fldChar w:fldCharType="separate"/>
            </w:r>
            <w:r>
              <w:rPr>
                <w:rFonts w:cs="Times New Roman"/>
                <w:color w:val="auto"/>
                <w:kern w:val="0"/>
                <w:szCs w:val="20"/>
              </w:rPr>
              <w:t>1</w:t>
            </w:r>
            <w:r>
              <w:rPr>
                <w:rFonts w:cs="Times New Roman"/>
                <w:color w:val="auto"/>
                <w:kern w:val="0"/>
                <w:szCs w:val="20"/>
              </w:rPr>
              <w:fldChar w:fldCharType="end"/>
            </w:r>
            <w:bookmarkEnd w:id="316"/>
            <w:r>
              <w:rPr>
                <w:rFonts w:cs="Times New Roman"/>
                <w:color w:val="auto"/>
                <w:kern w:val="0"/>
                <w:szCs w:val="20"/>
              </w:rPr>
              <w:t>项目变更情况</w:t>
            </w:r>
            <w:r>
              <w:rPr>
                <w:rFonts w:hint="eastAsia" w:cs="Times New Roman"/>
                <w:color w:val="auto"/>
                <w:kern w:val="0"/>
                <w:szCs w:val="20"/>
              </w:rPr>
              <w:t>比对</w:t>
            </w:r>
            <w:r>
              <w:rPr>
                <w:rFonts w:cs="Times New Roman"/>
                <w:color w:val="auto"/>
                <w:kern w:val="0"/>
                <w:szCs w:val="20"/>
              </w:rPr>
              <w:t>图</w:t>
            </w:r>
          </w:p>
        </w:tc>
      </w:tr>
    </w:tbl>
    <w:p w14:paraId="27A75224">
      <w:pPr>
        <w:ind w:firstLine="480"/>
        <w:rPr>
          <w:color w:val="auto"/>
        </w:rPr>
        <w:sectPr>
          <w:footerReference r:id="rId14" w:type="default"/>
          <w:pgSz w:w="11906" w:h="16838"/>
          <w:pgMar w:top="1440" w:right="1797" w:bottom="1440" w:left="1797" w:header="737" w:footer="1134" w:gutter="0"/>
          <w:pgNumType w:start="1"/>
          <w:cols w:space="425" w:num="1"/>
          <w:docGrid w:linePitch="326" w:charSpace="0"/>
        </w:sectPr>
      </w:pP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13216"/>
      </w:tblGrid>
      <w:tr w14:paraId="5E8A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5" w:hRule="atLeast"/>
        </w:trPr>
        <w:tc>
          <w:tcPr>
            <w:tcW w:w="338" w:type="pct"/>
            <w:vAlign w:val="center"/>
          </w:tcPr>
          <w:p w14:paraId="49320FAE">
            <w:pPr>
              <w:ind w:firstLine="0" w:firstLineChars="0"/>
              <w:jc w:val="center"/>
              <w:rPr>
                <w:rFonts w:cs="Times New Roman"/>
                <w:color w:val="auto"/>
                <w:kern w:val="0"/>
                <w:szCs w:val="20"/>
              </w:rPr>
            </w:pPr>
            <w:r>
              <w:rPr>
                <w:rFonts w:cs="Times New Roman"/>
                <w:color w:val="auto"/>
                <w:kern w:val="0"/>
                <w:szCs w:val="21"/>
              </w:rPr>
              <w:t>项目组成及规模</w:t>
            </w:r>
          </w:p>
        </w:tc>
        <w:tc>
          <w:tcPr>
            <w:tcW w:w="4662" w:type="pct"/>
          </w:tcPr>
          <w:p w14:paraId="7957353B">
            <w:pPr>
              <w:pStyle w:val="3"/>
              <w:spacing w:before="72" w:after="72"/>
              <w:jc w:val="both"/>
              <w:rPr>
                <w:rFonts w:cs="Times New Roman"/>
                <w:color w:val="auto"/>
                <w:kern w:val="0"/>
              </w:rPr>
            </w:pPr>
            <w:r>
              <w:rPr>
                <w:rFonts w:cs="Times New Roman"/>
                <w:color w:val="auto"/>
                <w:kern w:val="0"/>
              </w:rPr>
              <w:t>保护目标变动情况</w:t>
            </w:r>
          </w:p>
          <w:p w14:paraId="21A21D6F">
            <w:pPr>
              <w:ind w:firstLine="480"/>
              <w:rPr>
                <w:rFonts w:cs="Times New Roman"/>
                <w:color w:val="auto"/>
                <w:kern w:val="0"/>
                <w:szCs w:val="20"/>
              </w:rPr>
            </w:pPr>
            <w:r>
              <w:rPr>
                <w:rFonts w:cs="Times New Roman"/>
                <w:color w:val="auto"/>
                <w:kern w:val="0"/>
                <w:szCs w:val="20"/>
              </w:rPr>
              <w:t>工程实际建设较原方案批复设置</w:t>
            </w:r>
            <w:r>
              <w:rPr>
                <w:rFonts w:hint="eastAsia" w:cs="Times New Roman"/>
                <w:color w:val="auto"/>
                <w:kern w:val="0"/>
                <w:szCs w:val="20"/>
              </w:rPr>
              <w:t>的</w:t>
            </w:r>
            <w:r>
              <w:rPr>
                <w:rFonts w:cs="Times New Roman"/>
                <w:color w:val="auto"/>
                <w:kern w:val="0"/>
                <w:szCs w:val="20"/>
              </w:rPr>
              <w:t>太阳能方阵、逆变器、箱变</w:t>
            </w:r>
            <w:r>
              <w:rPr>
                <w:rFonts w:hint="eastAsia" w:cs="Times New Roman"/>
                <w:color w:val="auto"/>
                <w:kern w:val="0"/>
                <w:szCs w:val="20"/>
              </w:rPr>
              <w:t>、集电线路规模</w:t>
            </w:r>
            <w:r>
              <w:rPr>
                <w:rFonts w:cs="Times New Roman"/>
                <w:color w:val="auto"/>
                <w:kern w:val="0"/>
                <w:szCs w:val="20"/>
              </w:rPr>
              <w:t>不发生变化，</w:t>
            </w:r>
            <w:r>
              <w:rPr>
                <w:rFonts w:hint="eastAsia" w:cs="Times New Roman"/>
                <w:color w:val="auto"/>
                <w:kern w:val="0"/>
                <w:szCs w:val="20"/>
              </w:rPr>
              <w:t>光伏板区用地范围发生改变</w:t>
            </w:r>
            <w:r>
              <w:rPr>
                <w:rFonts w:cs="Times New Roman"/>
                <w:color w:val="auto"/>
                <w:kern w:val="0"/>
                <w:szCs w:val="20"/>
              </w:rPr>
              <w:t>，对应的保护目标变动情况如下：</w:t>
            </w:r>
          </w:p>
          <w:p w14:paraId="634FEEAF">
            <w:pPr>
              <w:pStyle w:val="63"/>
              <w:ind w:firstLine="480"/>
              <w:rPr>
                <w:rFonts w:cs="Times New Roman"/>
                <w:color w:val="auto"/>
                <w:kern w:val="0"/>
                <w:szCs w:val="20"/>
              </w:rPr>
            </w:pPr>
            <w:bookmarkStart w:id="317" w:name="_Ref218689851"/>
            <w:r>
              <w:rPr>
                <w:rFonts w:cs="Times New Roman"/>
                <w:color w:val="auto"/>
                <w:kern w:val="0"/>
                <w:szCs w:val="20"/>
              </w:rPr>
              <w:t xml:space="preserve">表 </w:t>
            </w:r>
            <w:r>
              <w:rPr>
                <w:rFonts w:cs="Times New Roman"/>
                <w:color w:val="auto"/>
                <w:kern w:val="0"/>
                <w:szCs w:val="20"/>
              </w:rPr>
              <w:fldChar w:fldCharType="begin"/>
            </w:r>
            <w:r>
              <w:rPr>
                <w:rFonts w:cs="Times New Roman"/>
                <w:color w:val="auto"/>
                <w:kern w:val="0"/>
                <w:szCs w:val="20"/>
              </w:rPr>
              <w:instrText xml:space="preserve"> STYLEREF 2 \s </w:instrText>
            </w:r>
            <w:r>
              <w:rPr>
                <w:rFonts w:cs="Times New Roman"/>
                <w:color w:val="auto"/>
                <w:kern w:val="0"/>
                <w:szCs w:val="20"/>
              </w:rPr>
              <w:fldChar w:fldCharType="separate"/>
            </w:r>
            <w:r>
              <w:rPr>
                <w:rFonts w:cs="Times New Roman"/>
                <w:color w:val="auto"/>
                <w:kern w:val="0"/>
                <w:szCs w:val="20"/>
              </w:rPr>
              <w:t>2.4</w:t>
            </w:r>
            <w:r>
              <w:rPr>
                <w:rFonts w:cs="Times New Roman"/>
                <w:color w:val="auto"/>
                <w:kern w:val="0"/>
                <w:szCs w:val="20"/>
              </w:rPr>
              <w:fldChar w:fldCharType="end"/>
            </w:r>
            <w:r>
              <w:rPr>
                <w:rFonts w:cs="Times New Roman"/>
                <w:color w:val="auto"/>
                <w:kern w:val="0"/>
                <w:szCs w:val="20"/>
              </w:rPr>
              <w:noBreakHyphen/>
            </w:r>
            <w:r>
              <w:rPr>
                <w:rFonts w:cs="Times New Roman"/>
                <w:color w:val="auto"/>
                <w:kern w:val="0"/>
                <w:szCs w:val="20"/>
              </w:rPr>
              <w:fldChar w:fldCharType="begin"/>
            </w:r>
            <w:r>
              <w:rPr>
                <w:rFonts w:cs="Times New Roman"/>
                <w:color w:val="auto"/>
                <w:kern w:val="0"/>
                <w:szCs w:val="20"/>
              </w:rPr>
              <w:instrText xml:space="preserve"> SEQ 表 \* ARABIC \s 2 </w:instrText>
            </w:r>
            <w:r>
              <w:rPr>
                <w:rFonts w:cs="Times New Roman"/>
                <w:color w:val="auto"/>
                <w:kern w:val="0"/>
                <w:szCs w:val="20"/>
              </w:rPr>
              <w:fldChar w:fldCharType="separate"/>
            </w:r>
            <w:r>
              <w:rPr>
                <w:rFonts w:cs="Times New Roman"/>
                <w:color w:val="auto"/>
                <w:kern w:val="0"/>
                <w:szCs w:val="20"/>
              </w:rPr>
              <w:t>1</w:t>
            </w:r>
            <w:r>
              <w:rPr>
                <w:rFonts w:cs="Times New Roman"/>
                <w:color w:val="auto"/>
                <w:kern w:val="0"/>
                <w:szCs w:val="20"/>
              </w:rPr>
              <w:fldChar w:fldCharType="end"/>
            </w:r>
            <w:bookmarkEnd w:id="317"/>
            <w:r>
              <w:rPr>
                <w:rFonts w:cs="Times New Roman"/>
                <w:color w:val="auto"/>
                <w:kern w:val="0"/>
                <w:szCs w:val="20"/>
              </w:rPr>
              <w:t xml:space="preserve">   保护目标变动情况一览表</w:t>
            </w:r>
          </w:p>
          <w:tbl>
            <w:tblPr>
              <w:tblStyle w:val="41"/>
              <w:tblW w:w="5000" w:type="pct"/>
              <w:tblInd w:w="0" w:type="dxa"/>
              <w:tblLayout w:type="autofit"/>
              <w:tblCellMar>
                <w:top w:w="0" w:type="dxa"/>
                <w:left w:w="108" w:type="dxa"/>
                <w:bottom w:w="0" w:type="dxa"/>
                <w:right w:w="108" w:type="dxa"/>
              </w:tblCellMar>
            </w:tblPr>
            <w:tblGrid>
              <w:gridCol w:w="1073"/>
              <w:gridCol w:w="1264"/>
              <w:gridCol w:w="1118"/>
              <w:gridCol w:w="1669"/>
              <w:gridCol w:w="1669"/>
              <w:gridCol w:w="1789"/>
              <w:gridCol w:w="1797"/>
              <w:gridCol w:w="1667"/>
              <w:gridCol w:w="954"/>
            </w:tblGrid>
            <w:tr w14:paraId="1BFC2B90">
              <w:tblPrEx>
                <w:tblCellMar>
                  <w:top w:w="0" w:type="dxa"/>
                  <w:left w:w="108" w:type="dxa"/>
                  <w:bottom w:w="0" w:type="dxa"/>
                  <w:right w:w="108" w:type="dxa"/>
                </w:tblCellMar>
              </w:tblPrEx>
              <w:trPr>
                <w:trHeight w:val="454" w:hRule="atLeast"/>
                <w:tblHeader/>
              </w:trPr>
              <w:tc>
                <w:tcPr>
                  <w:tcW w:w="413" w:type="pct"/>
                  <w:tcBorders>
                    <w:top w:val="single" w:color="auto" w:sz="4" w:space="0"/>
                    <w:left w:val="single" w:color="auto" w:sz="4" w:space="0"/>
                    <w:bottom w:val="single" w:color="auto" w:sz="4" w:space="0"/>
                    <w:right w:val="single" w:color="auto" w:sz="4" w:space="0"/>
                  </w:tcBorders>
                  <w:vAlign w:val="center"/>
                </w:tcPr>
                <w:p w14:paraId="0C8494BB">
                  <w:pPr>
                    <w:pStyle w:val="65"/>
                    <w:rPr>
                      <w:b/>
                      <w:bCs/>
                      <w:color w:val="auto"/>
                    </w:rPr>
                  </w:pPr>
                  <w:r>
                    <w:rPr>
                      <w:b/>
                      <w:bCs/>
                      <w:color w:val="auto"/>
                    </w:rPr>
                    <w:t>环境要素</w:t>
                  </w:r>
                </w:p>
              </w:tc>
              <w:tc>
                <w:tcPr>
                  <w:tcW w:w="486" w:type="pct"/>
                  <w:tcBorders>
                    <w:top w:val="single" w:color="auto" w:sz="4" w:space="0"/>
                    <w:left w:val="nil"/>
                    <w:bottom w:val="single" w:color="auto" w:sz="4" w:space="0"/>
                    <w:right w:val="single" w:color="auto" w:sz="4" w:space="0"/>
                  </w:tcBorders>
                  <w:vAlign w:val="center"/>
                </w:tcPr>
                <w:p w14:paraId="554A85A7">
                  <w:pPr>
                    <w:pStyle w:val="65"/>
                    <w:rPr>
                      <w:b/>
                      <w:bCs/>
                      <w:color w:val="auto"/>
                    </w:rPr>
                  </w:pPr>
                  <w:r>
                    <w:rPr>
                      <w:b/>
                      <w:bCs/>
                      <w:color w:val="auto"/>
                    </w:rPr>
                    <w:t>变更前保护对象</w:t>
                  </w:r>
                </w:p>
              </w:tc>
              <w:tc>
                <w:tcPr>
                  <w:tcW w:w="430" w:type="pct"/>
                  <w:tcBorders>
                    <w:top w:val="single" w:color="auto" w:sz="4" w:space="0"/>
                    <w:left w:val="nil"/>
                    <w:bottom w:val="single" w:color="auto" w:sz="4" w:space="0"/>
                    <w:right w:val="single" w:color="auto" w:sz="4" w:space="0"/>
                  </w:tcBorders>
                  <w:vAlign w:val="center"/>
                </w:tcPr>
                <w:p w14:paraId="26F62898">
                  <w:pPr>
                    <w:pStyle w:val="65"/>
                    <w:rPr>
                      <w:b/>
                      <w:bCs/>
                      <w:color w:val="auto"/>
                    </w:rPr>
                  </w:pPr>
                  <w:r>
                    <w:rPr>
                      <w:b/>
                      <w:bCs/>
                      <w:color w:val="auto"/>
                    </w:rPr>
                    <w:t>变更后保护目标</w:t>
                  </w:r>
                </w:p>
              </w:tc>
              <w:tc>
                <w:tcPr>
                  <w:tcW w:w="1284" w:type="pct"/>
                  <w:gridSpan w:val="2"/>
                  <w:tcBorders>
                    <w:top w:val="single" w:color="auto" w:sz="4" w:space="0"/>
                    <w:left w:val="nil"/>
                    <w:bottom w:val="single" w:color="auto" w:sz="4" w:space="0"/>
                    <w:right w:val="single" w:color="auto" w:sz="4" w:space="0"/>
                  </w:tcBorders>
                  <w:vAlign w:val="center"/>
                </w:tcPr>
                <w:p w14:paraId="4C80094A">
                  <w:pPr>
                    <w:pStyle w:val="65"/>
                    <w:rPr>
                      <w:b/>
                      <w:bCs/>
                      <w:color w:val="auto"/>
                    </w:rPr>
                  </w:pPr>
                  <w:r>
                    <w:rPr>
                      <w:b/>
                      <w:bCs/>
                      <w:color w:val="auto"/>
                    </w:rPr>
                    <w:t>坐标（经度）,（纬度）</w:t>
                  </w:r>
                </w:p>
              </w:tc>
              <w:tc>
                <w:tcPr>
                  <w:tcW w:w="688" w:type="pct"/>
                  <w:tcBorders>
                    <w:top w:val="single" w:color="auto" w:sz="4" w:space="0"/>
                    <w:left w:val="nil"/>
                    <w:bottom w:val="single" w:color="auto" w:sz="4" w:space="0"/>
                    <w:right w:val="single" w:color="auto" w:sz="4" w:space="0"/>
                  </w:tcBorders>
                  <w:vAlign w:val="center"/>
                </w:tcPr>
                <w:p w14:paraId="66F12CF4">
                  <w:pPr>
                    <w:pStyle w:val="65"/>
                    <w:rPr>
                      <w:b/>
                      <w:bCs/>
                      <w:color w:val="auto"/>
                    </w:rPr>
                  </w:pPr>
                  <w:r>
                    <w:rPr>
                      <w:b/>
                      <w:bCs/>
                      <w:color w:val="auto"/>
                    </w:rPr>
                    <w:t>特性/规模</w:t>
                  </w:r>
                </w:p>
              </w:tc>
              <w:tc>
                <w:tcPr>
                  <w:tcW w:w="691" w:type="pct"/>
                  <w:tcBorders>
                    <w:top w:val="single" w:color="auto" w:sz="4" w:space="0"/>
                    <w:left w:val="nil"/>
                    <w:bottom w:val="single" w:color="auto" w:sz="4" w:space="0"/>
                    <w:right w:val="single" w:color="auto" w:sz="4" w:space="0"/>
                  </w:tcBorders>
                  <w:vAlign w:val="center"/>
                </w:tcPr>
                <w:p w14:paraId="4D567B02">
                  <w:pPr>
                    <w:pStyle w:val="65"/>
                    <w:rPr>
                      <w:b/>
                      <w:bCs/>
                      <w:color w:val="auto"/>
                    </w:rPr>
                  </w:pPr>
                  <w:r>
                    <w:rPr>
                      <w:b/>
                      <w:bCs/>
                      <w:color w:val="auto"/>
                    </w:rPr>
                    <w:t>变更前位置</w:t>
                  </w:r>
                </w:p>
              </w:tc>
              <w:tc>
                <w:tcPr>
                  <w:tcW w:w="641" w:type="pct"/>
                  <w:tcBorders>
                    <w:top w:val="single" w:color="auto" w:sz="4" w:space="0"/>
                    <w:left w:val="nil"/>
                    <w:bottom w:val="single" w:color="auto" w:sz="4" w:space="0"/>
                    <w:right w:val="single" w:color="auto" w:sz="4" w:space="0"/>
                  </w:tcBorders>
                  <w:vAlign w:val="center"/>
                </w:tcPr>
                <w:p w14:paraId="09B9EAEC">
                  <w:pPr>
                    <w:pStyle w:val="65"/>
                    <w:rPr>
                      <w:b/>
                      <w:bCs/>
                      <w:color w:val="auto"/>
                    </w:rPr>
                  </w:pPr>
                  <w:r>
                    <w:rPr>
                      <w:b/>
                      <w:bCs/>
                      <w:color w:val="auto"/>
                    </w:rPr>
                    <w:t>变更后位置</w:t>
                  </w:r>
                </w:p>
              </w:tc>
              <w:tc>
                <w:tcPr>
                  <w:tcW w:w="367" w:type="pct"/>
                  <w:tcBorders>
                    <w:top w:val="single" w:color="auto" w:sz="4" w:space="0"/>
                    <w:left w:val="nil"/>
                    <w:bottom w:val="single" w:color="auto" w:sz="4" w:space="0"/>
                    <w:right w:val="single" w:color="auto" w:sz="4" w:space="0"/>
                  </w:tcBorders>
                  <w:vAlign w:val="center"/>
                </w:tcPr>
                <w:p w14:paraId="3C76287E">
                  <w:pPr>
                    <w:pStyle w:val="65"/>
                    <w:rPr>
                      <w:b/>
                      <w:bCs/>
                      <w:color w:val="auto"/>
                    </w:rPr>
                  </w:pPr>
                  <w:r>
                    <w:rPr>
                      <w:b/>
                      <w:bCs/>
                      <w:color w:val="auto"/>
                    </w:rPr>
                    <w:t>备注</w:t>
                  </w:r>
                </w:p>
              </w:tc>
            </w:tr>
            <w:tr w14:paraId="041E7243">
              <w:tblPrEx>
                <w:tblCellMar>
                  <w:top w:w="0" w:type="dxa"/>
                  <w:left w:w="108" w:type="dxa"/>
                  <w:bottom w:w="0" w:type="dxa"/>
                  <w:right w:w="108" w:type="dxa"/>
                </w:tblCellMar>
              </w:tblPrEx>
              <w:trPr>
                <w:trHeight w:val="454" w:hRule="atLeast"/>
              </w:trPr>
              <w:tc>
                <w:tcPr>
                  <w:tcW w:w="413" w:type="pct"/>
                  <w:vMerge w:val="restart"/>
                  <w:tcBorders>
                    <w:top w:val="nil"/>
                    <w:left w:val="single" w:color="auto" w:sz="4" w:space="0"/>
                    <w:bottom w:val="single" w:color="auto" w:sz="4" w:space="0"/>
                    <w:right w:val="single" w:color="auto" w:sz="4" w:space="0"/>
                  </w:tcBorders>
                  <w:noWrap/>
                  <w:vAlign w:val="center"/>
                </w:tcPr>
                <w:p w14:paraId="341FF939">
                  <w:pPr>
                    <w:pStyle w:val="65"/>
                    <w:rPr>
                      <w:color w:val="auto"/>
                    </w:rPr>
                  </w:pPr>
                  <w:r>
                    <w:rPr>
                      <w:color w:val="auto"/>
                    </w:rPr>
                    <w:t>生态</w:t>
                  </w:r>
                </w:p>
              </w:tc>
              <w:tc>
                <w:tcPr>
                  <w:tcW w:w="486" w:type="pct"/>
                  <w:tcBorders>
                    <w:top w:val="nil"/>
                    <w:left w:val="nil"/>
                    <w:bottom w:val="single" w:color="auto" w:sz="4" w:space="0"/>
                    <w:right w:val="single" w:color="auto" w:sz="4" w:space="0"/>
                  </w:tcBorders>
                  <w:vAlign w:val="center"/>
                </w:tcPr>
                <w:p w14:paraId="49A8C53D">
                  <w:pPr>
                    <w:pStyle w:val="65"/>
                    <w:rPr>
                      <w:color w:val="auto"/>
                    </w:rPr>
                  </w:pPr>
                  <w:r>
                    <w:rPr>
                      <w:color w:val="auto"/>
                    </w:rPr>
                    <w:t>陆生植被植物</w:t>
                  </w:r>
                </w:p>
              </w:tc>
              <w:tc>
                <w:tcPr>
                  <w:tcW w:w="430" w:type="pct"/>
                  <w:tcBorders>
                    <w:top w:val="nil"/>
                    <w:left w:val="nil"/>
                    <w:bottom w:val="single" w:color="auto" w:sz="4" w:space="0"/>
                    <w:right w:val="single" w:color="auto" w:sz="4" w:space="0"/>
                  </w:tcBorders>
                  <w:vAlign w:val="center"/>
                </w:tcPr>
                <w:p w14:paraId="6AA3A494">
                  <w:pPr>
                    <w:pStyle w:val="65"/>
                    <w:rPr>
                      <w:color w:val="auto"/>
                    </w:rPr>
                  </w:pPr>
                  <w:r>
                    <w:rPr>
                      <w:color w:val="auto"/>
                    </w:rPr>
                    <w:t>陆生植被植物</w:t>
                  </w:r>
                </w:p>
              </w:tc>
              <w:tc>
                <w:tcPr>
                  <w:tcW w:w="642" w:type="pct"/>
                  <w:tcBorders>
                    <w:top w:val="nil"/>
                    <w:left w:val="nil"/>
                    <w:bottom w:val="single" w:color="auto" w:sz="4" w:space="0"/>
                    <w:right w:val="single" w:color="auto" w:sz="4" w:space="0"/>
                  </w:tcBorders>
                  <w:vAlign w:val="center"/>
                </w:tcPr>
                <w:p w14:paraId="22ED9F6E">
                  <w:pPr>
                    <w:pStyle w:val="65"/>
                    <w:rPr>
                      <w:color w:val="auto"/>
                    </w:rPr>
                  </w:pPr>
                  <w:r>
                    <w:rPr>
                      <w:color w:val="auto"/>
                    </w:rPr>
                    <w:t>/</w:t>
                  </w:r>
                </w:p>
              </w:tc>
              <w:tc>
                <w:tcPr>
                  <w:tcW w:w="642" w:type="pct"/>
                  <w:tcBorders>
                    <w:top w:val="nil"/>
                    <w:left w:val="nil"/>
                    <w:bottom w:val="single" w:color="auto" w:sz="4" w:space="0"/>
                    <w:right w:val="single" w:color="auto" w:sz="4" w:space="0"/>
                  </w:tcBorders>
                  <w:vAlign w:val="center"/>
                </w:tcPr>
                <w:p w14:paraId="1109F463">
                  <w:pPr>
                    <w:pStyle w:val="65"/>
                    <w:rPr>
                      <w:color w:val="auto"/>
                    </w:rPr>
                  </w:pPr>
                  <w:r>
                    <w:rPr>
                      <w:color w:val="auto"/>
                    </w:rPr>
                    <w:t>/</w:t>
                  </w:r>
                </w:p>
              </w:tc>
              <w:tc>
                <w:tcPr>
                  <w:tcW w:w="688" w:type="pct"/>
                  <w:tcBorders>
                    <w:top w:val="nil"/>
                    <w:left w:val="nil"/>
                    <w:bottom w:val="single" w:color="auto" w:sz="4" w:space="0"/>
                    <w:right w:val="single" w:color="auto" w:sz="4" w:space="0"/>
                  </w:tcBorders>
                  <w:vAlign w:val="center"/>
                </w:tcPr>
                <w:p w14:paraId="45F140FF">
                  <w:pPr>
                    <w:pStyle w:val="65"/>
                    <w:rPr>
                      <w:color w:val="auto"/>
                    </w:rPr>
                  </w:pPr>
                  <w:r>
                    <w:rPr>
                      <w:color w:val="auto"/>
                    </w:rPr>
                    <w:t>暖温性针叶林、暖性石灰岩灌丛、暖温性稀树灌木草丛及植物</w:t>
                  </w:r>
                </w:p>
              </w:tc>
              <w:tc>
                <w:tcPr>
                  <w:tcW w:w="691" w:type="pct"/>
                  <w:tcBorders>
                    <w:top w:val="nil"/>
                    <w:left w:val="nil"/>
                    <w:bottom w:val="single" w:color="auto" w:sz="4" w:space="0"/>
                    <w:right w:val="single" w:color="auto" w:sz="4" w:space="0"/>
                  </w:tcBorders>
                  <w:vAlign w:val="center"/>
                </w:tcPr>
                <w:p w14:paraId="535757F8">
                  <w:pPr>
                    <w:pStyle w:val="65"/>
                    <w:rPr>
                      <w:color w:val="auto"/>
                    </w:rPr>
                  </w:pPr>
                  <w:bookmarkStart w:id="318" w:name="RANGE!G2"/>
                  <w:r>
                    <w:rPr>
                      <w:color w:val="auto"/>
                    </w:rPr>
                    <w:t>光伏发电列阵区、集电线路用地红线外扩300m的区域</w:t>
                  </w:r>
                  <w:bookmarkEnd w:id="318"/>
                </w:p>
              </w:tc>
              <w:tc>
                <w:tcPr>
                  <w:tcW w:w="641" w:type="pct"/>
                  <w:vMerge w:val="restart"/>
                  <w:tcBorders>
                    <w:top w:val="nil"/>
                    <w:left w:val="single" w:color="auto" w:sz="4" w:space="0"/>
                    <w:bottom w:val="single" w:color="auto" w:sz="4" w:space="0"/>
                    <w:right w:val="single" w:color="auto" w:sz="4" w:space="0"/>
                  </w:tcBorders>
                  <w:vAlign w:val="center"/>
                </w:tcPr>
                <w:p w14:paraId="58D69D0F">
                  <w:pPr>
                    <w:pStyle w:val="65"/>
                    <w:rPr>
                      <w:color w:val="auto"/>
                    </w:rPr>
                  </w:pPr>
                  <w:r>
                    <w:rPr>
                      <w:color w:val="auto"/>
                    </w:rPr>
                    <w:t>光伏场区、场内集电线路用地红线外扩300m的区域</w:t>
                  </w:r>
                </w:p>
              </w:tc>
              <w:tc>
                <w:tcPr>
                  <w:tcW w:w="367" w:type="pct"/>
                  <w:tcBorders>
                    <w:top w:val="nil"/>
                    <w:left w:val="nil"/>
                    <w:bottom w:val="single" w:color="auto" w:sz="4" w:space="0"/>
                    <w:right w:val="single" w:color="auto" w:sz="4" w:space="0"/>
                  </w:tcBorders>
                  <w:vAlign w:val="center"/>
                </w:tcPr>
                <w:p w14:paraId="3C542BBB">
                  <w:pPr>
                    <w:pStyle w:val="65"/>
                    <w:rPr>
                      <w:color w:val="auto"/>
                    </w:rPr>
                  </w:pPr>
                  <w:r>
                    <w:rPr>
                      <w:color w:val="auto"/>
                    </w:rPr>
                    <w:t>一致</w:t>
                  </w:r>
                </w:p>
              </w:tc>
            </w:tr>
            <w:tr w14:paraId="3C8C2C06">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1F123934">
                  <w:pPr>
                    <w:pStyle w:val="65"/>
                    <w:rPr>
                      <w:color w:val="auto"/>
                    </w:rPr>
                  </w:pPr>
                </w:p>
              </w:tc>
              <w:tc>
                <w:tcPr>
                  <w:tcW w:w="486" w:type="pct"/>
                  <w:tcBorders>
                    <w:top w:val="nil"/>
                    <w:left w:val="nil"/>
                    <w:bottom w:val="single" w:color="auto" w:sz="4" w:space="0"/>
                    <w:right w:val="single" w:color="auto" w:sz="4" w:space="0"/>
                  </w:tcBorders>
                  <w:vAlign w:val="center"/>
                </w:tcPr>
                <w:p w14:paraId="19293099">
                  <w:pPr>
                    <w:pStyle w:val="65"/>
                    <w:rPr>
                      <w:color w:val="auto"/>
                    </w:rPr>
                  </w:pPr>
                  <w:r>
                    <w:rPr>
                      <w:color w:val="auto"/>
                    </w:rPr>
                    <w:t>陆生脊椎动物</w:t>
                  </w:r>
                </w:p>
              </w:tc>
              <w:tc>
                <w:tcPr>
                  <w:tcW w:w="430" w:type="pct"/>
                  <w:tcBorders>
                    <w:top w:val="nil"/>
                    <w:left w:val="nil"/>
                    <w:bottom w:val="single" w:color="auto" w:sz="4" w:space="0"/>
                    <w:right w:val="single" w:color="auto" w:sz="4" w:space="0"/>
                  </w:tcBorders>
                  <w:vAlign w:val="center"/>
                </w:tcPr>
                <w:p w14:paraId="5C3A139B">
                  <w:pPr>
                    <w:pStyle w:val="65"/>
                    <w:rPr>
                      <w:color w:val="auto"/>
                    </w:rPr>
                  </w:pPr>
                  <w:r>
                    <w:rPr>
                      <w:color w:val="auto"/>
                    </w:rPr>
                    <w:t>陆生脊椎动物</w:t>
                  </w:r>
                </w:p>
              </w:tc>
              <w:tc>
                <w:tcPr>
                  <w:tcW w:w="642" w:type="pct"/>
                  <w:tcBorders>
                    <w:top w:val="nil"/>
                    <w:left w:val="nil"/>
                    <w:bottom w:val="single" w:color="auto" w:sz="4" w:space="0"/>
                    <w:right w:val="single" w:color="auto" w:sz="4" w:space="0"/>
                  </w:tcBorders>
                  <w:vAlign w:val="center"/>
                </w:tcPr>
                <w:p w14:paraId="3B0EF9B9">
                  <w:pPr>
                    <w:pStyle w:val="65"/>
                    <w:rPr>
                      <w:color w:val="auto"/>
                    </w:rPr>
                  </w:pPr>
                  <w:r>
                    <w:rPr>
                      <w:color w:val="auto"/>
                    </w:rPr>
                    <w:t>/</w:t>
                  </w:r>
                </w:p>
              </w:tc>
              <w:tc>
                <w:tcPr>
                  <w:tcW w:w="642" w:type="pct"/>
                  <w:tcBorders>
                    <w:top w:val="nil"/>
                    <w:left w:val="nil"/>
                    <w:bottom w:val="single" w:color="auto" w:sz="4" w:space="0"/>
                    <w:right w:val="single" w:color="auto" w:sz="4" w:space="0"/>
                  </w:tcBorders>
                  <w:vAlign w:val="center"/>
                </w:tcPr>
                <w:p w14:paraId="488F14EF">
                  <w:pPr>
                    <w:pStyle w:val="65"/>
                    <w:rPr>
                      <w:color w:val="auto"/>
                    </w:rPr>
                  </w:pPr>
                  <w:r>
                    <w:rPr>
                      <w:color w:val="auto"/>
                    </w:rPr>
                    <w:t>/</w:t>
                  </w:r>
                </w:p>
              </w:tc>
              <w:tc>
                <w:tcPr>
                  <w:tcW w:w="688" w:type="pct"/>
                  <w:tcBorders>
                    <w:top w:val="nil"/>
                    <w:left w:val="nil"/>
                    <w:bottom w:val="single" w:color="auto" w:sz="4" w:space="0"/>
                    <w:right w:val="single" w:color="auto" w:sz="4" w:space="0"/>
                  </w:tcBorders>
                  <w:vAlign w:val="center"/>
                </w:tcPr>
                <w:p w14:paraId="3422EFCA">
                  <w:pPr>
                    <w:pStyle w:val="65"/>
                    <w:rPr>
                      <w:color w:val="auto"/>
                    </w:rPr>
                  </w:pPr>
                  <w:r>
                    <w:rPr>
                      <w:color w:val="auto"/>
                    </w:rPr>
                    <w:t>野生动物</w:t>
                  </w:r>
                </w:p>
              </w:tc>
              <w:tc>
                <w:tcPr>
                  <w:tcW w:w="691" w:type="pct"/>
                  <w:tcBorders>
                    <w:top w:val="nil"/>
                    <w:left w:val="nil"/>
                    <w:bottom w:val="single" w:color="auto" w:sz="4" w:space="0"/>
                    <w:right w:val="single" w:color="auto" w:sz="4" w:space="0"/>
                  </w:tcBorders>
                  <w:vAlign w:val="center"/>
                </w:tcPr>
                <w:p w14:paraId="3B55DF7E">
                  <w:pPr>
                    <w:pStyle w:val="65"/>
                    <w:rPr>
                      <w:color w:val="auto"/>
                    </w:rPr>
                  </w:pPr>
                  <w:r>
                    <w:rPr>
                      <w:color w:val="auto"/>
                    </w:rPr>
                    <w:t>项目评价范围内</w:t>
                  </w:r>
                </w:p>
              </w:tc>
              <w:tc>
                <w:tcPr>
                  <w:tcW w:w="641" w:type="pct"/>
                  <w:vMerge w:val="continue"/>
                  <w:tcBorders>
                    <w:top w:val="nil"/>
                    <w:left w:val="single" w:color="auto" w:sz="4" w:space="0"/>
                    <w:bottom w:val="single" w:color="auto" w:sz="4" w:space="0"/>
                    <w:right w:val="single" w:color="auto" w:sz="4" w:space="0"/>
                  </w:tcBorders>
                  <w:vAlign w:val="center"/>
                </w:tcPr>
                <w:p w14:paraId="686BA6B5">
                  <w:pPr>
                    <w:pStyle w:val="65"/>
                    <w:rPr>
                      <w:color w:val="auto"/>
                    </w:rPr>
                  </w:pPr>
                </w:p>
              </w:tc>
              <w:tc>
                <w:tcPr>
                  <w:tcW w:w="367" w:type="pct"/>
                  <w:tcBorders>
                    <w:top w:val="nil"/>
                    <w:left w:val="nil"/>
                    <w:bottom w:val="single" w:color="auto" w:sz="4" w:space="0"/>
                    <w:right w:val="single" w:color="auto" w:sz="4" w:space="0"/>
                  </w:tcBorders>
                  <w:vAlign w:val="center"/>
                </w:tcPr>
                <w:p w14:paraId="04E767F7">
                  <w:pPr>
                    <w:pStyle w:val="65"/>
                    <w:rPr>
                      <w:color w:val="auto"/>
                    </w:rPr>
                  </w:pPr>
                  <w:r>
                    <w:rPr>
                      <w:color w:val="auto"/>
                    </w:rPr>
                    <w:t>一致</w:t>
                  </w:r>
                </w:p>
              </w:tc>
            </w:tr>
            <w:tr w14:paraId="669A9745">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6881ABFB">
                  <w:pPr>
                    <w:pStyle w:val="65"/>
                    <w:rPr>
                      <w:color w:val="auto"/>
                    </w:rPr>
                  </w:pPr>
                </w:p>
              </w:tc>
              <w:tc>
                <w:tcPr>
                  <w:tcW w:w="486" w:type="pct"/>
                  <w:tcBorders>
                    <w:top w:val="nil"/>
                    <w:left w:val="nil"/>
                    <w:bottom w:val="single" w:color="auto" w:sz="4" w:space="0"/>
                    <w:right w:val="single" w:color="auto" w:sz="4" w:space="0"/>
                  </w:tcBorders>
                  <w:vAlign w:val="center"/>
                </w:tcPr>
                <w:p w14:paraId="51AFB92A">
                  <w:pPr>
                    <w:pStyle w:val="65"/>
                    <w:rPr>
                      <w:color w:val="auto"/>
                    </w:rPr>
                  </w:pPr>
                  <w:r>
                    <w:rPr>
                      <w:color w:val="auto"/>
                    </w:rPr>
                    <w:t>生态保护红线</w:t>
                  </w:r>
                </w:p>
              </w:tc>
              <w:tc>
                <w:tcPr>
                  <w:tcW w:w="430" w:type="pct"/>
                  <w:tcBorders>
                    <w:top w:val="nil"/>
                    <w:left w:val="nil"/>
                    <w:bottom w:val="single" w:color="auto" w:sz="4" w:space="0"/>
                    <w:right w:val="single" w:color="auto" w:sz="4" w:space="0"/>
                  </w:tcBorders>
                  <w:vAlign w:val="center"/>
                </w:tcPr>
                <w:p w14:paraId="5D5F5932">
                  <w:pPr>
                    <w:pStyle w:val="65"/>
                    <w:rPr>
                      <w:color w:val="auto"/>
                    </w:rPr>
                  </w:pPr>
                  <w:r>
                    <w:rPr>
                      <w:color w:val="auto"/>
                    </w:rPr>
                    <w:t>生态保护红线</w:t>
                  </w:r>
                </w:p>
              </w:tc>
              <w:tc>
                <w:tcPr>
                  <w:tcW w:w="642" w:type="pct"/>
                  <w:tcBorders>
                    <w:top w:val="nil"/>
                    <w:left w:val="nil"/>
                    <w:bottom w:val="single" w:color="auto" w:sz="4" w:space="0"/>
                    <w:right w:val="single" w:color="auto" w:sz="4" w:space="0"/>
                  </w:tcBorders>
                  <w:vAlign w:val="center"/>
                </w:tcPr>
                <w:p w14:paraId="2DEDC44F">
                  <w:pPr>
                    <w:pStyle w:val="65"/>
                    <w:rPr>
                      <w:color w:val="auto"/>
                    </w:rPr>
                  </w:pPr>
                  <w:r>
                    <w:rPr>
                      <w:color w:val="auto"/>
                    </w:rPr>
                    <w:t>/</w:t>
                  </w:r>
                </w:p>
              </w:tc>
              <w:tc>
                <w:tcPr>
                  <w:tcW w:w="642" w:type="pct"/>
                  <w:tcBorders>
                    <w:top w:val="nil"/>
                    <w:left w:val="nil"/>
                    <w:bottom w:val="single" w:color="auto" w:sz="4" w:space="0"/>
                    <w:right w:val="single" w:color="auto" w:sz="4" w:space="0"/>
                  </w:tcBorders>
                  <w:vAlign w:val="center"/>
                </w:tcPr>
                <w:p w14:paraId="1590C8D1">
                  <w:pPr>
                    <w:pStyle w:val="65"/>
                    <w:rPr>
                      <w:color w:val="auto"/>
                    </w:rPr>
                  </w:pPr>
                  <w:r>
                    <w:rPr>
                      <w:color w:val="auto"/>
                    </w:rPr>
                    <w:t>/</w:t>
                  </w:r>
                </w:p>
              </w:tc>
              <w:tc>
                <w:tcPr>
                  <w:tcW w:w="688" w:type="pct"/>
                  <w:tcBorders>
                    <w:top w:val="nil"/>
                    <w:left w:val="nil"/>
                    <w:bottom w:val="single" w:color="auto" w:sz="4" w:space="0"/>
                    <w:right w:val="single" w:color="auto" w:sz="4" w:space="0"/>
                  </w:tcBorders>
                  <w:vAlign w:val="center"/>
                </w:tcPr>
                <w:p w14:paraId="6E74C3A7">
                  <w:pPr>
                    <w:pStyle w:val="65"/>
                    <w:rPr>
                      <w:color w:val="auto"/>
                    </w:rPr>
                  </w:pPr>
                  <w:r>
                    <w:rPr>
                      <w:rFonts w:hint="eastAsia"/>
                      <w:color w:val="auto"/>
                    </w:rPr>
                    <w:t>哀牢山-无量山山地生物多样性维护与水土保持生态保护红线</w:t>
                  </w:r>
                </w:p>
              </w:tc>
              <w:tc>
                <w:tcPr>
                  <w:tcW w:w="691" w:type="pct"/>
                  <w:tcBorders>
                    <w:top w:val="nil"/>
                    <w:left w:val="nil"/>
                    <w:bottom w:val="single" w:color="auto" w:sz="4" w:space="0"/>
                    <w:right w:val="single" w:color="auto" w:sz="4" w:space="0"/>
                  </w:tcBorders>
                  <w:vAlign w:val="center"/>
                </w:tcPr>
                <w:p w14:paraId="1082D3AF">
                  <w:pPr>
                    <w:pStyle w:val="65"/>
                    <w:jc w:val="both"/>
                    <w:rPr>
                      <w:color w:val="auto"/>
                    </w:rPr>
                  </w:pPr>
                  <w:bookmarkStart w:id="319" w:name="RANGE!G4"/>
                  <w:r>
                    <w:rPr>
                      <w:color w:val="auto"/>
                    </w:rPr>
                    <w:t>最近#1、#2方阵与生态保护红线边界距离为5米，其余方阵#19方阵301米、#20方阵310米、#21方阵301米、#22方阵270米</w:t>
                  </w:r>
                  <w:bookmarkEnd w:id="319"/>
                </w:p>
              </w:tc>
              <w:tc>
                <w:tcPr>
                  <w:tcW w:w="641" w:type="pct"/>
                  <w:tcBorders>
                    <w:top w:val="nil"/>
                    <w:left w:val="nil"/>
                    <w:bottom w:val="single" w:color="auto" w:sz="4" w:space="0"/>
                    <w:right w:val="single" w:color="auto" w:sz="4" w:space="0"/>
                  </w:tcBorders>
                  <w:vAlign w:val="center"/>
                </w:tcPr>
                <w:p w14:paraId="05FF975A">
                  <w:pPr>
                    <w:pStyle w:val="65"/>
                    <w:jc w:val="both"/>
                    <w:rPr>
                      <w:color w:val="auto"/>
                    </w:rPr>
                  </w:pPr>
                  <w:r>
                    <w:rPr>
                      <w:color w:val="auto"/>
                    </w:rPr>
                    <w:t>光伏场区、场内集电线路用地红线外扩300m区域内，用地红线（S21、S22光伏方阵）与生态保护红线的最近距离5m</w:t>
                  </w:r>
                </w:p>
              </w:tc>
              <w:tc>
                <w:tcPr>
                  <w:tcW w:w="367" w:type="pct"/>
                  <w:tcBorders>
                    <w:top w:val="nil"/>
                    <w:left w:val="nil"/>
                    <w:bottom w:val="single" w:color="auto" w:sz="4" w:space="0"/>
                    <w:right w:val="single" w:color="auto" w:sz="4" w:space="0"/>
                  </w:tcBorders>
                  <w:vAlign w:val="center"/>
                </w:tcPr>
                <w:p w14:paraId="395E02B4">
                  <w:pPr>
                    <w:pStyle w:val="65"/>
                    <w:rPr>
                      <w:color w:val="auto"/>
                    </w:rPr>
                  </w:pPr>
                  <w:r>
                    <w:rPr>
                      <w:color w:val="auto"/>
                    </w:rPr>
                    <w:t>保护目标一致，</w:t>
                  </w:r>
                  <w:r>
                    <w:rPr>
                      <w:rFonts w:hint="eastAsia"/>
                      <w:color w:val="auto"/>
                    </w:rPr>
                    <w:t>方阵编号</w:t>
                  </w:r>
                  <w:r>
                    <w:rPr>
                      <w:color w:val="auto"/>
                    </w:rPr>
                    <w:t>发生变化</w:t>
                  </w:r>
                </w:p>
              </w:tc>
            </w:tr>
            <w:tr w14:paraId="7B6512C3">
              <w:tblPrEx>
                <w:tblCellMar>
                  <w:top w:w="0" w:type="dxa"/>
                  <w:left w:w="108" w:type="dxa"/>
                  <w:bottom w:w="0" w:type="dxa"/>
                  <w:right w:w="108" w:type="dxa"/>
                </w:tblCellMar>
              </w:tblPrEx>
              <w:trPr>
                <w:trHeight w:val="454" w:hRule="atLeast"/>
              </w:trPr>
              <w:tc>
                <w:tcPr>
                  <w:tcW w:w="413" w:type="pct"/>
                  <w:vMerge w:val="restart"/>
                  <w:tcBorders>
                    <w:top w:val="nil"/>
                    <w:left w:val="single" w:color="auto" w:sz="4" w:space="0"/>
                    <w:bottom w:val="single" w:color="auto" w:sz="4" w:space="0"/>
                    <w:right w:val="single" w:color="auto" w:sz="4" w:space="0"/>
                  </w:tcBorders>
                  <w:noWrap/>
                  <w:vAlign w:val="center"/>
                </w:tcPr>
                <w:p w14:paraId="53AA10C6">
                  <w:pPr>
                    <w:pStyle w:val="65"/>
                    <w:rPr>
                      <w:color w:val="auto"/>
                    </w:rPr>
                  </w:pPr>
                  <w:r>
                    <w:rPr>
                      <w:color w:val="auto"/>
                    </w:rPr>
                    <w:t>声环境</w:t>
                  </w:r>
                </w:p>
              </w:tc>
              <w:tc>
                <w:tcPr>
                  <w:tcW w:w="486" w:type="pct"/>
                  <w:tcBorders>
                    <w:top w:val="nil"/>
                    <w:left w:val="nil"/>
                    <w:bottom w:val="single" w:color="auto" w:sz="4" w:space="0"/>
                    <w:right w:val="single" w:color="auto" w:sz="4" w:space="0"/>
                  </w:tcBorders>
                  <w:vAlign w:val="center"/>
                </w:tcPr>
                <w:p w14:paraId="3E526C8C">
                  <w:pPr>
                    <w:pStyle w:val="65"/>
                    <w:rPr>
                      <w:color w:val="auto"/>
                    </w:rPr>
                  </w:pPr>
                  <w:r>
                    <w:rPr>
                      <w:color w:val="auto"/>
                    </w:rPr>
                    <w:t>蚂蟥箐</w:t>
                  </w:r>
                </w:p>
              </w:tc>
              <w:tc>
                <w:tcPr>
                  <w:tcW w:w="430" w:type="pct"/>
                  <w:tcBorders>
                    <w:top w:val="nil"/>
                    <w:left w:val="nil"/>
                    <w:bottom w:val="single" w:color="auto" w:sz="4" w:space="0"/>
                    <w:right w:val="single" w:color="auto" w:sz="4" w:space="0"/>
                  </w:tcBorders>
                  <w:vAlign w:val="center"/>
                </w:tcPr>
                <w:p w14:paraId="7B1B10EB">
                  <w:pPr>
                    <w:pStyle w:val="65"/>
                    <w:rPr>
                      <w:color w:val="auto"/>
                    </w:rPr>
                  </w:pPr>
                  <w:r>
                    <w:rPr>
                      <w:color w:val="auto"/>
                    </w:rPr>
                    <w:t>蚂蟥箐</w:t>
                  </w:r>
                </w:p>
              </w:tc>
              <w:tc>
                <w:tcPr>
                  <w:tcW w:w="642" w:type="pct"/>
                  <w:tcBorders>
                    <w:top w:val="nil"/>
                    <w:left w:val="nil"/>
                    <w:bottom w:val="single" w:color="auto" w:sz="4" w:space="0"/>
                    <w:right w:val="single" w:color="auto" w:sz="4" w:space="0"/>
                  </w:tcBorders>
                  <w:vAlign w:val="center"/>
                </w:tcPr>
                <w:p w14:paraId="5865144F">
                  <w:pPr>
                    <w:pStyle w:val="65"/>
                    <w:rPr>
                      <w:color w:val="auto"/>
                    </w:rPr>
                  </w:pPr>
                  <w:r>
                    <w:rPr>
                      <w:color w:val="auto"/>
                    </w:rPr>
                    <w:t>100°27′17.845″</w:t>
                  </w:r>
                </w:p>
              </w:tc>
              <w:tc>
                <w:tcPr>
                  <w:tcW w:w="642" w:type="pct"/>
                  <w:tcBorders>
                    <w:top w:val="nil"/>
                    <w:left w:val="nil"/>
                    <w:bottom w:val="single" w:color="auto" w:sz="4" w:space="0"/>
                    <w:right w:val="single" w:color="auto" w:sz="4" w:space="0"/>
                  </w:tcBorders>
                  <w:vAlign w:val="center"/>
                </w:tcPr>
                <w:p w14:paraId="38C90E2A">
                  <w:pPr>
                    <w:pStyle w:val="65"/>
                    <w:rPr>
                      <w:color w:val="auto"/>
                    </w:rPr>
                  </w:pPr>
                  <w:r>
                    <w:rPr>
                      <w:color w:val="auto"/>
                    </w:rPr>
                    <w:t>24°47′3.877″</w:t>
                  </w:r>
                </w:p>
              </w:tc>
              <w:tc>
                <w:tcPr>
                  <w:tcW w:w="688" w:type="pct"/>
                  <w:tcBorders>
                    <w:top w:val="nil"/>
                    <w:left w:val="nil"/>
                    <w:bottom w:val="single" w:color="auto" w:sz="4" w:space="0"/>
                    <w:right w:val="single" w:color="auto" w:sz="4" w:space="0"/>
                  </w:tcBorders>
                  <w:vAlign w:val="center"/>
                </w:tcPr>
                <w:p w14:paraId="14313794">
                  <w:pPr>
                    <w:pStyle w:val="65"/>
                    <w:rPr>
                      <w:color w:val="auto"/>
                    </w:rPr>
                  </w:pPr>
                  <w:r>
                    <w:rPr>
                      <w:color w:val="auto"/>
                    </w:rPr>
                    <w:t>90户359人</w:t>
                  </w:r>
                </w:p>
              </w:tc>
              <w:tc>
                <w:tcPr>
                  <w:tcW w:w="691" w:type="pct"/>
                  <w:tcBorders>
                    <w:top w:val="nil"/>
                    <w:left w:val="nil"/>
                    <w:bottom w:val="single" w:color="auto" w:sz="4" w:space="0"/>
                    <w:right w:val="single" w:color="auto" w:sz="4" w:space="0"/>
                  </w:tcBorders>
                  <w:vAlign w:val="center"/>
                </w:tcPr>
                <w:p w14:paraId="3F2DE5D5">
                  <w:pPr>
                    <w:pStyle w:val="65"/>
                    <w:rPr>
                      <w:color w:val="auto"/>
                    </w:rPr>
                  </w:pPr>
                  <w:r>
                    <w:rPr>
                      <w:color w:val="auto"/>
                    </w:rPr>
                    <w:t>位于22#方阵北侧和东侧，紧邻，距箱变最近距离178m</w:t>
                  </w:r>
                </w:p>
              </w:tc>
              <w:tc>
                <w:tcPr>
                  <w:tcW w:w="641" w:type="pct"/>
                  <w:tcBorders>
                    <w:top w:val="nil"/>
                    <w:left w:val="nil"/>
                    <w:bottom w:val="single" w:color="auto" w:sz="4" w:space="0"/>
                    <w:right w:val="single" w:color="auto" w:sz="4" w:space="0"/>
                  </w:tcBorders>
                  <w:vAlign w:val="center"/>
                </w:tcPr>
                <w:p w14:paraId="5ED6F7A4">
                  <w:pPr>
                    <w:pStyle w:val="65"/>
                    <w:rPr>
                      <w:color w:val="auto"/>
                    </w:rPr>
                  </w:pPr>
                  <w:r>
                    <w:rPr>
                      <w:color w:val="auto"/>
                    </w:rPr>
                    <w:t>方阵S10东侧4米，距新建道路约5m</w:t>
                  </w:r>
                </w:p>
              </w:tc>
              <w:tc>
                <w:tcPr>
                  <w:tcW w:w="367" w:type="pct"/>
                  <w:vMerge w:val="restart"/>
                  <w:tcBorders>
                    <w:top w:val="nil"/>
                    <w:left w:val="single" w:color="auto" w:sz="4" w:space="0"/>
                    <w:bottom w:val="single" w:color="auto" w:sz="4" w:space="0"/>
                    <w:right w:val="single" w:color="auto" w:sz="4" w:space="0"/>
                  </w:tcBorders>
                  <w:vAlign w:val="center"/>
                </w:tcPr>
                <w:p w14:paraId="77E7318E">
                  <w:pPr>
                    <w:pStyle w:val="65"/>
                    <w:rPr>
                      <w:color w:val="auto"/>
                    </w:rPr>
                  </w:pPr>
                  <w:r>
                    <w:rPr>
                      <w:color w:val="auto"/>
                    </w:rPr>
                    <w:t>保护目标一致，位置发生变化</w:t>
                  </w:r>
                </w:p>
              </w:tc>
            </w:tr>
            <w:tr w14:paraId="7B93450E">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6F8DBE8B">
                  <w:pPr>
                    <w:pStyle w:val="65"/>
                    <w:rPr>
                      <w:color w:val="auto"/>
                    </w:rPr>
                  </w:pPr>
                </w:p>
              </w:tc>
              <w:tc>
                <w:tcPr>
                  <w:tcW w:w="486" w:type="pct"/>
                  <w:tcBorders>
                    <w:top w:val="nil"/>
                    <w:left w:val="nil"/>
                    <w:bottom w:val="single" w:color="auto" w:sz="4" w:space="0"/>
                    <w:right w:val="single" w:color="auto" w:sz="4" w:space="0"/>
                  </w:tcBorders>
                  <w:vAlign w:val="center"/>
                </w:tcPr>
                <w:p w14:paraId="2BD3D681">
                  <w:pPr>
                    <w:pStyle w:val="65"/>
                    <w:rPr>
                      <w:color w:val="auto"/>
                    </w:rPr>
                  </w:pPr>
                  <w:r>
                    <w:rPr>
                      <w:color w:val="auto"/>
                    </w:rPr>
                    <w:t>旧村</w:t>
                  </w:r>
                </w:p>
              </w:tc>
              <w:tc>
                <w:tcPr>
                  <w:tcW w:w="430" w:type="pct"/>
                  <w:tcBorders>
                    <w:top w:val="nil"/>
                    <w:left w:val="nil"/>
                    <w:bottom w:val="single" w:color="auto" w:sz="4" w:space="0"/>
                    <w:right w:val="single" w:color="auto" w:sz="4" w:space="0"/>
                  </w:tcBorders>
                  <w:vAlign w:val="center"/>
                </w:tcPr>
                <w:p w14:paraId="78D8DE03">
                  <w:pPr>
                    <w:pStyle w:val="65"/>
                    <w:rPr>
                      <w:color w:val="auto"/>
                    </w:rPr>
                  </w:pPr>
                  <w:r>
                    <w:rPr>
                      <w:color w:val="auto"/>
                    </w:rPr>
                    <w:t>旧村</w:t>
                  </w:r>
                </w:p>
              </w:tc>
              <w:tc>
                <w:tcPr>
                  <w:tcW w:w="642" w:type="pct"/>
                  <w:tcBorders>
                    <w:top w:val="nil"/>
                    <w:left w:val="nil"/>
                    <w:bottom w:val="single" w:color="auto" w:sz="4" w:space="0"/>
                    <w:right w:val="single" w:color="auto" w:sz="4" w:space="0"/>
                  </w:tcBorders>
                  <w:vAlign w:val="center"/>
                </w:tcPr>
                <w:p w14:paraId="32CA2069">
                  <w:pPr>
                    <w:pStyle w:val="65"/>
                    <w:rPr>
                      <w:color w:val="auto"/>
                    </w:rPr>
                  </w:pPr>
                  <w:r>
                    <w:rPr>
                      <w:color w:val="auto"/>
                    </w:rPr>
                    <w:t>100°26′26.051″</w:t>
                  </w:r>
                </w:p>
              </w:tc>
              <w:tc>
                <w:tcPr>
                  <w:tcW w:w="642" w:type="pct"/>
                  <w:tcBorders>
                    <w:top w:val="nil"/>
                    <w:left w:val="nil"/>
                    <w:bottom w:val="single" w:color="auto" w:sz="4" w:space="0"/>
                    <w:right w:val="single" w:color="auto" w:sz="4" w:space="0"/>
                  </w:tcBorders>
                  <w:vAlign w:val="center"/>
                </w:tcPr>
                <w:p w14:paraId="0F4A37C9">
                  <w:pPr>
                    <w:pStyle w:val="65"/>
                    <w:rPr>
                      <w:color w:val="auto"/>
                    </w:rPr>
                  </w:pPr>
                  <w:r>
                    <w:rPr>
                      <w:color w:val="auto"/>
                    </w:rPr>
                    <w:t>24°46′39.856″</w:t>
                  </w:r>
                </w:p>
              </w:tc>
              <w:tc>
                <w:tcPr>
                  <w:tcW w:w="688" w:type="pct"/>
                  <w:tcBorders>
                    <w:top w:val="nil"/>
                    <w:left w:val="nil"/>
                    <w:bottom w:val="single" w:color="auto" w:sz="4" w:space="0"/>
                    <w:right w:val="single" w:color="auto" w:sz="4" w:space="0"/>
                  </w:tcBorders>
                  <w:vAlign w:val="center"/>
                </w:tcPr>
                <w:p w14:paraId="2D4AD31E">
                  <w:pPr>
                    <w:pStyle w:val="65"/>
                    <w:rPr>
                      <w:color w:val="auto"/>
                    </w:rPr>
                  </w:pPr>
                  <w:r>
                    <w:rPr>
                      <w:color w:val="auto"/>
                    </w:rPr>
                    <w:t>46户161人</w:t>
                  </w:r>
                </w:p>
              </w:tc>
              <w:tc>
                <w:tcPr>
                  <w:tcW w:w="691" w:type="pct"/>
                  <w:tcBorders>
                    <w:top w:val="nil"/>
                    <w:left w:val="nil"/>
                    <w:bottom w:val="single" w:color="auto" w:sz="4" w:space="0"/>
                    <w:right w:val="single" w:color="auto" w:sz="4" w:space="0"/>
                  </w:tcBorders>
                  <w:vAlign w:val="center"/>
                </w:tcPr>
                <w:p w14:paraId="2A91E91C">
                  <w:pPr>
                    <w:pStyle w:val="65"/>
                    <w:rPr>
                      <w:color w:val="auto"/>
                    </w:rPr>
                  </w:pPr>
                  <w:r>
                    <w:rPr>
                      <w:color w:val="auto"/>
                    </w:rPr>
                    <w:t>位于13#光伏阵列东南侧18m，距箱变最近距离228m</w:t>
                  </w:r>
                </w:p>
              </w:tc>
              <w:tc>
                <w:tcPr>
                  <w:tcW w:w="641" w:type="pct"/>
                  <w:tcBorders>
                    <w:top w:val="nil"/>
                    <w:left w:val="nil"/>
                    <w:bottom w:val="single" w:color="auto" w:sz="4" w:space="0"/>
                    <w:right w:val="single" w:color="auto" w:sz="4" w:space="0"/>
                  </w:tcBorders>
                  <w:vAlign w:val="center"/>
                </w:tcPr>
                <w:p w14:paraId="3AA8AE64">
                  <w:pPr>
                    <w:pStyle w:val="65"/>
                    <w:rPr>
                      <w:color w:val="auto"/>
                    </w:rPr>
                  </w:pPr>
                  <w:r>
                    <w:rPr>
                      <w:color w:val="auto"/>
                    </w:rPr>
                    <w:t>方阵S03南侧154m，距箱变最近距离181m，距改扩建道路约5m</w:t>
                  </w:r>
                </w:p>
              </w:tc>
              <w:tc>
                <w:tcPr>
                  <w:tcW w:w="367" w:type="pct"/>
                  <w:vMerge w:val="continue"/>
                  <w:tcBorders>
                    <w:top w:val="nil"/>
                    <w:left w:val="single" w:color="auto" w:sz="4" w:space="0"/>
                    <w:bottom w:val="single" w:color="auto" w:sz="4" w:space="0"/>
                    <w:right w:val="single" w:color="auto" w:sz="4" w:space="0"/>
                  </w:tcBorders>
                  <w:vAlign w:val="center"/>
                </w:tcPr>
                <w:p w14:paraId="7436F649">
                  <w:pPr>
                    <w:pStyle w:val="65"/>
                    <w:rPr>
                      <w:color w:val="auto"/>
                    </w:rPr>
                  </w:pPr>
                </w:p>
              </w:tc>
            </w:tr>
            <w:tr w14:paraId="3A45D12E">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5BCD11B6">
                  <w:pPr>
                    <w:pStyle w:val="65"/>
                    <w:rPr>
                      <w:color w:val="auto"/>
                    </w:rPr>
                  </w:pPr>
                </w:p>
              </w:tc>
              <w:tc>
                <w:tcPr>
                  <w:tcW w:w="486" w:type="pct"/>
                  <w:tcBorders>
                    <w:top w:val="nil"/>
                    <w:left w:val="nil"/>
                    <w:bottom w:val="single" w:color="auto" w:sz="4" w:space="0"/>
                    <w:right w:val="single" w:color="auto" w:sz="4" w:space="0"/>
                  </w:tcBorders>
                  <w:vAlign w:val="center"/>
                </w:tcPr>
                <w:p w14:paraId="652D550C">
                  <w:pPr>
                    <w:pStyle w:val="65"/>
                    <w:rPr>
                      <w:color w:val="auto"/>
                    </w:rPr>
                  </w:pPr>
                  <w:r>
                    <w:rPr>
                      <w:color w:val="auto"/>
                    </w:rPr>
                    <w:t>大平掌</w:t>
                  </w:r>
                </w:p>
              </w:tc>
              <w:tc>
                <w:tcPr>
                  <w:tcW w:w="430" w:type="pct"/>
                  <w:tcBorders>
                    <w:top w:val="nil"/>
                    <w:left w:val="nil"/>
                    <w:bottom w:val="single" w:color="auto" w:sz="4" w:space="0"/>
                    <w:right w:val="single" w:color="auto" w:sz="4" w:space="0"/>
                  </w:tcBorders>
                  <w:vAlign w:val="center"/>
                </w:tcPr>
                <w:p w14:paraId="172496B6">
                  <w:pPr>
                    <w:pStyle w:val="65"/>
                    <w:rPr>
                      <w:color w:val="auto"/>
                    </w:rPr>
                  </w:pPr>
                  <w:r>
                    <w:rPr>
                      <w:color w:val="auto"/>
                    </w:rPr>
                    <w:t>大平掌</w:t>
                  </w:r>
                </w:p>
              </w:tc>
              <w:tc>
                <w:tcPr>
                  <w:tcW w:w="642" w:type="pct"/>
                  <w:tcBorders>
                    <w:top w:val="nil"/>
                    <w:left w:val="nil"/>
                    <w:bottom w:val="single" w:color="auto" w:sz="4" w:space="0"/>
                    <w:right w:val="single" w:color="auto" w:sz="4" w:space="0"/>
                  </w:tcBorders>
                  <w:vAlign w:val="center"/>
                </w:tcPr>
                <w:p w14:paraId="71B6866D">
                  <w:pPr>
                    <w:pStyle w:val="65"/>
                    <w:rPr>
                      <w:color w:val="auto"/>
                    </w:rPr>
                  </w:pPr>
                  <w:r>
                    <w:rPr>
                      <w:color w:val="auto"/>
                    </w:rPr>
                    <w:t>100°26′43.717″</w:t>
                  </w:r>
                </w:p>
              </w:tc>
              <w:tc>
                <w:tcPr>
                  <w:tcW w:w="642" w:type="pct"/>
                  <w:tcBorders>
                    <w:top w:val="nil"/>
                    <w:left w:val="nil"/>
                    <w:bottom w:val="single" w:color="auto" w:sz="4" w:space="0"/>
                    <w:right w:val="single" w:color="auto" w:sz="4" w:space="0"/>
                  </w:tcBorders>
                  <w:vAlign w:val="center"/>
                </w:tcPr>
                <w:p w14:paraId="024FFA4A">
                  <w:pPr>
                    <w:pStyle w:val="65"/>
                    <w:rPr>
                      <w:color w:val="auto"/>
                    </w:rPr>
                  </w:pPr>
                  <w:r>
                    <w:rPr>
                      <w:color w:val="auto"/>
                    </w:rPr>
                    <w:t>24°45′5.757″</w:t>
                  </w:r>
                </w:p>
              </w:tc>
              <w:tc>
                <w:tcPr>
                  <w:tcW w:w="688" w:type="pct"/>
                  <w:tcBorders>
                    <w:top w:val="nil"/>
                    <w:left w:val="nil"/>
                    <w:bottom w:val="single" w:color="auto" w:sz="4" w:space="0"/>
                    <w:right w:val="single" w:color="auto" w:sz="4" w:space="0"/>
                  </w:tcBorders>
                  <w:vAlign w:val="center"/>
                </w:tcPr>
                <w:p w14:paraId="51419191">
                  <w:pPr>
                    <w:pStyle w:val="65"/>
                    <w:rPr>
                      <w:color w:val="auto"/>
                    </w:rPr>
                  </w:pPr>
                  <w:r>
                    <w:rPr>
                      <w:color w:val="auto"/>
                    </w:rPr>
                    <w:t>37户152人</w:t>
                  </w:r>
                </w:p>
              </w:tc>
              <w:tc>
                <w:tcPr>
                  <w:tcW w:w="691" w:type="pct"/>
                  <w:tcBorders>
                    <w:top w:val="nil"/>
                    <w:left w:val="nil"/>
                    <w:bottom w:val="single" w:color="auto" w:sz="4" w:space="0"/>
                    <w:right w:val="single" w:color="auto" w:sz="4" w:space="0"/>
                  </w:tcBorders>
                  <w:vAlign w:val="center"/>
                </w:tcPr>
                <w:p w14:paraId="5B7A59B8">
                  <w:pPr>
                    <w:pStyle w:val="65"/>
                    <w:rPr>
                      <w:color w:val="auto"/>
                    </w:rPr>
                  </w:pPr>
                  <w:r>
                    <w:rPr>
                      <w:color w:val="auto"/>
                    </w:rPr>
                    <w:t>位于1#光伏阵列东北侧52m，距箱变最近距离178m</w:t>
                  </w:r>
                </w:p>
              </w:tc>
              <w:tc>
                <w:tcPr>
                  <w:tcW w:w="641" w:type="pct"/>
                  <w:tcBorders>
                    <w:top w:val="nil"/>
                    <w:left w:val="nil"/>
                    <w:bottom w:val="single" w:color="auto" w:sz="4" w:space="0"/>
                    <w:right w:val="single" w:color="auto" w:sz="4" w:space="0"/>
                  </w:tcBorders>
                  <w:vAlign w:val="center"/>
                </w:tcPr>
                <w:p w14:paraId="7FD0C3DA">
                  <w:pPr>
                    <w:pStyle w:val="65"/>
                    <w:rPr>
                      <w:color w:val="auto"/>
                    </w:rPr>
                  </w:pPr>
                  <w:r>
                    <w:rPr>
                      <w:color w:val="auto"/>
                    </w:rPr>
                    <w:t>方阵S22东侧52米，距箱变最近距离164m，距新建道路紧邻</w:t>
                  </w:r>
                </w:p>
              </w:tc>
              <w:tc>
                <w:tcPr>
                  <w:tcW w:w="367" w:type="pct"/>
                  <w:vMerge w:val="continue"/>
                  <w:tcBorders>
                    <w:top w:val="nil"/>
                    <w:left w:val="single" w:color="auto" w:sz="4" w:space="0"/>
                    <w:bottom w:val="single" w:color="auto" w:sz="4" w:space="0"/>
                    <w:right w:val="single" w:color="auto" w:sz="4" w:space="0"/>
                  </w:tcBorders>
                  <w:vAlign w:val="center"/>
                </w:tcPr>
                <w:p w14:paraId="06F68480">
                  <w:pPr>
                    <w:pStyle w:val="65"/>
                    <w:rPr>
                      <w:color w:val="auto"/>
                    </w:rPr>
                  </w:pPr>
                </w:p>
              </w:tc>
            </w:tr>
            <w:tr w14:paraId="0300FBDB">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2376B1C5">
                  <w:pPr>
                    <w:pStyle w:val="65"/>
                    <w:rPr>
                      <w:color w:val="auto"/>
                    </w:rPr>
                  </w:pPr>
                </w:p>
              </w:tc>
              <w:tc>
                <w:tcPr>
                  <w:tcW w:w="486" w:type="pct"/>
                  <w:tcBorders>
                    <w:top w:val="nil"/>
                    <w:left w:val="nil"/>
                    <w:bottom w:val="single" w:color="auto" w:sz="4" w:space="0"/>
                    <w:right w:val="single" w:color="auto" w:sz="4" w:space="0"/>
                  </w:tcBorders>
                  <w:vAlign w:val="center"/>
                </w:tcPr>
                <w:p w14:paraId="1B8EA72A">
                  <w:pPr>
                    <w:pStyle w:val="65"/>
                    <w:rPr>
                      <w:color w:val="auto"/>
                    </w:rPr>
                  </w:pPr>
                  <w:r>
                    <w:rPr>
                      <w:color w:val="auto"/>
                    </w:rPr>
                    <w:t>下柏枝</w:t>
                  </w:r>
                </w:p>
              </w:tc>
              <w:tc>
                <w:tcPr>
                  <w:tcW w:w="430" w:type="pct"/>
                  <w:tcBorders>
                    <w:top w:val="nil"/>
                    <w:left w:val="nil"/>
                    <w:bottom w:val="single" w:color="auto" w:sz="4" w:space="0"/>
                    <w:right w:val="single" w:color="auto" w:sz="4" w:space="0"/>
                  </w:tcBorders>
                  <w:vAlign w:val="center"/>
                </w:tcPr>
                <w:p w14:paraId="4AAFAC81">
                  <w:pPr>
                    <w:pStyle w:val="65"/>
                    <w:rPr>
                      <w:color w:val="auto"/>
                    </w:rPr>
                  </w:pPr>
                  <w:r>
                    <w:rPr>
                      <w:color w:val="auto"/>
                    </w:rPr>
                    <w:t>下柏枝</w:t>
                  </w:r>
                </w:p>
              </w:tc>
              <w:tc>
                <w:tcPr>
                  <w:tcW w:w="642" w:type="pct"/>
                  <w:tcBorders>
                    <w:top w:val="nil"/>
                    <w:left w:val="nil"/>
                    <w:bottom w:val="single" w:color="auto" w:sz="4" w:space="0"/>
                    <w:right w:val="single" w:color="auto" w:sz="4" w:space="0"/>
                  </w:tcBorders>
                  <w:vAlign w:val="center"/>
                </w:tcPr>
                <w:p w14:paraId="5079BE2F">
                  <w:pPr>
                    <w:pStyle w:val="65"/>
                    <w:rPr>
                      <w:color w:val="auto"/>
                    </w:rPr>
                  </w:pPr>
                  <w:r>
                    <w:rPr>
                      <w:color w:val="auto"/>
                    </w:rPr>
                    <w:t>100°26′28.886″</w:t>
                  </w:r>
                </w:p>
              </w:tc>
              <w:tc>
                <w:tcPr>
                  <w:tcW w:w="642" w:type="pct"/>
                  <w:tcBorders>
                    <w:top w:val="nil"/>
                    <w:left w:val="nil"/>
                    <w:bottom w:val="single" w:color="auto" w:sz="4" w:space="0"/>
                    <w:right w:val="single" w:color="auto" w:sz="4" w:space="0"/>
                  </w:tcBorders>
                  <w:vAlign w:val="center"/>
                </w:tcPr>
                <w:p w14:paraId="6981EB6F">
                  <w:pPr>
                    <w:pStyle w:val="65"/>
                    <w:rPr>
                      <w:color w:val="auto"/>
                    </w:rPr>
                  </w:pPr>
                  <w:r>
                    <w:rPr>
                      <w:color w:val="auto"/>
                    </w:rPr>
                    <w:t>24°45′23.639″</w:t>
                  </w:r>
                </w:p>
              </w:tc>
              <w:tc>
                <w:tcPr>
                  <w:tcW w:w="688" w:type="pct"/>
                  <w:tcBorders>
                    <w:top w:val="nil"/>
                    <w:left w:val="nil"/>
                    <w:bottom w:val="single" w:color="auto" w:sz="4" w:space="0"/>
                    <w:right w:val="single" w:color="auto" w:sz="4" w:space="0"/>
                  </w:tcBorders>
                  <w:vAlign w:val="center"/>
                </w:tcPr>
                <w:p w14:paraId="383203C6">
                  <w:pPr>
                    <w:pStyle w:val="65"/>
                    <w:rPr>
                      <w:color w:val="auto"/>
                    </w:rPr>
                  </w:pPr>
                  <w:r>
                    <w:rPr>
                      <w:color w:val="auto"/>
                    </w:rPr>
                    <w:t>4户17人</w:t>
                  </w:r>
                </w:p>
              </w:tc>
              <w:tc>
                <w:tcPr>
                  <w:tcW w:w="691" w:type="pct"/>
                  <w:tcBorders>
                    <w:top w:val="nil"/>
                    <w:left w:val="nil"/>
                    <w:bottom w:val="single" w:color="auto" w:sz="4" w:space="0"/>
                    <w:right w:val="single" w:color="auto" w:sz="4" w:space="0"/>
                  </w:tcBorders>
                  <w:vAlign w:val="center"/>
                </w:tcPr>
                <w:p w14:paraId="71C7A5D5">
                  <w:pPr>
                    <w:pStyle w:val="65"/>
                    <w:rPr>
                      <w:color w:val="auto"/>
                    </w:rPr>
                  </w:pPr>
                  <w:r>
                    <w:rPr>
                      <w:color w:val="auto"/>
                    </w:rPr>
                    <w:t>位于4#光伏阵列北侧171m，距箱变最近距离403m</w:t>
                  </w:r>
                </w:p>
              </w:tc>
              <w:tc>
                <w:tcPr>
                  <w:tcW w:w="641" w:type="pct"/>
                  <w:tcBorders>
                    <w:top w:val="nil"/>
                    <w:left w:val="nil"/>
                    <w:bottom w:val="single" w:color="auto" w:sz="4" w:space="0"/>
                    <w:right w:val="single" w:color="auto" w:sz="4" w:space="0"/>
                  </w:tcBorders>
                  <w:vAlign w:val="center"/>
                </w:tcPr>
                <w:p w14:paraId="1331D398">
                  <w:pPr>
                    <w:pStyle w:val="65"/>
                    <w:rPr>
                      <w:color w:val="auto"/>
                    </w:rPr>
                  </w:pPr>
                  <w:r>
                    <w:rPr>
                      <w:color w:val="auto"/>
                    </w:rPr>
                    <w:t>方阵S19北侧170米，距新建道路约338m</w:t>
                  </w:r>
                </w:p>
              </w:tc>
              <w:tc>
                <w:tcPr>
                  <w:tcW w:w="367" w:type="pct"/>
                  <w:vMerge w:val="continue"/>
                  <w:tcBorders>
                    <w:top w:val="nil"/>
                    <w:left w:val="single" w:color="auto" w:sz="4" w:space="0"/>
                    <w:bottom w:val="single" w:color="auto" w:sz="4" w:space="0"/>
                    <w:right w:val="single" w:color="auto" w:sz="4" w:space="0"/>
                  </w:tcBorders>
                  <w:vAlign w:val="center"/>
                </w:tcPr>
                <w:p w14:paraId="798F2164">
                  <w:pPr>
                    <w:pStyle w:val="65"/>
                    <w:rPr>
                      <w:color w:val="auto"/>
                    </w:rPr>
                  </w:pPr>
                </w:p>
              </w:tc>
            </w:tr>
            <w:tr w14:paraId="38C7BE0F">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57CAC438">
                  <w:pPr>
                    <w:pStyle w:val="65"/>
                    <w:rPr>
                      <w:color w:val="auto"/>
                    </w:rPr>
                  </w:pPr>
                </w:p>
              </w:tc>
              <w:tc>
                <w:tcPr>
                  <w:tcW w:w="486" w:type="pct"/>
                  <w:tcBorders>
                    <w:top w:val="nil"/>
                    <w:left w:val="nil"/>
                    <w:bottom w:val="single" w:color="auto" w:sz="4" w:space="0"/>
                    <w:right w:val="single" w:color="auto" w:sz="4" w:space="0"/>
                  </w:tcBorders>
                  <w:vAlign w:val="center"/>
                </w:tcPr>
                <w:p w14:paraId="18D67303">
                  <w:pPr>
                    <w:pStyle w:val="65"/>
                    <w:rPr>
                      <w:color w:val="auto"/>
                    </w:rPr>
                  </w:pPr>
                  <w:r>
                    <w:rPr>
                      <w:color w:val="auto"/>
                    </w:rPr>
                    <w:t>六保村</w:t>
                  </w:r>
                </w:p>
              </w:tc>
              <w:tc>
                <w:tcPr>
                  <w:tcW w:w="430" w:type="pct"/>
                  <w:tcBorders>
                    <w:top w:val="nil"/>
                    <w:left w:val="nil"/>
                    <w:bottom w:val="single" w:color="auto" w:sz="4" w:space="0"/>
                    <w:right w:val="single" w:color="auto" w:sz="4" w:space="0"/>
                  </w:tcBorders>
                  <w:vAlign w:val="center"/>
                </w:tcPr>
                <w:p w14:paraId="7606FC53">
                  <w:pPr>
                    <w:pStyle w:val="65"/>
                    <w:rPr>
                      <w:color w:val="auto"/>
                    </w:rPr>
                  </w:pPr>
                  <w:r>
                    <w:rPr>
                      <w:color w:val="auto"/>
                    </w:rPr>
                    <w:t>/</w:t>
                  </w:r>
                </w:p>
              </w:tc>
              <w:tc>
                <w:tcPr>
                  <w:tcW w:w="642" w:type="pct"/>
                  <w:tcBorders>
                    <w:top w:val="nil"/>
                    <w:left w:val="nil"/>
                    <w:bottom w:val="single" w:color="auto" w:sz="4" w:space="0"/>
                    <w:right w:val="single" w:color="auto" w:sz="4" w:space="0"/>
                  </w:tcBorders>
                  <w:vAlign w:val="center"/>
                </w:tcPr>
                <w:p w14:paraId="050AEBE0">
                  <w:pPr>
                    <w:pStyle w:val="65"/>
                    <w:rPr>
                      <w:color w:val="auto"/>
                    </w:rPr>
                  </w:pPr>
                  <w:r>
                    <w:rPr>
                      <w:color w:val="auto"/>
                    </w:rPr>
                    <w:t>100°25′26.894″</w:t>
                  </w:r>
                </w:p>
              </w:tc>
              <w:tc>
                <w:tcPr>
                  <w:tcW w:w="642" w:type="pct"/>
                  <w:tcBorders>
                    <w:top w:val="nil"/>
                    <w:left w:val="nil"/>
                    <w:bottom w:val="single" w:color="auto" w:sz="4" w:space="0"/>
                    <w:right w:val="single" w:color="auto" w:sz="4" w:space="0"/>
                  </w:tcBorders>
                  <w:vAlign w:val="center"/>
                </w:tcPr>
                <w:p w14:paraId="0F079D43">
                  <w:pPr>
                    <w:pStyle w:val="65"/>
                    <w:rPr>
                      <w:color w:val="auto"/>
                    </w:rPr>
                  </w:pPr>
                  <w:r>
                    <w:rPr>
                      <w:color w:val="auto"/>
                    </w:rPr>
                    <w:t>24°46′28.032″</w:t>
                  </w:r>
                </w:p>
              </w:tc>
              <w:tc>
                <w:tcPr>
                  <w:tcW w:w="688" w:type="pct"/>
                  <w:tcBorders>
                    <w:top w:val="nil"/>
                    <w:left w:val="nil"/>
                    <w:bottom w:val="single" w:color="auto" w:sz="4" w:space="0"/>
                    <w:right w:val="single" w:color="auto" w:sz="4" w:space="0"/>
                  </w:tcBorders>
                  <w:vAlign w:val="center"/>
                </w:tcPr>
                <w:p w14:paraId="3228BF40">
                  <w:pPr>
                    <w:pStyle w:val="65"/>
                    <w:rPr>
                      <w:color w:val="auto"/>
                    </w:rPr>
                  </w:pPr>
                  <w:r>
                    <w:rPr>
                      <w:color w:val="auto"/>
                    </w:rPr>
                    <w:t>46户161人</w:t>
                  </w:r>
                </w:p>
              </w:tc>
              <w:tc>
                <w:tcPr>
                  <w:tcW w:w="691" w:type="pct"/>
                  <w:tcBorders>
                    <w:top w:val="nil"/>
                    <w:left w:val="nil"/>
                    <w:bottom w:val="single" w:color="auto" w:sz="4" w:space="0"/>
                    <w:right w:val="single" w:color="auto" w:sz="4" w:space="0"/>
                  </w:tcBorders>
                  <w:vAlign w:val="center"/>
                </w:tcPr>
                <w:p w14:paraId="603DBEA8">
                  <w:pPr>
                    <w:pStyle w:val="65"/>
                    <w:rPr>
                      <w:color w:val="auto"/>
                    </w:rPr>
                  </w:pPr>
                  <w:r>
                    <w:rPr>
                      <w:color w:val="auto"/>
                    </w:rPr>
                    <w:t>位于8#光伏阵列东南侧，紧邻，距箱变最近距离6m</w:t>
                  </w:r>
                </w:p>
              </w:tc>
              <w:tc>
                <w:tcPr>
                  <w:tcW w:w="641" w:type="pct"/>
                  <w:tcBorders>
                    <w:top w:val="nil"/>
                    <w:left w:val="nil"/>
                    <w:bottom w:val="single" w:color="auto" w:sz="4" w:space="0"/>
                    <w:right w:val="single" w:color="auto" w:sz="4" w:space="0"/>
                  </w:tcBorders>
                  <w:vAlign w:val="center"/>
                </w:tcPr>
                <w:p w14:paraId="3BC82D04">
                  <w:pPr>
                    <w:pStyle w:val="65"/>
                    <w:rPr>
                      <w:color w:val="auto"/>
                    </w:rPr>
                  </w:pPr>
                  <w:r>
                    <w:rPr>
                      <w:color w:val="auto"/>
                    </w:rPr>
                    <w:t>/</w:t>
                  </w:r>
                </w:p>
              </w:tc>
              <w:tc>
                <w:tcPr>
                  <w:tcW w:w="367" w:type="pct"/>
                  <w:vMerge w:val="restart"/>
                  <w:tcBorders>
                    <w:top w:val="nil"/>
                    <w:left w:val="single" w:color="auto" w:sz="4" w:space="0"/>
                    <w:bottom w:val="single" w:color="auto" w:sz="4" w:space="0"/>
                    <w:right w:val="single" w:color="auto" w:sz="4" w:space="0"/>
                  </w:tcBorders>
                  <w:vAlign w:val="center"/>
                </w:tcPr>
                <w:p w14:paraId="0973C135">
                  <w:pPr>
                    <w:pStyle w:val="65"/>
                    <w:rPr>
                      <w:color w:val="auto"/>
                    </w:rPr>
                  </w:pPr>
                  <w:r>
                    <w:rPr>
                      <w:color w:val="auto"/>
                    </w:rPr>
                    <w:t>取消</w:t>
                  </w:r>
                </w:p>
              </w:tc>
            </w:tr>
            <w:tr w14:paraId="750B4897">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61D31AF1">
                  <w:pPr>
                    <w:pStyle w:val="65"/>
                    <w:rPr>
                      <w:color w:val="auto"/>
                    </w:rPr>
                  </w:pPr>
                </w:p>
              </w:tc>
              <w:tc>
                <w:tcPr>
                  <w:tcW w:w="486" w:type="pct"/>
                  <w:tcBorders>
                    <w:top w:val="nil"/>
                    <w:left w:val="nil"/>
                    <w:bottom w:val="single" w:color="auto" w:sz="4" w:space="0"/>
                    <w:right w:val="single" w:color="auto" w:sz="4" w:space="0"/>
                  </w:tcBorders>
                  <w:vAlign w:val="center"/>
                </w:tcPr>
                <w:p w14:paraId="7ABD730D">
                  <w:pPr>
                    <w:pStyle w:val="65"/>
                    <w:rPr>
                      <w:color w:val="auto"/>
                    </w:rPr>
                  </w:pPr>
                  <w:r>
                    <w:rPr>
                      <w:color w:val="auto"/>
                    </w:rPr>
                    <w:t>六保村散户1</w:t>
                  </w:r>
                </w:p>
              </w:tc>
              <w:tc>
                <w:tcPr>
                  <w:tcW w:w="430" w:type="pct"/>
                  <w:tcBorders>
                    <w:top w:val="nil"/>
                    <w:left w:val="nil"/>
                    <w:bottom w:val="single" w:color="auto" w:sz="4" w:space="0"/>
                    <w:right w:val="single" w:color="auto" w:sz="4" w:space="0"/>
                  </w:tcBorders>
                  <w:vAlign w:val="center"/>
                </w:tcPr>
                <w:p w14:paraId="50F3C251">
                  <w:pPr>
                    <w:pStyle w:val="65"/>
                    <w:rPr>
                      <w:color w:val="auto"/>
                    </w:rPr>
                  </w:pPr>
                  <w:r>
                    <w:rPr>
                      <w:color w:val="auto"/>
                    </w:rPr>
                    <w:t>/</w:t>
                  </w:r>
                </w:p>
              </w:tc>
              <w:tc>
                <w:tcPr>
                  <w:tcW w:w="642" w:type="pct"/>
                  <w:tcBorders>
                    <w:top w:val="nil"/>
                    <w:left w:val="nil"/>
                    <w:bottom w:val="single" w:color="auto" w:sz="4" w:space="0"/>
                    <w:right w:val="single" w:color="auto" w:sz="4" w:space="0"/>
                  </w:tcBorders>
                  <w:vAlign w:val="center"/>
                </w:tcPr>
                <w:p w14:paraId="32727C5C">
                  <w:pPr>
                    <w:pStyle w:val="65"/>
                    <w:rPr>
                      <w:color w:val="auto"/>
                    </w:rPr>
                  </w:pPr>
                  <w:r>
                    <w:rPr>
                      <w:color w:val="auto"/>
                    </w:rPr>
                    <w:t>100°25′20.869″</w:t>
                  </w:r>
                </w:p>
              </w:tc>
              <w:tc>
                <w:tcPr>
                  <w:tcW w:w="642" w:type="pct"/>
                  <w:tcBorders>
                    <w:top w:val="nil"/>
                    <w:left w:val="nil"/>
                    <w:bottom w:val="single" w:color="auto" w:sz="4" w:space="0"/>
                    <w:right w:val="single" w:color="auto" w:sz="4" w:space="0"/>
                  </w:tcBorders>
                  <w:vAlign w:val="center"/>
                </w:tcPr>
                <w:p w14:paraId="6D19B494">
                  <w:pPr>
                    <w:pStyle w:val="65"/>
                    <w:rPr>
                      <w:color w:val="auto"/>
                    </w:rPr>
                  </w:pPr>
                  <w:r>
                    <w:rPr>
                      <w:color w:val="auto"/>
                    </w:rPr>
                    <w:t>24°46′34.077″</w:t>
                  </w:r>
                </w:p>
              </w:tc>
              <w:tc>
                <w:tcPr>
                  <w:tcW w:w="688" w:type="pct"/>
                  <w:tcBorders>
                    <w:top w:val="nil"/>
                    <w:left w:val="nil"/>
                    <w:bottom w:val="single" w:color="auto" w:sz="4" w:space="0"/>
                    <w:right w:val="single" w:color="auto" w:sz="4" w:space="0"/>
                  </w:tcBorders>
                  <w:vAlign w:val="center"/>
                </w:tcPr>
                <w:p w14:paraId="0E3185D5">
                  <w:pPr>
                    <w:pStyle w:val="65"/>
                    <w:rPr>
                      <w:color w:val="auto"/>
                    </w:rPr>
                  </w:pPr>
                  <w:r>
                    <w:rPr>
                      <w:color w:val="auto"/>
                    </w:rPr>
                    <w:t>1户4人</w:t>
                  </w:r>
                </w:p>
              </w:tc>
              <w:tc>
                <w:tcPr>
                  <w:tcW w:w="691" w:type="pct"/>
                  <w:tcBorders>
                    <w:top w:val="nil"/>
                    <w:left w:val="nil"/>
                    <w:bottom w:val="single" w:color="auto" w:sz="4" w:space="0"/>
                    <w:right w:val="single" w:color="auto" w:sz="4" w:space="0"/>
                  </w:tcBorders>
                  <w:vAlign w:val="center"/>
                </w:tcPr>
                <w:p w14:paraId="1CE7FDCB">
                  <w:pPr>
                    <w:pStyle w:val="65"/>
                    <w:rPr>
                      <w:color w:val="auto"/>
                    </w:rPr>
                  </w:pPr>
                  <w:r>
                    <w:rPr>
                      <w:color w:val="auto"/>
                    </w:rPr>
                    <w:t>位于7#光伏阵列南侧10m，距箱变最近距离6m</w:t>
                  </w:r>
                </w:p>
              </w:tc>
              <w:tc>
                <w:tcPr>
                  <w:tcW w:w="641" w:type="pct"/>
                  <w:tcBorders>
                    <w:top w:val="nil"/>
                    <w:left w:val="nil"/>
                    <w:bottom w:val="single" w:color="auto" w:sz="4" w:space="0"/>
                    <w:right w:val="single" w:color="auto" w:sz="4" w:space="0"/>
                  </w:tcBorders>
                  <w:vAlign w:val="center"/>
                </w:tcPr>
                <w:p w14:paraId="0B001E2E">
                  <w:pPr>
                    <w:pStyle w:val="65"/>
                    <w:rPr>
                      <w:color w:val="auto"/>
                    </w:rPr>
                  </w:pPr>
                  <w:r>
                    <w:rPr>
                      <w:color w:val="auto"/>
                    </w:rPr>
                    <w:t>/</w:t>
                  </w:r>
                </w:p>
              </w:tc>
              <w:tc>
                <w:tcPr>
                  <w:tcW w:w="367" w:type="pct"/>
                  <w:vMerge w:val="continue"/>
                  <w:tcBorders>
                    <w:top w:val="nil"/>
                    <w:left w:val="single" w:color="auto" w:sz="4" w:space="0"/>
                    <w:bottom w:val="single" w:color="auto" w:sz="4" w:space="0"/>
                    <w:right w:val="single" w:color="auto" w:sz="4" w:space="0"/>
                  </w:tcBorders>
                  <w:vAlign w:val="center"/>
                </w:tcPr>
                <w:p w14:paraId="1E927E7D">
                  <w:pPr>
                    <w:pStyle w:val="65"/>
                    <w:rPr>
                      <w:color w:val="auto"/>
                    </w:rPr>
                  </w:pPr>
                </w:p>
              </w:tc>
            </w:tr>
            <w:tr w14:paraId="5A53AEAA">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4CECB820">
                  <w:pPr>
                    <w:pStyle w:val="65"/>
                    <w:rPr>
                      <w:color w:val="auto"/>
                    </w:rPr>
                  </w:pPr>
                </w:p>
              </w:tc>
              <w:tc>
                <w:tcPr>
                  <w:tcW w:w="486" w:type="pct"/>
                  <w:tcBorders>
                    <w:top w:val="nil"/>
                    <w:left w:val="nil"/>
                    <w:bottom w:val="single" w:color="auto" w:sz="4" w:space="0"/>
                    <w:right w:val="single" w:color="auto" w:sz="4" w:space="0"/>
                  </w:tcBorders>
                  <w:vAlign w:val="center"/>
                </w:tcPr>
                <w:p w14:paraId="3060736D">
                  <w:pPr>
                    <w:pStyle w:val="65"/>
                    <w:rPr>
                      <w:color w:val="auto"/>
                    </w:rPr>
                  </w:pPr>
                  <w:r>
                    <w:rPr>
                      <w:color w:val="auto"/>
                    </w:rPr>
                    <w:t>六保村散户2</w:t>
                  </w:r>
                </w:p>
              </w:tc>
              <w:tc>
                <w:tcPr>
                  <w:tcW w:w="430" w:type="pct"/>
                  <w:tcBorders>
                    <w:top w:val="nil"/>
                    <w:left w:val="nil"/>
                    <w:bottom w:val="single" w:color="auto" w:sz="4" w:space="0"/>
                    <w:right w:val="single" w:color="auto" w:sz="4" w:space="0"/>
                  </w:tcBorders>
                  <w:vAlign w:val="center"/>
                </w:tcPr>
                <w:p w14:paraId="7F38E13A">
                  <w:pPr>
                    <w:pStyle w:val="65"/>
                    <w:rPr>
                      <w:color w:val="auto"/>
                    </w:rPr>
                  </w:pPr>
                  <w:r>
                    <w:rPr>
                      <w:color w:val="auto"/>
                    </w:rPr>
                    <w:t>/</w:t>
                  </w:r>
                </w:p>
              </w:tc>
              <w:tc>
                <w:tcPr>
                  <w:tcW w:w="642" w:type="pct"/>
                  <w:tcBorders>
                    <w:top w:val="nil"/>
                    <w:left w:val="nil"/>
                    <w:bottom w:val="single" w:color="auto" w:sz="4" w:space="0"/>
                    <w:right w:val="single" w:color="auto" w:sz="4" w:space="0"/>
                  </w:tcBorders>
                  <w:vAlign w:val="center"/>
                </w:tcPr>
                <w:p w14:paraId="44257CF5">
                  <w:pPr>
                    <w:pStyle w:val="65"/>
                    <w:rPr>
                      <w:color w:val="auto"/>
                    </w:rPr>
                  </w:pPr>
                  <w:r>
                    <w:rPr>
                      <w:color w:val="auto"/>
                    </w:rPr>
                    <w:t>100°25′16.079″</w:t>
                  </w:r>
                </w:p>
              </w:tc>
              <w:tc>
                <w:tcPr>
                  <w:tcW w:w="642" w:type="pct"/>
                  <w:tcBorders>
                    <w:top w:val="nil"/>
                    <w:left w:val="nil"/>
                    <w:bottom w:val="single" w:color="auto" w:sz="4" w:space="0"/>
                    <w:right w:val="single" w:color="auto" w:sz="4" w:space="0"/>
                  </w:tcBorders>
                  <w:vAlign w:val="center"/>
                </w:tcPr>
                <w:p w14:paraId="6D37ABD3">
                  <w:pPr>
                    <w:pStyle w:val="65"/>
                    <w:rPr>
                      <w:color w:val="auto"/>
                    </w:rPr>
                  </w:pPr>
                  <w:r>
                    <w:rPr>
                      <w:color w:val="auto"/>
                    </w:rPr>
                    <w:t>24°46′26.352″</w:t>
                  </w:r>
                </w:p>
              </w:tc>
              <w:tc>
                <w:tcPr>
                  <w:tcW w:w="688" w:type="pct"/>
                  <w:tcBorders>
                    <w:top w:val="nil"/>
                    <w:left w:val="nil"/>
                    <w:bottom w:val="single" w:color="auto" w:sz="4" w:space="0"/>
                    <w:right w:val="single" w:color="auto" w:sz="4" w:space="0"/>
                  </w:tcBorders>
                  <w:vAlign w:val="center"/>
                </w:tcPr>
                <w:p w14:paraId="0BC7C247">
                  <w:pPr>
                    <w:pStyle w:val="65"/>
                    <w:rPr>
                      <w:color w:val="auto"/>
                    </w:rPr>
                  </w:pPr>
                  <w:r>
                    <w:rPr>
                      <w:color w:val="auto"/>
                    </w:rPr>
                    <w:t>2户9人</w:t>
                  </w:r>
                </w:p>
              </w:tc>
              <w:tc>
                <w:tcPr>
                  <w:tcW w:w="691" w:type="pct"/>
                  <w:tcBorders>
                    <w:top w:val="nil"/>
                    <w:left w:val="nil"/>
                    <w:bottom w:val="single" w:color="auto" w:sz="4" w:space="0"/>
                    <w:right w:val="single" w:color="auto" w:sz="4" w:space="0"/>
                  </w:tcBorders>
                  <w:vAlign w:val="center"/>
                </w:tcPr>
                <w:p w14:paraId="0974E4C1">
                  <w:pPr>
                    <w:pStyle w:val="65"/>
                    <w:rPr>
                      <w:color w:val="auto"/>
                    </w:rPr>
                  </w:pPr>
                  <w:r>
                    <w:rPr>
                      <w:color w:val="auto"/>
                    </w:rPr>
                    <w:t>位于7#光伏阵列南侧20m，距箱变最近距离35m</w:t>
                  </w:r>
                </w:p>
              </w:tc>
              <w:tc>
                <w:tcPr>
                  <w:tcW w:w="641" w:type="pct"/>
                  <w:tcBorders>
                    <w:top w:val="nil"/>
                    <w:left w:val="nil"/>
                    <w:bottom w:val="single" w:color="auto" w:sz="4" w:space="0"/>
                    <w:right w:val="single" w:color="auto" w:sz="4" w:space="0"/>
                  </w:tcBorders>
                  <w:vAlign w:val="center"/>
                </w:tcPr>
                <w:p w14:paraId="6478741D">
                  <w:pPr>
                    <w:pStyle w:val="65"/>
                    <w:rPr>
                      <w:color w:val="auto"/>
                    </w:rPr>
                  </w:pPr>
                  <w:r>
                    <w:rPr>
                      <w:color w:val="auto"/>
                    </w:rPr>
                    <w:t>/</w:t>
                  </w:r>
                </w:p>
              </w:tc>
              <w:tc>
                <w:tcPr>
                  <w:tcW w:w="367" w:type="pct"/>
                  <w:vMerge w:val="continue"/>
                  <w:tcBorders>
                    <w:top w:val="nil"/>
                    <w:left w:val="single" w:color="auto" w:sz="4" w:space="0"/>
                    <w:bottom w:val="single" w:color="auto" w:sz="4" w:space="0"/>
                    <w:right w:val="single" w:color="auto" w:sz="4" w:space="0"/>
                  </w:tcBorders>
                  <w:vAlign w:val="center"/>
                </w:tcPr>
                <w:p w14:paraId="7C0B589E">
                  <w:pPr>
                    <w:pStyle w:val="65"/>
                    <w:rPr>
                      <w:color w:val="auto"/>
                    </w:rPr>
                  </w:pPr>
                </w:p>
              </w:tc>
            </w:tr>
            <w:tr w14:paraId="3FD876BE">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5760A6F8">
                  <w:pPr>
                    <w:pStyle w:val="65"/>
                    <w:rPr>
                      <w:color w:val="auto"/>
                    </w:rPr>
                  </w:pPr>
                </w:p>
              </w:tc>
              <w:tc>
                <w:tcPr>
                  <w:tcW w:w="486" w:type="pct"/>
                  <w:tcBorders>
                    <w:top w:val="nil"/>
                    <w:left w:val="nil"/>
                    <w:bottom w:val="single" w:color="auto" w:sz="4" w:space="0"/>
                    <w:right w:val="single" w:color="auto" w:sz="4" w:space="0"/>
                  </w:tcBorders>
                  <w:vAlign w:val="center"/>
                </w:tcPr>
                <w:p w14:paraId="31F2518F">
                  <w:pPr>
                    <w:pStyle w:val="65"/>
                    <w:rPr>
                      <w:color w:val="auto"/>
                    </w:rPr>
                  </w:pPr>
                  <w:r>
                    <w:rPr>
                      <w:color w:val="auto"/>
                    </w:rPr>
                    <w:t>六保村散户3</w:t>
                  </w:r>
                </w:p>
              </w:tc>
              <w:tc>
                <w:tcPr>
                  <w:tcW w:w="430" w:type="pct"/>
                  <w:tcBorders>
                    <w:top w:val="nil"/>
                    <w:left w:val="nil"/>
                    <w:bottom w:val="single" w:color="auto" w:sz="4" w:space="0"/>
                    <w:right w:val="single" w:color="auto" w:sz="4" w:space="0"/>
                  </w:tcBorders>
                  <w:vAlign w:val="center"/>
                </w:tcPr>
                <w:p w14:paraId="382FB025">
                  <w:pPr>
                    <w:pStyle w:val="65"/>
                    <w:rPr>
                      <w:color w:val="auto"/>
                    </w:rPr>
                  </w:pPr>
                  <w:r>
                    <w:rPr>
                      <w:color w:val="auto"/>
                    </w:rPr>
                    <w:t>/</w:t>
                  </w:r>
                </w:p>
              </w:tc>
              <w:tc>
                <w:tcPr>
                  <w:tcW w:w="642" w:type="pct"/>
                  <w:tcBorders>
                    <w:top w:val="nil"/>
                    <w:left w:val="nil"/>
                    <w:bottom w:val="single" w:color="auto" w:sz="4" w:space="0"/>
                    <w:right w:val="single" w:color="auto" w:sz="4" w:space="0"/>
                  </w:tcBorders>
                  <w:vAlign w:val="center"/>
                </w:tcPr>
                <w:p w14:paraId="18854313">
                  <w:pPr>
                    <w:pStyle w:val="65"/>
                    <w:rPr>
                      <w:color w:val="auto"/>
                    </w:rPr>
                  </w:pPr>
                  <w:r>
                    <w:rPr>
                      <w:color w:val="auto"/>
                    </w:rPr>
                    <w:t>100°25′14.399″</w:t>
                  </w:r>
                </w:p>
              </w:tc>
              <w:tc>
                <w:tcPr>
                  <w:tcW w:w="642" w:type="pct"/>
                  <w:tcBorders>
                    <w:top w:val="nil"/>
                    <w:left w:val="nil"/>
                    <w:bottom w:val="single" w:color="auto" w:sz="4" w:space="0"/>
                    <w:right w:val="single" w:color="auto" w:sz="4" w:space="0"/>
                  </w:tcBorders>
                  <w:vAlign w:val="center"/>
                </w:tcPr>
                <w:p w14:paraId="4B6AFC41">
                  <w:pPr>
                    <w:pStyle w:val="65"/>
                    <w:rPr>
                      <w:color w:val="auto"/>
                    </w:rPr>
                  </w:pPr>
                  <w:r>
                    <w:rPr>
                      <w:color w:val="auto"/>
                    </w:rPr>
                    <w:t>24°46′21.630″</w:t>
                  </w:r>
                </w:p>
              </w:tc>
              <w:tc>
                <w:tcPr>
                  <w:tcW w:w="688" w:type="pct"/>
                  <w:tcBorders>
                    <w:top w:val="nil"/>
                    <w:left w:val="nil"/>
                    <w:bottom w:val="single" w:color="auto" w:sz="4" w:space="0"/>
                    <w:right w:val="single" w:color="auto" w:sz="4" w:space="0"/>
                  </w:tcBorders>
                  <w:vAlign w:val="center"/>
                </w:tcPr>
                <w:p w14:paraId="625C26F9">
                  <w:pPr>
                    <w:pStyle w:val="65"/>
                    <w:rPr>
                      <w:color w:val="auto"/>
                    </w:rPr>
                  </w:pPr>
                  <w:r>
                    <w:rPr>
                      <w:color w:val="auto"/>
                    </w:rPr>
                    <w:t>1户5人</w:t>
                  </w:r>
                </w:p>
              </w:tc>
              <w:tc>
                <w:tcPr>
                  <w:tcW w:w="691" w:type="pct"/>
                  <w:tcBorders>
                    <w:top w:val="nil"/>
                    <w:left w:val="nil"/>
                    <w:bottom w:val="single" w:color="auto" w:sz="4" w:space="0"/>
                    <w:right w:val="single" w:color="auto" w:sz="4" w:space="0"/>
                  </w:tcBorders>
                  <w:vAlign w:val="center"/>
                </w:tcPr>
                <w:p w14:paraId="045004BD">
                  <w:pPr>
                    <w:pStyle w:val="65"/>
                    <w:rPr>
                      <w:color w:val="auto"/>
                    </w:rPr>
                  </w:pPr>
                  <w:r>
                    <w:rPr>
                      <w:color w:val="auto"/>
                    </w:rPr>
                    <w:t>位于6#光伏阵列西侧和东侧14m，距箱变最近距离55m</w:t>
                  </w:r>
                </w:p>
              </w:tc>
              <w:tc>
                <w:tcPr>
                  <w:tcW w:w="641" w:type="pct"/>
                  <w:tcBorders>
                    <w:top w:val="nil"/>
                    <w:left w:val="nil"/>
                    <w:bottom w:val="single" w:color="auto" w:sz="4" w:space="0"/>
                    <w:right w:val="single" w:color="auto" w:sz="4" w:space="0"/>
                  </w:tcBorders>
                  <w:vAlign w:val="center"/>
                </w:tcPr>
                <w:p w14:paraId="0CD277D1">
                  <w:pPr>
                    <w:pStyle w:val="65"/>
                    <w:rPr>
                      <w:color w:val="auto"/>
                    </w:rPr>
                  </w:pPr>
                  <w:r>
                    <w:rPr>
                      <w:color w:val="auto"/>
                    </w:rPr>
                    <w:t>/</w:t>
                  </w:r>
                </w:p>
              </w:tc>
              <w:tc>
                <w:tcPr>
                  <w:tcW w:w="367" w:type="pct"/>
                  <w:vMerge w:val="continue"/>
                  <w:tcBorders>
                    <w:top w:val="nil"/>
                    <w:left w:val="single" w:color="auto" w:sz="4" w:space="0"/>
                    <w:bottom w:val="single" w:color="auto" w:sz="4" w:space="0"/>
                    <w:right w:val="single" w:color="auto" w:sz="4" w:space="0"/>
                  </w:tcBorders>
                  <w:vAlign w:val="center"/>
                </w:tcPr>
                <w:p w14:paraId="014B4666">
                  <w:pPr>
                    <w:pStyle w:val="65"/>
                    <w:rPr>
                      <w:color w:val="auto"/>
                    </w:rPr>
                  </w:pPr>
                </w:p>
              </w:tc>
            </w:tr>
            <w:tr w14:paraId="428CDB9B">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6E503FFF">
                  <w:pPr>
                    <w:pStyle w:val="65"/>
                    <w:rPr>
                      <w:color w:val="auto"/>
                    </w:rPr>
                  </w:pPr>
                </w:p>
              </w:tc>
              <w:tc>
                <w:tcPr>
                  <w:tcW w:w="486" w:type="pct"/>
                  <w:tcBorders>
                    <w:top w:val="nil"/>
                    <w:left w:val="nil"/>
                    <w:bottom w:val="single" w:color="auto" w:sz="4" w:space="0"/>
                    <w:right w:val="single" w:color="auto" w:sz="4" w:space="0"/>
                  </w:tcBorders>
                  <w:vAlign w:val="center"/>
                </w:tcPr>
                <w:p w14:paraId="17B4114D">
                  <w:pPr>
                    <w:pStyle w:val="65"/>
                    <w:rPr>
                      <w:color w:val="auto"/>
                    </w:rPr>
                  </w:pPr>
                  <w:r>
                    <w:rPr>
                      <w:color w:val="auto"/>
                    </w:rPr>
                    <w:t>六保村散户4</w:t>
                  </w:r>
                </w:p>
              </w:tc>
              <w:tc>
                <w:tcPr>
                  <w:tcW w:w="430" w:type="pct"/>
                  <w:tcBorders>
                    <w:top w:val="nil"/>
                    <w:left w:val="nil"/>
                    <w:bottom w:val="single" w:color="auto" w:sz="4" w:space="0"/>
                    <w:right w:val="single" w:color="auto" w:sz="4" w:space="0"/>
                  </w:tcBorders>
                  <w:vAlign w:val="center"/>
                </w:tcPr>
                <w:p w14:paraId="72086D98">
                  <w:pPr>
                    <w:pStyle w:val="65"/>
                    <w:rPr>
                      <w:color w:val="auto"/>
                    </w:rPr>
                  </w:pPr>
                  <w:r>
                    <w:rPr>
                      <w:color w:val="auto"/>
                    </w:rPr>
                    <w:t>/</w:t>
                  </w:r>
                </w:p>
              </w:tc>
              <w:tc>
                <w:tcPr>
                  <w:tcW w:w="642" w:type="pct"/>
                  <w:tcBorders>
                    <w:top w:val="nil"/>
                    <w:left w:val="nil"/>
                    <w:bottom w:val="single" w:color="auto" w:sz="4" w:space="0"/>
                    <w:right w:val="single" w:color="auto" w:sz="4" w:space="0"/>
                  </w:tcBorders>
                  <w:vAlign w:val="center"/>
                </w:tcPr>
                <w:p w14:paraId="48614A04">
                  <w:pPr>
                    <w:pStyle w:val="65"/>
                    <w:rPr>
                      <w:color w:val="auto"/>
                    </w:rPr>
                  </w:pPr>
                  <w:r>
                    <w:rPr>
                      <w:color w:val="auto"/>
                    </w:rPr>
                    <w:t>100°25′20.859″</w:t>
                  </w:r>
                </w:p>
              </w:tc>
              <w:tc>
                <w:tcPr>
                  <w:tcW w:w="642" w:type="pct"/>
                  <w:tcBorders>
                    <w:top w:val="nil"/>
                    <w:left w:val="nil"/>
                    <w:bottom w:val="single" w:color="auto" w:sz="4" w:space="0"/>
                    <w:right w:val="single" w:color="auto" w:sz="4" w:space="0"/>
                  </w:tcBorders>
                  <w:vAlign w:val="center"/>
                </w:tcPr>
                <w:p w14:paraId="57616793">
                  <w:pPr>
                    <w:pStyle w:val="65"/>
                    <w:rPr>
                      <w:color w:val="auto"/>
                    </w:rPr>
                  </w:pPr>
                  <w:r>
                    <w:rPr>
                      <w:color w:val="auto"/>
                    </w:rPr>
                    <w:t>24°46′20.519″</w:t>
                  </w:r>
                </w:p>
              </w:tc>
              <w:tc>
                <w:tcPr>
                  <w:tcW w:w="688" w:type="pct"/>
                  <w:tcBorders>
                    <w:top w:val="nil"/>
                    <w:left w:val="nil"/>
                    <w:bottom w:val="single" w:color="auto" w:sz="4" w:space="0"/>
                    <w:right w:val="single" w:color="auto" w:sz="4" w:space="0"/>
                  </w:tcBorders>
                  <w:vAlign w:val="center"/>
                </w:tcPr>
                <w:p w14:paraId="4ECF505D">
                  <w:pPr>
                    <w:pStyle w:val="65"/>
                    <w:rPr>
                      <w:color w:val="auto"/>
                    </w:rPr>
                  </w:pPr>
                  <w:r>
                    <w:rPr>
                      <w:color w:val="auto"/>
                    </w:rPr>
                    <w:t>4户23人</w:t>
                  </w:r>
                </w:p>
              </w:tc>
              <w:tc>
                <w:tcPr>
                  <w:tcW w:w="691" w:type="pct"/>
                  <w:tcBorders>
                    <w:top w:val="nil"/>
                    <w:left w:val="nil"/>
                    <w:bottom w:val="single" w:color="auto" w:sz="4" w:space="0"/>
                    <w:right w:val="single" w:color="auto" w:sz="4" w:space="0"/>
                  </w:tcBorders>
                  <w:vAlign w:val="center"/>
                </w:tcPr>
                <w:p w14:paraId="024AD116">
                  <w:pPr>
                    <w:pStyle w:val="65"/>
                    <w:jc w:val="both"/>
                    <w:rPr>
                      <w:color w:val="auto"/>
                    </w:rPr>
                  </w:pPr>
                  <w:r>
                    <w:rPr>
                      <w:color w:val="auto"/>
                    </w:rPr>
                    <w:t>位于6#光伏阵列东侧7m，距箱变最近距离219m</w:t>
                  </w:r>
                </w:p>
              </w:tc>
              <w:tc>
                <w:tcPr>
                  <w:tcW w:w="641" w:type="pct"/>
                  <w:tcBorders>
                    <w:top w:val="nil"/>
                    <w:left w:val="nil"/>
                    <w:bottom w:val="single" w:color="auto" w:sz="4" w:space="0"/>
                    <w:right w:val="single" w:color="auto" w:sz="4" w:space="0"/>
                  </w:tcBorders>
                  <w:vAlign w:val="center"/>
                </w:tcPr>
                <w:p w14:paraId="0B43EF8B">
                  <w:pPr>
                    <w:pStyle w:val="65"/>
                    <w:rPr>
                      <w:color w:val="auto"/>
                    </w:rPr>
                  </w:pPr>
                  <w:r>
                    <w:rPr>
                      <w:color w:val="auto"/>
                    </w:rPr>
                    <w:t>/</w:t>
                  </w:r>
                </w:p>
              </w:tc>
              <w:tc>
                <w:tcPr>
                  <w:tcW w:w="367" w:type="pct"/>
                  <w:vMerge w:val="continue"/>
                  <w:tcBorders>
                    <w:top w:val="nil"/>
                    <w:left w:val="single" w:color="auto" w:sz="4" w:space="0"/>
                    <w:bottom w:val="single" w:color="auto" w:sz="4" w:space="0"/>
                    <w:right w:val="single" w:color="auto" w:sz="4" w:space="0"/>
                  </w:tcBorders>
                  <w:vAlign w:val="center"/>
                </w:tcPr>
                <w:p w14:paraId="484963F7">
                  <w:pPr>
                    <w:pStyle w:val="65"/>
                    <w:rPr>
                      <w:color w:val="auto"/>
                    </w:rPr>
                  </w:pPr>
                </w:p>
              </w:tc>
            </w:tr>
            <w:tr w14:paraId="0BEEAAB6">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30D18E8B">
                  <w:pPr>
                    <w:pStyle w:val="65"/>
                    <w:rPr>
                      <w:color w:val="auto"/>
                    </w:rPr>
                  </w:pPr>
                </w:p>
              </w:tc>
              <w:tc>
                <w:tcPr>
                  <w:tcW w:w="486" w:type="pct"/>
                  <w:tcBorders>
                    <w:top w:val="nil"/>
                    <w:left w:val="nil"/>
                    <w:bottom w:val="single" w:color="auto" w:sz="4" w:space="0"/>
                    <w:right w:val="single" w:color="auto" w:sz="4" w:space="0"/>
                  </w:tcBorders>
                  <w:vAlign w:val="center"/>
                </w:tcPr>
                <w:p w14:paraId="72563E0A">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7196F3C6">
                  <w:pPr>
                    <w:pStyle w:val="65"/>
                    <w:rPr>
                      <w:color w:val="auto"/>
                    </w:rPr>
                  </w:pPr>
                  <w:r>
                    <w:rPr>
                      <w:color w:val="auto"/>
                    </w:rPr>
                    <w:t>包茂村</w:t>
                  </w:r>
                </w:p>
              </w:tc>
              <w:tc>
                <w:tcPr>
                  <w:tcW w:w="642" w:type="pct"/>
                  <w:tcBorders>
                    <w:top w:val="nil"/>
                    <w:left w:val="nil"/>
                    <w:bottom w:val="single" w:color="auto" w:sz="4" w:space="0"/>
                    <w:right w:val="single" w:color="auto" w:sz="4" w:space="0"/>
                  </w:tcBorders>
                  <w:vAlign w:val="center"/>
                </w:tcPr>
                <w:p w14:paraId="4712F3BB">
                  <w:pPr>
                    <w:pStyle w:val="65"/>
                    <w:rPr>
                      <w:color w:val="auto"/>
                    </w:rPr>
                  </w:pPr>
                  <w:r>
                    <w:rPr>
                      <w:color w:val="auto"/>
                    </w:rPr>
                    <w:t>100°28′10.687″</w:t>
                  </w:r>
                </w:p>
              </w:tc>
              <w:tc>
                <w:tcPr>
                  <w:tcW w:w="642" w:type="pct"/>
                  <w:tcBorders>
                    <w:top w:val="nil"/>
                    <w:left w:val="nil"/>
                    <w:bottom w:val="single" w:color="auto" w:sz="4" w:space="0"/>
                    <w:right w:val="single" w:color="auto" w:sz="4" w:space="0"/>
                  </w:tcBorders>
                  <w:vAlign w:val="center"/>
                </w:tcPr>
                <w:p w14:paraId="3D1D3010">
                  <w:pPr>
                    <w:pStyle w:val="65"/>
                    <w:rPr>
                      <w:color w:val="auto"/>
                    </w:rPr>
                  </w:pPr>
                  <w:r>
                    <w:rPr>
                      <w:color w:val="auto"/>
                    </w:rPr>
                    <w:t>24°46′6.211″</w:t>
                  </w:r>
                </w:p>
              </w:tc>
              <w:tc>
                <w:tcPr>
                  <w:tcW w:w="688" w:type="pct"/>
                  <w:tcBorders>
                    <w:top w:val="nil"/>
                    <w:left w:val="nil"/>
                    <w:bottom w:val="single" w:color="auto" w:sz="4" w:space="0"/>
                    <w:right w:val="single" w:color="auto" w:sz="4" w:space="0"/>
                  </w:tcBorders>
                  <w:vAlign w:val="center"/>
                </w:tcPr>
                <w:p w14:paraId="23C9BB91">
                  <w:pPr>
                    <w:pStyle w:val="65"/>
                    <w:rPr>
                      <w:color w:val="auto"/>
                    </w:rPr>
                  </w:pPr>
                  <w:r>
                    <w:rPr>
                      <w:color w:val="auto"/>
                    </w:rPr>
                    <w:t>67户268人</w:t>
                  </w:r>
                </w:p>
              </w:tc>
              <w:tc>
                <w:tcPr>
                  <w:tcW w:w="691" w:type="pct"/>
                  <w:tcBorders>
                    <w:top w:val="nil"/>
                    <w:left w:val="nil"/>
                    <w:bottom w:val="single" w:color="auto" w:sz="4" w:space="0"/>
                    <w:right w:val="single" w:color="auto" w:sz="4" w:space="0"/>
                  </w:tcBorders>
                  <w:vAlign w:val="center"/>
                </w:tcPr>
                <w:p w14:paraId="0D2D76C8">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2432869D">
                  <w:pPr>
                    <w:pStyle w:val="65"/>
                    <w:rPr>
                      <w:color w:val="auto"/>
                    </w:rPr>
                  </w:pPr>
                  <w:r>
                    <w:rPr>
                      <w:color w:val="auto"/>
                    </w:rPr>
                    <w:t>方阵S12西南侧8米，距箱变最近距离109m</w:t>
                  </w:r>
                </w:p>
              </w:tc>
              <w:tc>
                <w:tcPr>
                  <w:tcW w:w="367" w:type="pct"/>
                  <w:vMerge w:val="restart"/>
                  <w:tcBorders>
                    <w:top w:val="nil"/>
                    <w:left w:val="single" w:color="auto" w:sz="4" w:space="0"/>
                    <w:bottom w:val="single" w:color="auto" w:sz="4" w:space="0"/>
                    <w:right w:val="single" w:color="auto" w:sz="4" w:space="0"/>
                  </w:tcBorders>
                  <w:noWrap/>
                  <w:vAlign w:val="center"/>
                </w:tcPr>
                <w:p w14:paraId="4162F21A">
                  <w:pPr>
                    <w:pStyle w:val="65"/>
                    <w:rPr>
                      <w:color w:val="auto"/>
                    </w:rPr>
                  </w:pPr>
                  <w:r>
                    <w:rPr>
                      <w:color w:val="auto"/>
                    </w:rPr>
                    <w:t>新增</w:t>
                  </w:r>
                </w:p>
              </w:tc>
            </w:tr>
            <w:tr w14:paraId="69166C1B">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5E17C4BC">
                  <w:pPr>
                    <w:pStyle w:val="65"/>
                    <w:rPr>
                      <w:color w:val="auto"/>
                    </w:rPr>
                  </w:pPr>
                </w:p>
              </w:tc>
              <w:tc>
                <w:tcPr>
                  <w:tcW w:w="486" w:type="pct"/>
                  <w:tcBorders>
                    <w:top w:val="nil"/>
                    <w:left w:val="nil"/>
                    <w:bottom w:val="single" w:color="auto" w:sz="4" w:space="0"/>
                    <w:right w:val="single" w:color="auto" w:sz="4" w:space="0"/>
                  </w:tcBorders>
                  <w:vAlign w:val="center"/>
                </w:tcPr>
                <w:p w14:paraId="50E3381D">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37EC85E1">
                  <w:pPr>
                    <w:pStyle w:val="65"/>
                    <w:rPr>
                      <w:color w:val="auto"/>
                    </w:rPr>
                  </w:pPr>
                  <w:r>
                    <w:rPr>
                      <w:color w:val="auto"/>
                    </w:rPr>
                    <w:t>包茂村散户</w:t>
                  </w:r>
                </w:p>
              </w:tc>
              <w:tc>
                <w:tcPr>
                  <w:tcW w:w="642" w:type="pct"/>
                  <w:tcBorders>
                    <w:top w:val="nil"/>
                    <w:left w:val="nil"/>
                    <w:bottom w:val="single" w:color="auto" w:sz="4" w:space="0"/>
                    <w:right w:val="single" w:color="auto" w:sz="4" w:space="0"/>
                  </w:tcBorders>
                  <w:vAlign w:val="center"/>
                </w:tcPr>
                <w:p w14:paraId="07D8DE4F">
                  <w:pPr>
                    <w:pStyle w:val="65"/>
                    <w:rPr>
                      <w:color w:val="auto"/>
                    </w:rPr>
                  </w:pPr>
                  <w:r>
                    <w:rPr>
                      <w:color w:val="auto"/>
                    </w:rPr>
                    <w:t>100°28′43.344″</w:t>
                  </w:r>
                </w:p>
              </w:tc>
              <w:tc>
                <w:tcPr>
                  <w:tcW w:w="642" w:type="pct"/>
                  <w:tcBorders>
                    <w:top w:val="nil"/>
                    <w:left w:val="nil"/>
                    <w:bottom w:val="single" w:color="auto" w:sz="4" w:space="0"/>
                    <w:right w:val="single" w:color="auto" w:sz="4" w:space="0"/>
                  </w:tcBorders>
                  <w:vAlign w:val="center"/>
                </w:tcPr>
                <w:p w14:paraId="25D540D0">
                  <w:pPr>
                    <w:pStyle w:val="65"/>
                    <w:rPr>
                      <w:color w:val="auto"/>
                    </w:rPr>
                  </w:pPr>
                  <w:r>
                    <w:rPr>
                      <w:color w:val="auto"/>
                    </w:rPr>
                    <w:t>24°46′19.80947″</w:t>
                  </w:r>
                </w:p>
              </w:tc>
              <w:tc>
                <w:tcPr>
                  <w:tcW w:w="688" w:type="pct"/>
                  <w:tcBorders>
                    <w:top w:val="nil"/>
                    <w:left w:val="nil"/>
                    <w:bottom w:val="single" w:color="auto" w:sz="4" w:space="0"/>
                    <w:right w:val="single" w:color="auto" w:sz="4" w:space="0"/>
                  </w:tcBorders>
                  <w:noWrap/>
                  <w:vAlign w:val="center"/>
                </w:tcPr>
                <w:p w14:paraId="01242350">
                  <w:pPr>
                    <w:pStyle w:val="65"/>
                    <w:rPr>
                      <w:color w:val="auto"/>
                    </w:rPr>
                  </w:pPr>
                  <w:r>
                    <w:rPr>
                      <w:color w:val="auto"/>
                    </w:rPr>
                    <w:t>1户5人</w:t>
                  </w:r>
                </w:p>
              </w:tc>
              <w:tc>
                <w:tcPr>
                  <w:tcW w:w="691" w:type="pct"/>
                  <w:tcBorders>
                    <w:top w:val="nil"/>
                    <w:left w:val="nil"/>
                    <w:bottom w:val="single" w:color="auto" w:sz="4" w:space="0"/>
                    <w:right w:val="single" w:color="auto" w:sz="4" w:space="0"/>
                  </w:tcBorders>
                  <w:vAlign w:val="center"/>
                </w:tcPr>
                <w:p w14:paraId="626B6CEE">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4E3EE17E">
                  <w:pPr>
                    <w:pStyle w:val="65"/>
                    <w:jc w:val="both"/>
                    <w:rPr>
                      <w:color w:val="auto"/>
                    </w:rPr>
                  </w:pPr>
                  <w:r>
                    <w:rPr>
                      <w:color w:val="auto"/>
                    </w:rPr>
                    <w:t>方阵S16中间，最近距离4米，距箱变最近距离89m，距改建道路约163m</w:t>
                  </w:r>
                </w:p>
              </w:tc>
              <w:tc>
                <w:tcPr>
                  <w:tcW w:w="367" w:type="pct"/>
                  <w:vMerge w:val="continue"/>
                  <w:tcBorders>
                    <w:top w:val="nil"/>
                    <w:left w:val="single" w:color="auto" w:sz="4" w:space="0"/>
                    <w:bottom w:val="single" w:color="auto" w:sz="4" w:space="0"/>
                    <w:right w:val="single" w:color="auto" w:sz="4" w:space="0"/>
                  </w:tcBorders>
                  <w:vAlign w:val="center"/>
                </w:tcPr>
                <w:p w14:paraId="5D5D8DD1">
                  <w:pPr>
                    <w:pStyle w:val="65"/>
                    <w:rPr>
                      <w:color w:val="auto"/>
                    </w:rPr>
                  </w:pPr>
                </w:p>
              </w:tc>
            </w:tr>
            <w:tr w14:paraId="2A80BDD5">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1C3E3834">
                  <w:pPr>
                    <w:pStyle w:val="65"/>
                    <w:rPr>
                      <w:color w:val="auto"/>
                    </w:rPr>
                  </w:pPr>
                </w:p>
              </w:tc>
              <w:tc>
                <w:tcPr>
                  <w:tcW w:w="486" w:type="pct"/>
                  <w:tcBorders>
                    <w:top w:val="nil"/>
                    <w:left w:val="nil"/>
                    <w:bottom w:val="single" w:color="auto" w:sz="4" w:space="0"/>
                    <w:right w:val="single" w:color="auto" w:sz="4" w:space="0"/>
                  </w:tcBorders>
                  <w:vAlign w:val="center"/>
                </w:tcPr>
                <w:p w14:paraId="19FEE80D">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6319074C">
                  <w:pPr>
                    <w:pStyle w:val="65"/>
                    <w:rPr>
                      <w:color w:val="auto"/>
                    </w:rPr>
                  </w:pPr>
                  <w:r>
                    <w:rPr>
                      <w:color w:val="auto"/>
                    </w:rPr>
                    <w:t>大歇场</w:t>
                  </w:r>
                </w:p>
              </w:tc>
              <w:tc>
                <w:tcPr>
                  <w:tcW w:w="642" w:type="pct"/>
                  <w:tcBorders>
                    <w:top w:val="nil"/>
                    <w:left w:val="nil"/>
                    <w:bottom w:val="single" w:color="auto" w:sz="4" w:space="0"/>
                    <w:right w:val="single" w:color="auto" w:sz="4" w:space="0"/>
                  </w:tcBorders>
                  <w:vAlign w:val="center"/>
                </w:tcPr>
                <w:p w14:paraId="5239E0E0">
                  <w:pPr>
                    <w:pStyle w:val="65"/>
                    <w:rPr>
                      <w:color w:val="auto"/>
                    </w:rPr>
                  </w:pPr>
                  <w:r>
                    <w:rPr>
                      <w:color w:val="auto"/>
                    </w:rPr>
                    <w:t>100°29′3.87735″</w:t>
                  </w:r>
                </w:p>
              </w:tc>
              <w:tc>
                <w:tcPr>
                  <w:tcW w:w="642" w:type="pct"/>
                  <w:tcBorders>
                    <w:top w:val="nil"/>
                    <w:left w:val="nil"/>
                    <w:bottom w:val="single" w:color="auto" w:sz="4" w:space="0"/>
                    <w:right w:val="single" w:color="auto" w:sz="4" w:space="0"/>
                  </w:tcBorders>
                  <w:vAlign w:val="center"/>
                </w:tcPr>
                <w:p w14:paraId="1174CB4B">
                  <w:pPr>
                    <w:pStyle w:val="65"/>
                    <w:rPr>
                      <w:color w:val="auto"/>
                    </w:rPr>
                  </w:pPr>
                  <w:r>
                    <w:rPr>
                      <w:color w:val="auto"/>
                    </w:rPr>
                    <w:t>24°46′14.514″</w:t>
                  </w:r>
                </w:p>
              </w:tc>
              <w:tc>
                <w:tcPr>
                  <w:tcW w:w="688" w:type="pct"/>
                  <w:tcBorders>
                    <w:top w:val="nil"/>
                    <w:left w:val="nil"/>
                    <w:bottom w:val="single" w:color="auto" w:sz="4" w:space="0"/>
                    <w:right w:val="single" w:color="auto" w:sz="4" w:space="0"/>
                  </w:tcBorders>
                  <w:noWrap/>
                  <w:vAlign w:val="center"/>
                </w:tcPr>
                <w:p w14:paraId="48A7AE86">
                  <w:pPr>
                    <w:pStyle w:val="65"/>
                    <w:rPr>
                      <w:color w:val="auto"/>
                    </w:rPr>
                  </w:pPr>
                  <w:r>
                    <w:rPr>
                      <w:color w:val="auto"/>
                    </w:rPr>
                    <w:t>60户253人</w:t>
                  </w:r>
                </w:p>
              </w:tc>
              <w:tc>
                <w:tcPr>
                  <w:tcW w:w="691" w:type="pct"/>
                  <w:tcBorders>
                    <w:top w:val="nil"/>
                    <w:left w:val="nil"/>
                    <w:bottom w:val="single" w:color="auto" w:sz="4" w:space="0"/>
                    <w:right w:val="single" w:color="auto" w:sz="4" w:space="0"/>
                  </w:tcBorders>
                  <w:vAlign w:val="center"/>
                </w:tcPr>
                <w:p w14:paraId="63DF1FF2">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01D97BE2">
                  <w:pPr>
                    <w:pStyle w:val="65"/>
                    <w:jc w:val="both"/>
                    <w:rPr>
                      <w:color w:val="auto"/>
                    </w:rPr>
                  </w:pPr>
                  <w:r>
                    <w:rPr>
                      <w:color w:val="auto"/>
                    </w:rPr>
                    <w:t>方阵S17西侧4米，距箱变最近距离26m</w:t>
                  </w:r>
                </w:p>
              </w:tc>
              <w:tc>
                <w:tcPr>
                  <w:tcW w:w="367" w:type="pct"/>
                  <w:vMerge w:val="continue"/>
                  <w:tcBorders>
                    <w:top w:val="nil"/>
                    <w:left w:val="single" w:color="auto" w:sz="4" w:space="0"/>
                    <w:bottom w:val="single" w:color="auto" w:sz="4" w:space="0"/>
                    <w:right w:val="single" w:color="auto" w:sz="4" w:space="0"/>
                  </w:tcBorders>
                  <w:vAlign w:val="center"/>
                </w:tcPr>
                <w:p w14:paraId="0F722EF9">
                  <w:pPr>
                    <w:pStyle w:val="65"/>
                    <w:rPr>
                      <w:color w:val="auto"/>
                    </w:rPr>
                  </w:pPr>
                </w:p>
              </w:tc>
            </w:tr>
            <w:tr w14:paraId="31D9B523">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27FF67C7">
                  <w:pPr>
                    <w:pStyle w:val="65"/>
                    <w:rPr>
                      <w:color w:val="auto"/>
                    </w:rPr>
                  </w:pPr>
                </w:p>
              </w:tc>
              <w:tc>
                <w:tcPr>
                  <w:tcW w:w="486" w:type="pct"/>
                  <w:tcBorders>
                    <w:top w:val="nil"/>
                    <w:left w:val="nil"/>
                    <w:bottom w:val="single" w:color="auto" w:sz="4" w:space="0"/>
                    <w:right w:val="single" w:color="auto" w:sz="4" w:space="0"/>
                  </w:tcBorders>
                  <w:vAlign w:val="center"/>
                </w:tcPr>
                <w:p w14:paraId="0C3CF724">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19E1DC40">
                  <w:pPr>
                    <w:pStyle w:val="65"/>
                    <w:rPr>
                      <w:color w:val="auto"/>
                    </w:rPr>
                  </w:pPr>
                  <w:r>
                    <w:rPr>
                      <w:color w:val="auto"/>
                    </w:rPr>
                    <w:t>上夺么</w:t>
                  </w:r>
                </w:p>
              </w:tc>
              <w:tc>
                <w:tcPr>
                  <w:tcW w:w="642" w:type="pct"/>
                  <w:tcBorders>
                    <w:top w:val="nil"/>
                    <w:left w:val="nil"/>
                    <w:bottom w:val="single" w:color="auto" w:sz="4" w:space="0"/>
                    <w:right w:val="single" w:color="auto" w:sz="4" w:space="0"/>
                  </w:tcBorders>
                  <w:vAlign w:val="center"/>
                </w:tcPr>
                <w:p w14:paraId="08CB3142">
                  <w:pPr>
                    <w:pStyle w:val="65"/>
                    <w:rPr>
                      <w:color w:val="auto"/>
                    </w:rPr>
                  </w:pPr>
                  <w:r>
                    <w:rPr>
                      <w:color w:val="auto"/>
                    </w:rPr>
                    <w:t>100°29′14.368″</w:t>
                  </w:r>
                </w:p>
              </w:tc>
              <w:tc>
                <w:tcPr>
                  <w:tcW w:w="642" w:type="pct"/>
                  <w:tcBorders>
                    <w:top w:val="nil"/>
                    <w:left w:val="nil"/>
                    <w:bottom w:val="single" w:color="auto" w:sz="4" w:space="0"/>
                    <w:right w:val="single" w:color="auto" w:sz="4" w:space="0"/>
                  </w:tcBorders>
                  <w:vAlign w:val="center"/>
                </w:tcPr>
                <w:p w14:paraId="762D78AE">
                  <w:pPr>
                    <w:pStyle w:val="65"/>
                    <w:rPr>
                      <w:color w:val="auto"/>
                    </w:rPr>
                  </w:pPr>
                  <w:r>
                    <w:rPr>
                      <w:color w:val="auto"/>
                    </w:rPr>
                    <w:t>24°45′4.263″</w:t>
                  </w:r>
                </w:p>
              </w:tc>
              <w:tc>
                <w:tcPr>
                  <w:tcW w:w="688" w:type="pct"/>
                  <w:tcBorders>
                    <w:top w:val="nil"/>
                    <w:left w:val="nil"/>
                    <w:bottom w:val="single" w:color="auto" w:sz="4" w:space="0"/>
                    <w:right w:val="single" w:color="auto" w:sz="4" w:space="0"/>
                  </w:tcBorders>
                  <w:noWrap/>
                  <w:vAlign w:val="center"/>
                </w:tcPr>
                <w:p w14:paraId="497BA4E5">
                  <w:pPr>
                    <w:pStyle w:val="65"/>
                    <w:rPr>
                      <w:color w:val="auto"/>
                    </w:rPr>
                  </w:pPr>
                  <w:r>
                    <w:rPr>
                      <w:color w:val="auto"/>
                    </w:rPr>
                    <w:t>36户148人</w:t>
                  </w:r>
                </w:p>
              </w:tc>
              <w:tc>
                <w:tcPr>
                  <w:tcW w:w="691" w:type="pct"/>
                  <w:tcBorders>
                    <w:top w:val="nil"/>
                    <w:left w:val="nil"/>
                    <w:bottom w:val="single" w:color="auto" w:sz="4" w:space="0"/>
                    <w:right w:val="single" w:color="auto" w:sz="4" w:space="0"/>
                  </w:tcBorders>
                  <w:vAlign w:val="center"/>
                </w:tcPr>
                <w:p w14:paraId="2771BE6F">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51A3689D">
                  <w:pPr>
                    <w:pStyle w:val="65"/>
                    <w:jc w:val="both"/>
                    <w:rPr>
                      <w:color w:val="auto"/>
                    </w:rPr>
                  </w:pPr>
                  <w:r>
                    <w:rPr>
                      <w:color w:val="auto"/>
                    </w:rPr>
                    <w:t>方阵S02东侧40米</w:t>
                  </w:r>
                </w:p>
              </w:tc>
              <w:tc>
                <w:tcPr>
                  <w:tcW w:w="367" w:type="pct"/>
                  <w:vMerge w:val="continue"/>
                  <w:tcBorders>
                    <w:top w:val="nil"/>
                    <w:left w:val="single" w:color="auto" w:sz="4" w:space="0"/>
                    <w:bottom w:val="single" w:color="auto" w:sz="4" w:space="0"/>
                    <w:right w:val="single" w:color="auto" w:sz="4" w:space="0"/>
                  </w:tcBorders>
                  <w:vAlign w:val="center"/>
                </w:tcPr>
                <w:p w14:paraId="04F12309">
                  <w:pPr>
                    <w:pStyle w:val="65"/>
                    <w:rPr>
                      <w:color w:val="auto"/>
                    </w:rPr>
                  </w:pPr>
                </w:p>
              </w:tc>
            </w:tr>
            <w:tr w14:paraId="6A0E14FA">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0806C148">
                  <w:pPr>
                    <w:pStyle w:val="65"/>
                    <w:rPr>
                      <w:color w:val="auto"/>
                    </w:rPr>
                  </w:pPr>
                </w:p>
              </w:tc>
              <w:tc>
                <w:tcPr>
                  <w:tcW w:w="486" w:type="pct"/>
                  <w:tcBorders>
                    <w:top w:val="nil"/>
                    <w:left w:val="nil"/>
                    <w:bottom w:val="single" w:color="auto" w:sz="4" w:space="0"/>
                    <w:right w:val="single" w:color="auto" w:sz="4" w:space="0"/>
                  </w:tcBorders>
                  <w:vAlign w:val="center"/>
                </w:tcPr>
                <w:p w14:paraId="0631982A">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37A72ECB">
                  <w:pPr>
                    <w:pStyle w:val="65"/>
                    <w:rPr>
                      <w:color w:val="auto"/>
                    </w:rPr>
                  </w:pPr>
                  <w:r>
                    <w:rPr>
                      <w:color w:val="auto"/>
                    </w:rPr>
                    <w:t>下朵么</w:t>
                  </w:r>
                </w:p>
              </w:tc>
              <w:tc>
                <w:tcPr>
                  <w:tcW w:w="642" w:type="pct"/>
                  <w:tcBorders>
                    <w:top w:val="nil"/>
                    <w:left w:val="nil"/>
                    <w:bottom w:val="single" w:color="auto" w:sz="4" w:space="0"/>
                    <w:right w:val="single" w:color="auto" w:sz="4" w:space="0"/>
                  </w:tcBorders>
                  <w:vAlign w:val="center"/>
                </w:tcPr>
                <w:p w14:paraId="23BAE9AE">
                  <w:pPr>
                    <w:pStyle w:val="65"/>
                    <w:rPr>
                      <w:color w:val="auto"/>
                    </w:rPr>
                  </w:pPr>
                  <w:r>
                    <w:rPr>
                      <w:color w:val="auto"/>
                    </w:rPr>
                    <w:t>100°29′1.009″</w:t>
                  </w:r>
                </w:p>
              </w:tc>
              <w:tc>
                <w:tcPr>
                  <w:tcW w:w="642" w:type="pct"/>
                  <w:tcBorders>
                    <w:top w:val="nil"/>
                    <w:left w:val="nil"/>
                    <w:bottom w:val="single" w:color="auto" w:sz="4" w:space="0"/>
                    <w:right w:val="single" w:color="auto" w:sz="4" w:space="0"/>
                  </w:tcBorders>
                  <w:vAlign w:val="center"/>
                </w:tcPr>
                <w:p w14:paraId="54A37A12">
                  <w:pPr>
                    <w:pStyle w:val="65"/>
                    <w:rPr>
                      <w:color w:val="auto"/>
                    </w:rPr>
                  </w:pPr>
                  <w:r>
                    <w:rPr>
                      <w:color w:val="auto"/>
                    </w:rPr>
                    <w:t>24°44′56.840″</w:t>
                  </w:r>
                </w:p>
              </w:tc>
              <w:tc>
                <w:tcPr>
                  <w:tcW w:w="688" w:type="pct"/>
                  <w:tcBorders>
                    <w:top w:val="nil"/>
                    <w:left w:val="nil"/>
                    <w:bottom w:val="single" w:color="auto" w:sz="4" w:space="0"/>
                    <w:right w:val="single" w:color="auto" w:sz="4" w:space="0"/>
                  </w:tcBorders>
                  <w:noWrap/>
                  <w:vAlign w:val="center"/>
                </w:tcPr>
                <w:p w14:paraId="1E8EF7C8">
                  <w:pPr>
                    <w:pStyle w:val="65"/>
                    <w:rPr>
                      <w:color w:val="auto"/>
                    </w:rPr>
                  </w:pPr>
                  <w:r>
                    <w:rPr>
                      <w:color w:val="auto"/>
                    </w:rPr>
                    <w:t>17户77人</w:t>
                  </w:r>
                </w:p>
              </w:tc>
              <w:tc>
                <w:tcPr>
                  <w:tcW w:w="691" w:type="pct"/>
                  <w:tcBorders>
                    <w:top w:val="nil"/>
                    <w:left w:val="nil"/>
                    <w:bottom w:val="single" w:color="auto" w:sz="4" w:space="0"/>
                    <w:right w:val="single" w:color="auto" w:sz="4" w:space="0"/>
                  </w:tcBorders>
                  <w:vAlign w:val="center"/>
                </w:tcPr>
                <w:p w14:paraId="6DC47511">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24CBFCF9">
                  <w:pPr>
                    <w:pStyle w:val="65"/>
                    <w:jc w:val="both"/>
                    <w:rPr>
                      <w:color w:val="auto"/>
                    </w:rPr>
                  </w:pPr>
                  <w:r>
                    <w:rPr>
                      <w:color w:val="auto"/>
                    </w:rPr>
                    <w:t>方阵S02南侧163米，距箱变最近距离168m</w:t>
                  </w:r>
                </w:p>
              </w:tc>
              <w:tc>
                <w:tcPr>
                  <w:tcW w:w="367" w:type="pct"/>
                  <w:vMerge w:val="continue"/>
                  <w:tcBorders>
                    <w:top w:val="nil"/>
                    <w:left w:val="single" w:color="auto" w:sz="4" w:space="0"/>
                    <w:bottom w:val="single" w:color="auto" w:sz="4" w:space="0"/>
                    <w:right w:val="single" w:color="auto" w:sz="4" w:space="0"/>
                  </w:tcBorders>
                  <w:vAlign w:val="center"/>
                </w:tcPr>
                <w:p w14:paraId="40B4903C">
                  <w:pPr>
                    <w:pStyle w:val="65"/>
                    <w:rPr>
                      <w:color w:val="auto"/>
                    </w:rPr>
                  </w:pPr>
                </w:p>
              </w:tc>
            </w:tr>
            <w:tr w14:paraId="2D6BE16A">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3947AA17">
                  <w:pPr>
                    <w:pStyle w:val="65"/>
                    <w:rPr>
                      <w:color w:val="auto"/>
                    </w:rPr>
                  </w:pPr>
                </w:p>
              </w:tc>
              <w:tc>
                <w:tcPr>
                  <w:tcW w:w="486" w:type="pct"/>
                  <w:tcBorders>
                    <w:top w:val="nil"/>
                    <w:left w:val="nil"/>
                    <w:bottom w:val="single" w:color="auto" w:sz="4" w:space="0"/>
                    <w:right w:val="single" w:color="auto" w:sz="4" w:space="0"/>
                  </w:tcBorders>
                  <w:vAlign w:val="center"/>
                </w:tcPr>
                <w:p w14:paraId="0D550415">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118A574C">
                  <w:pPr>
                    <w:pStyle w:val="65"/>
                    <w:rPr>
                      <w:color w:val="auto"/>
                    </w:rPr>
                  </w:pPr>
                  <w:r>
                    <w:rPr>
                      <w:color w:val="auto"/>
                    </w:rPr>
                    <w:t>安召</w:t>
                  </w:r>
                </w:p>
              </w:tc>
              <w:tc>
                <w:tcPr>
                  <w:tcW w:w="642" w:type="pct"/>
                  <w:tcBorders>
                    <w:top w:val="nil"/>
                    <w:left w:val="nil"/>
                    <w:bottom w:val="single" w:color="auto" w:sz="4" w:space="0"/>
                    <w:right w:val="single" w:color="auto" w:sz="4" w:space="0"/>
                  </w:tcBorders>
                  <w:vAlign w:val="center"/>
                </w:tcPr>
                <w:p w14:paraId="0343C4E5">
                  <w:pPr>
                    <w:pStyle w:val="65"/>
                    <w:rPr>
                      <w:color w:val="auto"/>
                    </w:rPr>
                  </w:pPr>
                  <w:r>
                    <w:rPr>
                      <w:color w:val="auto"/>
                    </w:rPr>
                    <w:t>100°30′8.789″</w:t>
                  </w:r>
                </w:p>
              </w:tc>
              <w:tc>
                <w:tcPr>
                  <w:tcW w:w="642" w:type="pct"/>
                  <w:tcBorders>
                    <w:top w:val="nil"/>
                    <w:left w:val="nil"/>
                    <w:bottom w:val="single" w:color="auto" w:sz="4" w:space="0"/>
                    <w:right w:val="single" w:color="auto" w:sz="4" w:space="0"/>
                  </w:tcBorders>
                  <w:vAlign w:val="center"/>
                </w:tcPr>
                <w:p w14:paraId="59E54734">
                  <w:pPr>
                    <w:pStyle w:val="65"/>
                    <w:rPr>
                      <w:color w:val="auto"/>
                    </w:rPr>
                  </w:pPr>
                  <w:r>
                    <w:rPr>
                      <w:color w:val="auto"/>
                    </w:rPr>
                    <w:t>24°44′42.691″</w:t>
                  </w:r>
                </w:p>
              </w:tc>
              <w:tc>
                <w:tcPr>
                  <w:tcW w:w="688" w:type="pct"/>
                  <w:tcBorders>
                    <w:top w:val="nil"/>
                    <w:left w:val="nil"/>
                    <w:bottom w:val="single" w:color="auto" w:sz="4" w:space="0"/>
                    <w:right w:val="single" w:color="auto" w:sz="4" w:space="0"/>
                  </w:tcBorders>
                  <w:noWrap/>
                  <w:vAlign w:val="center"/>
                </w:tcPr>
                <w:p w14:paraId="4BE970B5">
                  <w:pPr>
                    <w:pStyle w:val="65"/>
                    <w:rPr>
                      <w:color w:val="auto"/>
                    </w:rPr>
                  </w:pPr>
                  <w:r>
                    <w:rPr>
                      <w:color w:val="auto"/>
                    </w:rPr>
                    <w:t>15户38人</w:t>
                  </w:r>
                </w:p>
              </w:tc>
              <w:tc>
                <w:tcPr>
                  <w:tcW w:w="691" w:type="pct"/>
                  <w:tcBorders>
                    <w:top w:val="nil"/>
                    <w:left w:val="nil"/>
                    <w:bottom w:val="single" w:color="auto" w:sz="4" w:space="0"/>
                    <w:right w:val="single" w:color="auto" w:sz="4" w:space="0"/>
                  </w:tcBorders>
                  <w:vAlign w:val="center"/>
                </w:tcPr>
                <w:p w14:paraId="55959FED">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68252E92">
                  <w:pPr>
                    <w:pStyle w:val="65"/>
                    <w:jc w:val="both"/>
                    <w:rPr>
                      <w:color w:val="auto"/>
                    </w:rPr>
                  </w:pPr>
                  <w:r>
                    <w:rPr>
                      <w:color w:val="auto"/>
                    </w:rPr>
                    <w:t>方阵S11东侧10米</w:t>
                  </w:r>
                </w:p>
              </w:tc>
              <w:tc>
                <w:tcPr>
                  <w:tcW w:w="367" w:type="pct"/>
                  <w:vMerge w:val="continue"/>
                  <w:tcBorders>
                    <w:top w:val="nil"/>
                    <w:left w:val="single" w:color="auto" w:sz="4" w:space="0"/>
                    <w:bottom w:val="single" w:color="auto" w:sz="4" w:space="0"/>
                    <w:right w:val="single" w:color="auto" w:sz="4" w:space="0"/>
                  </w:tcBorders>
                  <w:vAlign w:val="center"/>
                </w:tcPr>
                <w:p w14:paraId="75789152">
                  <w:pPr>
                    <w:pStyle w:val="65"/>
                    <w:rPr>
                      <w:color w:val="auto"/>
                    </w:rPr>
                  </w:pPr>
                </w:p>
              </w:tc>
            </w:tr>
            <w:tr w14:paraId="3C465DB9">
              <w:tblPrEx>
                <w:tblCellMar>
                  <w:top w:w="0" w:type="dxa"/>
                  <w:left w:w="108" w:type="dxa"/>
                  <w:bottom w:w="0" w:type="dxa"/>
                  <w:right w:w="108" w:type="dxa"/>
                </w:tblCellMar>
              </w:tblPrEx>
              <w:trPr>
                <w:trHeight w:val="454" w:hRule="atLeast"/>
              </w:trPr>
              <w:tc>
                <w:tcPr>
                  <w:tcW w:w="413" w:type="pct"/>
                  <w:vMerge w:val="restart"/>
                  <w:tcBorders>
                    <w:top w:val="nil"/>
                    <w:left w:val="single" w:color="auto" w:sz="4" w:space="0"/>
                    <w:bottom w:val="single" w:color="auto" w:sz="4" w:space="0"/>
                    <w:right w:val="single" w:color="auto" w:sz="4" w:space="0"/>
                  </w:tcBorders>
                  <w:noWrap/>
                  <w:vAlign w:val="center"/>
                </w:tcPr>
                <w:p w14:paraId="1EB36545">
                  <w:pPr>
                    <w:pStyle w:val="65"/>
                    <w:rPr>
                      <w:color w:val="auto"/>
                    </w:rPr>
                  </w:pPr>
                  <w:r>
                    <w:rPr>
                      <w:color w:val="auto"/>
                    </w:rPr>
                    <w:t>环境空气</w:t>
                  </w:r>
                </w:p>
              </w:tc>
              <w:tc>
                <w:tcPr>
                  <w:tcW w:w="486" w:type="pct"/>
                  <w:tcBorders>
                    <w:top w:val="nil"/>
                    <w:left w:val="nil"/>
                    <w:bottom w:val="single" w:color="auto" w:sz="4" w:space="0"/>
                    <w:right w:val="single" w:color="auto" w:sz="4" w:space="0"/>
                  </w:tcBorders>
                  <w:vAlign w:val="center"/>
                </w:tcPr>
                <w:p w14:paraId="6340BFA9">
                  <w:pPr>
                    <w:pStyle w:val="65"/>
                    <w:rPr>
                      <w:color w:val="auto"/>
                    </w:rPr>
                  </w:pPr>
                  <w:r>
                    <w:rPr>
                      <w:color w:val="auto"/>
                    </w:rPr>
                    <w:t>蚂蟥箐</w:t>
                  </w:r>
                </w:p>
              </w:tc>
              <w:tc>
                <w:tcPr>
                  <w:tcW w:w="430" w:type="pct"/>
                  <w:tcBorders>
                    <w:top w:val="nil"/>
                    <w:left w:val="nil"/>
                    <w:bottom w:val="single" w:color="auto" w:sz="4" w:space="0"/>
                    <w:right w:val="single" w:color="auto" w:sz="4" w:space="0"/>
                  </w:tcBorders>
                  <w:vAlign w:val="center"/>
                </w:tcPr>
                <w:p w14:paraId="4605AE0E">
                  <w:pPr>
                    <w:pStyle w:val="65"/>
                    <w:rPr>
                      <w:color w:val="auto"/>
                    </w:rPr>
                  </w:pPr>
                  <w:r>
                    <w:rPr>
                      <w:color w:val="auto"/>
                    </w:rPr>
                    <w:t>蚂蟥箐</w:t>
                  </w:r>
                </w:p>
              </w:tc>
              <w:tc>
                <w:tcPr>
                  <w:tcW w:w="642" w:type="pct"/>
                  <w:tcBorders>
                    <w:top w:val="nil"/>
                    <w:left w:val="nil"/>
                    <w:bottom w:val="single" w:color="auto" w:sz="4" w:space="0"/>
                    <w:right w:val="single" w:color="auto" w:sz="4" w:space="0"/>
                  </w:tcBorders>
                  <w:noWrap/>
                  <w:vAlign w:val="center"/>
                </w:tcPr>
                <w:p w14:paraId="62F32BFF">
                  <w:pPr>
                    <w:pStyle w:val="65"/>
                    <w:rPr>
                      <w:color w:val="auto"/>
                    </w:rPr>
                  </w:pPr>
                  <w:r>
                    <w:rPr>
                      <w:color w:val="auto"/>
                    </w:rPr>
                    <w:t>100°27′17.845″</w:t>
                  </w:r>
                </w:p>
              </w:tc>
              <w:tc>
                <w:tcPr>
                  <w:tcW w:w="642" w:type="pct"/>
                  <w:tcBorders>
                    <w:top w:val="nil"/>
                    <w:left w:val="nil"/>
                    <w:bottom w:val="single" w:color="auto" w:sz="4" w:space="0"/>
                    <w:right w:val="single" w:color="auto" w:sz="4" w:space="0"/>
                  </w:tcBorders>
                  <w:noWrap/>
                  <w:vAlign w:val="center"/>
                </w:tcPr>
                <w:p w14:paraId="25EBB878">
                  <w:pPr>
                    <w:pStyle w:val="65"/>
                    <w:rPr>
                      <w:color w:val="auto"/>
                    </w:rPr>
                  </w:pPr>
                  <w:r>
                    <w:rPr>
                      <w:color w:val="auto"/>
                    </w:rPr>
                    <w:t>24°47′3.877″</w:t>
                  </w:r>
                </w:p>
              </w:tc>
              <w:tc>
                <w:tcPr>
                  <w:tcW w:w="688" w:type="pct"/>
                  <w:tcBorders>
                    <w:top w:val="nil"/>
                    <w:left w:val="nil"/>
                    <w:bottom w:val="single" w:color="auto" w:sz="4" w:space="0"/>
                    <w:right w:val="single" w:color="auto" w:sz="4" w:space="0"/>
                  </w:tcBorders>
                  <w:noWrap/>
                  <w:vAlign w:val="center"/>
                </w:tcPr>
                <w:p w14:paraId="5F109D79">
                  <w:pPr>
                    <w:pStyle w:val="65"/>
                    <w:rPr>
                      <w:color w:val="auto"/>
                    </w:rPr>
                  </w:pPr>
                  <w:r>
                    <w:rPr>
                      <w:color w:val="auto"/>
                    </w:rPr>
                    <w:t>90户359人</w:t>
                  </w:r>
                </w:p>
              </w:tc>
              <w:tc>
                <w:tcPr>
                  <w:tcW w:w="691" w:type="pct"/>
                  <w:tcBorders>
                    <w:top w:val="nil"/>
                    <w:left w:val="nil"/>
                    <w:bottom w:val="single" w:color="auto" w:sz="4" w:space="0"/>
                    <w:right w:val="single" w:color="auto" w:sz="4" w:space="0"/>
                  </w:tcBorders>
                  <w:vAlign w:val="center"/>
                </w:tcPr>
                <w:p w14:paraId="1B76088C">
                  <w:pPr>
                    <w:pStyle w:val="65"/>
                    <w:jc w:val="both"/>
                    <w:rPr>
                      <w:color w:val="auto"/>
                    </w:rPr>
                  </w:pPr>
                  <w:r>
                    <w:rPr>
                      <w:color w:val="auto"/>
                    </w:rPr>
                    <w:t>位于22#方阵北侧和东侧，紧邻，距箱变最近距离178m</w:t>
                  </w:r>
                </w:p>
              </w:tc>
              <w:tc>
                <w:tcPr>
                  <w:tcW w:w="641" w:type="pct"/>
                  <w:tcBorders>
                    <w:top w:val="nil"/>
                    <w:left w:val="nil"/>
                    <w:bottom w:val="single" w:color="auto" w:sz="4" w:space="0"/>
                    <w:right w:val="single" w:color="auto" w:sz="4" w:space="0"/>
                  </w:tcBorders>
                  <w:vAlign w:val="center"/>
                </w:tcPr>
                <w:p w14:paraId="1A329151">
                  <w:pPr>
                    <w:pStyle w:val="65"/>
                    <w:jc w:val="both"/>
                    <w:rPr>
                      <w:color w:val="auto"/>
                    </w:rPr>
                  </w:pPr>
                  <w:r>
                    <w:rPr>
                      <w:color w:val="auto"/>
                    </w:rPr>
                    <w:t>方阵S10东侧4米，距箱变最近距离283m，距新建道路约5m</w:t>
                  </w:r>
                </w:p>
              </w:tc>
              <w:tc>
                <w:tcPr>
                  <w:tcW w:w="367" w:type="pct"/>
                  <w:vMerge w:val="restart"/>
                  <w:tcBorders>
                    <w:top w:val="nil"/>
                    <w:left w:val="single" w:color="auto" w:sz="4" w:space="0"/>
                    <w:bottom w:val="single" w:color="auto" w:sz="4" w:space="0"/>
                    <w:right w:val="single" w:color="auto" w:sz="4" w:space="0"/>
                  </w:tcBorders>
                  <w:vAlign w:val="center"/>
                </w:tcPr>
                <w:p w14:paraId="20FD9B95">
                  <w:pPr>
                    <w:pStyle w:val="65"/>
                    <w:rPr>
                      <w:color w:val="auto"/>
                    </w:rPr>
                  </w:pPr>
                  <w:r>
                    <w:rPr>
                      <w:color w:val="auto"/>
                    </w:rPr>
                    <w:t>保护目标一致，位置发生变化</w:t>
                  </w:r>
                </w:p>
              </w:tc>
            </w:tr>
            <w:tr w14:paraId="1ECDB8BD">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72865DB1">
                  <w:pPr>
                    <w:pStyle w:val="65"/>
                    <w:rPr>
                      <w:color w:val="auto"/>
                    </w:rPr>
                  </w:pPr>
                </w:p>
              </w:tc>
              <w:tc>
                <w:tcPr>
                  <w:tcW w:w="486" w:type="pct"/>
                  <w:tcBorders>
                    <w:top w:val="nil"/>
                    <w:left w:val="nil"/>
                    <w:bottom w:val="single" w:color="auto" w:sz="4" w:space="0"/>
                    <w:right w:val="single" w:color="auto" w:sz="4" w:space="0"/>
                  </w:tcBorders>
                  <w:vAlign w:val="center"/>
                </w:tcPr>
                <w:p w14:paraId="27C54730">
                  <w:pPr>
                    <w:pStyle w:val="65"/>
                    <w:rPr>
                      <w:color w:val="auto"/>
                    </w:rPr>
                  </w:pPr>
                  <w:r>
                    <w:rPr>
                      <w:color w:val="auto"/>
                    </w:rPr>
                    <w:t>旧村</w:t>
                  </w:r>
                </w:p>
              </w:tc>
              <w:tc>
                <w:tcPr>
                  <w:tcW w:w="430" w:type="pct"/>
                  <w:tcBorders>
                    <w:top w:val="nil"/>
                    <w:left w:val="nil"/>
                    <w:bottom w:val="single" w:color="auto" w:sz="4" w:space="0"/>
                    <w:right w:val="single" w:color="auto" w:sz="4" w:space="0"/>
                  </w:tcBorders>
                  <w:vAlign w:val="center"/>
                </w:tcPr>
                <w:p w14:paraId="5648C7E4">
                  <w:pPr>
                    <w:pStyle w:val="65"/>
                    <w:rPr>
                      <w:color w:val="auto"/>
                    </w:rPr>
                  </w:pPr>
                  <w:r>
                    <w:rPr>
                      <w:color w:val="auto"/>
                    </w:rPr>
                    <w:t>旧村</w:t>
                  </w:r>
                </w:p>
              </w:tc>
              <w:tc>
                <w:tcPr>
                  <w:tcW w:w="642" w:type="pct"/>
                  <w:tcBorders>
                    <w:top w:val="nil"/>
                    <w:left w:val="nil"/>
                    <w:bottom w:val="single" w:color="auto" w:sz="4" w:space="0"/>
                    <w:right w:val="single" w:color="auto" w:sz="4" w:space="0"/>
                  </w:tcBorders>
                  <w:noWrap/>
                  <w:vAlign w:val="center"/>
                </w:tcPr>
                <w:p w14:paraId="41294C4C">
                  <w:pPr>
                    <w:pStyle w:val="65"/>
                    <w:rPr>
                      <w:color w:val="auto"/>
                    </w:rPr>
                  </w:pPr>
                  <w:r>
                    <w:rPr>
                      <w:color w:val="auto"/>
                    </w:rPr>
                    <w:t>100°26′26.051″</w:t>
                  </w:r>
                </w:p>
              </w:tc>
              <w:tc>
                <w:tcPr>
                  <w:tcW w:w="642" w:type="pct"/>
                  <w:tcBorders>
                    <w:top w:val="nil"/>
                    <w:left w:val="nil"/>
                    <w:bottom w:val="single" w:color="auto" w:sz="4" w:space="0"/>
                    <w:right w:val="single" w:color="auto" w:sz="4" w:space="0"/>
                  </w:tcBorders>
                  <w:noWrap/>
                  <w:vAlign w:val="center"/>
                </w:tcPr>
                <w:p w14:paraId="6860CA9C">
                  <w:pPr>
                    <w:pStyle w:val="65"/>
                    <w:rPr>
                      <w:color w:val="auto"/>
                    </w:rPr>
                  </w:pPr>
                  <w:r>
                    <w:rPr>
                      <w:color w:val="auto"/>
                    </w:rPr>
                    <w:t>24°46′39.856″</w:t>
                  </w:r>
                </w:p>
              </w:tc>
              <w:tc>
                <w:tcPr>
                  <w:tcW w:w="688" w:type="pct"/>
                  <w:tcBorders>
                    <w:top w:val="nil"/>
                    <w:left w:val="nil"/>
                    <w:bottom w:val="single" w:color="auto" w:sz="4" w:space="0"/>
                    <w:right w:val="single" w:color="auto" w:sz="4" w:space="0"/>
                  </w:tcBorders>
                  <w:noWrap/>
                  <w:vAlign w:val="center"/>
                </w:tcPr>
                <w:p w14:paraId="6449BC0E">
                  <w:pPr>
                    <w:pStyle w:val="65"/>
                    <w:rPr>
                      <w:color w:val="auto"/>
                    </w:rPr>
                  </w:pPr>
                  <w:r>
                    <w:rPr>
                      <w:color w:val="auto"/>
                    </w:rPr>
                    <w:t>46户161人</w:t>
                  </w:r>
                </w:p>
              </w:tc>
              <w:tc>
                <w:tcPr>
                  <w:tcW w:w="691" w:type="pct"/>
                  <w:tcBorders>
                    <w:top w:val="nil"/>
                    <w:left w:val="nil"/>
                    <w:bottom w:val="single" w:color="auto" w:sz="4" w:space="0"/>
                    <w:right w:val="single" w:color="auto" w:sz="4" w:space="0"/>
                  </w:tcBorders>
                  <w:vAlign w:val="center"/>
                </w:tcPr>
                <w:p w14:paraId="7BC048D0">
                  <w:pPr>
                    <w:pStyle w:val="65"/>
                    <w:jc w:val="both"/>
                    <w:rPr>
                      <w:color w:val="auto"/>
                    </w:rPr>
                  </w:pPr>
                  <w:r>
                    <w:rPr>
                      <w:color w:val="auto"/>
                    </w:rPr>
                    <w:t>位于13#光伏阵列东南侧18m，距箱变最近距离228m</w:t>
                  </w:r>
                </w:p>
              </w:tc>
              <w:tc>
                <w:tcPr>
                  <w:tcW w:w="641" w:type="pct"/>
                  <w:tcBorders>
                    <w:top w:val="nil"/>
                    <w:left w:val="nil"/>
                    <w:bottom w:val="single" w:color="auto" w:sz="4" w:space="0"/>
                    <w:right w:val="single" w:color="auto" w:sz="4" w:space="0"/>
                  </w:tcBorders>
                  <w:vAlign w:val="center"/>
                </w:tcPr>
                <w:p w14:paraId="1AB64AB3">
                  <w:pPr>
                    <w:pStyle w:val="65"/>
                    <w:jc w:val="both"/>
                    <w:rPr>
                      <w:color w:val="auto"/>
                    </w:rPr>
                  </w:pPr>
                  <w:r>
                    <w:rPr>
                      <w:color w:val="auto"/>
                    </w:rPr>
                    <w:t>方阵S03南侧154m，距箱变最近距离181m，距改扩建道路约5m</w:t>
                  </w:r>
                </w:p>
              </w:tc>
              <w:tc>
                <w:tcPr>
                  <w:tcW w:w="367" w:type="pct"/>
                  <w:vMerge w:val="continue"/>
                  <w:tcBorders>
                    <w:top w:val="nil"/>
                    <w:left w:val="single" w:color="auto" w:sz="4" w:space="0"/>
                    <w:bottom w:val="single" w:color="auto" w:sz="4" w:space="0"/>
                    <w:right w:val="single" w:color="auto" w:sz="4" w:space="0"/>
                  </w:tcBorders>
                  <w:vAlign w:val="center"/>
                </w:tcPr>
                <w:p w14:paraId="5E5C87AC">
                  <w:pPr>
                    <w:pStyle w:val="65"/>
                    <w:rPr>
                      <w:color w:val="auto"/>
                    </w:rPr>
                  </w:pPr>
                </w:p>
              </w:tc>
            </w:tr>
            <w:tr w14:paraId="1E13FF06">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5534E9AD">
                  <w:pPr>
                    <w:pStyle w:val="65"/>
                    <w:rPr>
                      <w:color w:val="auto"/>
                    </w:rPr>
                  </w:pPr>
                </w:p>
              </w:tc>
              <w:tc>
                <w:tcPr>
                  <w:tcW w:w="486" w:type="pct"/>
                  <w:tcBorders>
                    <w:top w:val="nil"/>
                    <w:left w:val="nil"/>
                    <w:bottom w:val="single" w:color="auto" w:sz="4" w:space="0"/>
                    <w:right w:val="single" w:color="auto" w:sz="4" w:space="0"/>
                  </w:tcBorders>
                  <w:vAlign w:val="center"/>
                </w:tcPr>
                <w:p w14:paraId="69F56278">
                  <w:pPr>
                    <w:pStyle w:val="65"/>
                    <w:rPr>
                      <w:color w:val="auto"/>
                    </w:rPr>
                  </w:pPr>
                  <w:r>
                    <w:rPr>
                      <w:color w:val="auto"/>
                    </w:rPr>
                    <w:t>大平掌</w:t>
                  </w:r>
                </w:p>
              </w:tc>
              <w:tc>
                <w:tcPr>
                  <w:tcW w:w="430" w:type="pct"/>
                  <w:tcBorders>
                    <w:top w:val="nil"/>
                    <w:left w:val="nil"/>
                    <w:bottom w:val="single" w:color="auto" w:sz="4" w:space="0"/>
                    <w:right w:val="single" w:color="auto" w:sz="4" w:space="0"/>
                  </w:tcBorders>
                  <w:vAlign w:val="center"/>
                </w:tcPr>
                <w:p w14:paraId="05CF8085">
                  <w:pPr>
                    <w:pStyle w:val="65"/>
                    <w:rPr>
                      <w:color w:val="auto"/>
                    </w:rPr>
                  </w:pPr>
                  <w:r>
                    <w:rPr>
                      <w:color w:val="auto"/>
                    </w:rPr>
                    <w:t>大平掌</w:t>
                  </w:r>
                </w:p>
              </w:tc>
              <w:tc>
                <w:tcPr>
                  <w:tcW w:w="642" w:type="pct"/>
                  <w:tcBorders>
                    <w:top w:val="nil"/>
                    <w:left w:val="nil"/>
                    <w:bottom w:val="single" w:color="auto" w:sz="4" w:space="0"/>
                    <w:right w:val="single" w:color="auto" w:sz="4" w:space="0"/>
                  </w:tcBorders>
                  <w:noWrap/>
                  <w:vAlign w:val="center"/>
                </w:tcPr>
                <w:p w14:paraId="04822984">
                  <w:pPr>
                    <w:pStyle w:val="65"/>
                    <w:rPr>
                      <w:color w:val="auto"/>
                    </w:rPr>
                  </w:pPr>
                  <w:r>
                    <w:rPr>
                      <w:color w:val="auto"/>
                    </w:rPr>
                    <w:t>100°26′43.717″</w:t>
                  </w:r>
                </w:p>
              </w:tc>
              <w:tc>
                <w:tcPr>
                  <w:tcW w:w="642" w:type="pct"/>
                  <w:tcBorders>
                    <w:top w:val="nil"/>
                    <w:left w:val="nil"/>
                    <w:bottom w:val="single" w:color="auto" w:sz="4" w:space="0"/>
                    <w:right w:val="single" w:color="auto" w:sz="4" w:space="0"/>
                  </w:tcBorders>
                  <w:noWrap/>
                  <w:vAlign w:val="center"/>
                </w:tcPr>
                <w:p w14:paraId="107F4D1A">
                  <w:pPr>
                    <w:pStyle w:val="65"/>
                    <w:rPr>
                      <w:color w:val="auto"/>
                    </w:rPr>
                  </w:pPr>
                  <w:r>
                    <w:rPr>
                      <w:color w:val="auto"/>
                    </w:rPr>
                    <w:t>24°45′5.757″</w:t>
                  </w:r>
                </w:p>
              </w:tc>
              <w:tc>
                <w:tcPr>
                  <w:tcW w:w="688" w:type="pct"/>
                  <w:tcBorders>
                    <w:top w:val="nil"/>
                    <w:left w:val="nil"/>
                    <w:bottom w:val="single" w:color="auto" w:sz="4" w:space="0"/>
                    <w:right w:val="single" w:color="auto" w:sz="4" w:space="0"/>
                  </w:tcBorders>
                  <w:noWrap/>
                  <w:vAlign w:val="center"/>
                </w:tcPr>
                <w:p w14:paraId="7EBD8EFF">
                  <w:pPr>
                    <w:pStyle w:val="65"/>
                    <w:rPr>
                      <w:color w:val="auto"/>
                    </w:rPr>
                  </w:pPr>
                  <w:r>
                    <w:rPr>
                      <w:color w:val="auto"/>
                    </w:rPr>
                    <w:t>37户152人</w:t>
                  </w:r>
                </w:p>
              </w:tc>
              <w:tc>
                <w:tcPr>
                  <w:tcW w:w="691" w:type="pct"/>
                  <w:tcBorders>
                    <w:top w:val="nil"/>
                    <w:left w:val="nil"/>
                    <w:bottom w:val="single" w:color="auto" w:sz="4" w:space="0"/>
                    <w:right w:val="single" w:color="auto" w:sz="4" w:space="0"/>
                  </w:tcBorders>
                  <w:vAlign w:val="center"/>
                </w:tcPr>
                <w:p w14:paraId="4923C173">
                  <w:pPr>
                    <w:pStyle w:val="65"/>
                    <w:jc w:val="both"/>
                    <w:rPr>
                      <w:color w:val="auto"/>
                    </w:rPr>
                  </w:pPr>
                  <w:r>
                    <w:rPr>
                      <w:color w:val="auto"/>
                    </w:rPr>
                    <w:t>位于1#光伏阵列东北侧52m，距箱变最近距离178m</w:t>
                  </w:r>
                </w:p>
              </w:tc>
              <w:tc>
                <w:tcPr>
                  <w:tcW w:w="641" w:type="pct"/>
                  <w:tcBorders>
                    <w:top w:val="nil"/>
                    <w:left w:val="nil"/>
                    <w:bottom w:val="single" w:color="auto" w:sz="4" w:space="0"/>
                    <w:right w:val="single" w:color="auto" w:sz="4" w:space="0"/>
                  </w:tcBorders>
                  <w:vAlign w:val="center"/>
                </w:tcPr>
                <w:p w14:paraId="7BC13982">
                  <w:pPr>
                    <w:pStyle w:val="65"/>
                    <w:jc w:val="both"/>
                    <w:rPr>
                      <w:color w:val="auto"/>
                    </w:rPr>
                  </w:pPr>
                  <w:r>
                    <w:rPr>
                      <w:color w:val="auto"/>
                    </w:rPr>
                    <w:t>方阵S22东侧52米，距箱变最近距离164m，距新建道路紧邻</w:t>
                  </w:r>
                </w:p>
              </w:tc>
              <w:tc>
                <w:tcPr>
                  <w:tcW w:w="367" w:type="pct"/>
                  <w:vMerge w:val="continue"/>
                  <w:tcBorders>
                    <w:top w:val="nil"/>
                    <w:left w:val="single" w:color="auto" w:sz="4" w:space="0"/>
                    <w:bottom w:val="single" w:color="auto" w:sz="4" w:space="0"/>
                    <w:right w:val="single" w:color="auto" w:sz="4" w:space="0"/>
                  </w:tcBorders>
                  <w:vAlign w:val="center"/>
                </w:tcPr>
                <w:p w14:paraId="3EC81D2C">
                  <w:pPr>
                    <w:pStyle w:val="65"/>
                    <w:rPr>
                      <w:color w:val="auto"/>
                    </w:rPr>
                  </w:pPr>
                </w:p>
              </w:tc>
            </w:tr>
            <w:tr w14:paraId="02536B12">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002B3B16">
                  <w:pPr>
                    <w:pStyle w:val="65"/>
                    <w:rPr>
                      <w:color w:val="auto"/>
                    </w:rPr>
                  </w:pPr>
                </w:p>
              </w:tc>
              <w:tc>
                <w:tcPr>
                  <w:tcW w:w="486" w:type="pct"/>
                  <w:tcBorders>
                    <w:top w:val="nil"/>
                    <w:left w:val="nil"/>
                    <w:bottom w:val="single" w:color="auto" w:sz="4" w:space="0"/>
                    <w:right w:val="single" w:color="auto" w:sz="4" w:space="0"/>
                  </w:tcBorders>
                  <w:vAlign w:val="center"/>
                </w:tcPr>
                <w:p w14:paraId="15866D6C">
                  <w:pPr>
                    <w:pStyle w:val="65"/>
                    <w:rPr>
                      <w:color w:val="auto"/>
                    </w:rPr>
                  </w:pPr>
                  <w:r>
                    <w:rPr>
                      <w:color w:val="auto"/>
                    </w:rPr>
                    <w:t>下柏枝</w:t>
                  </w:r>
                </w:p>
              </w:tc>
              <w:tc>
                <w:tcPr>
                  <w:tcW w:w="430" w:type="pct"/>
                  <w:tcBorders>
                    <w:top w:val="nil"/>
                    <w:left w:val="nil"/>
                    <w:bottom w:val="single" w:color="auto" w:sz="4" w:space="0"/>
                    <w:right w:val="single" w:color="auto" w:sz="4" w:space="0"/>
                  </w:tcBorders>
                  <w:vAlign w:val="center"/>
                </w:tcPr>
                <w:p w14:paraId="61208513">
                  <w:pPr>
                    <w:pStyle w:val="65"/>
                    <w:rPr>
                      <w:color w:val="auto"/>
                    </w:rPr>
                  </w:pPr>
                  <w:r>
                    <w:rPr>
                      <w:color w:val="auto"/>
                    </w:rPr>
                    <w:t>下柏枝</w:t>
                  </w:r>
                </w:p>
              </w:tc>
              <w:tc>
                <w:tcPr>
                  <w:tcW w:w="642" w:type="pct"/>
                  <w:tcBorders>
                    <w:top w:val="nil"/>
                    <w:left w:val="nil"/>
                    <w:bottom w:val="single" w:color="auto" w:sz="4" w:space="0"/>
                    <w:right w:val="single" w:color="auto" w:sz="4" w:space="0"/>
                  </w:tcBorders>
                  <w:noWrap/>
                  <w:vAlign w:val="center"/>
                </w:tcPr>
                <w:p w14:paraId="379E24FE">
                  <w:pPr>
                    <w:pStyle w:val="65"/>
                    <w:rPr>
                      <w:color w:val="auto"/>
                    </w:rPr>
                  </w:pPr>
                  <w:r>
                    <w:rPr>
                      <w:color w:val="auto"/>
                    </w:rPr>
                    <w:t>100°26′28.886″</w:t>
                  </w:r>
                </w:p>
              </w:tc>
              <w:tc>
                <w:tcPr>
                  <w:tcW w:w="642" w:type="pct"/>
                  <w:tcBorders>
                    <w:top w:val="nil"/>
                    <w:left w:val="nil"/>
                    <w:bottom w:val="single" w:color="auto" w:sz="4" w:space="0"/>
                    <w:right w:val="single" w:color="auto" w:sz="4" w:space="0"/>
                  </w:tcBorders>
                  <w:noWrap/>
                  <w:vAlign w:val="center"/>
                </w:tcPr>
                <w:p w14:paraId="48FDF053">
                  <w:pPr>
                    <w:pStyle w:val="65"/>
                    <w:rPr>
                      <w:color w:val="auto"/>
                    </w:rPr>
                  </w:pPr>
                  <w:r>
                    <w:rPr>
                      <w:color w:val="auto"/>
                    </w:rPr>
                    <w:t>24°45′23.639″</w:t>
                  </w:r>
                </w:p>
              </w:tc>
              <w:tc>
                <w:tcPr>
                  <w:tcW w:w="688" w:type="pct"/>
                  <w:tcBorders>
                    <w:top w:val="nil"/>
                    <w:left w:val="nil"/>
                    <w:bottom w:val="single" w:color="auto" w:sz="4" w:space="0"/>
                    <w:right w:val="single" w:color="auto" w:sz="4" w:space="0"/>
                  </w:tcBorders>
                  <w:noWrap/>
                  <w:vAlign w:val="center"/>
                </w:tcPr>
                <w:p w14:paraId="50F98801">
                  <w:pPr>
                    <w:pStyle w:val="65"/>
                    <w:rPr>
                      <w:color w:val="auto"/>
                    </w:rPr>
                  </w:pPr>
                  <w:r>
                    <w:rPr>
                      <w:color w:val="auto"/>
                    </w:rPr>
                    <w:t>4户17人</w:t>
                  </w:r>
                </w:p>
              </w:tc>
              <w:tc>
                <w:tcPr>
                  <w:tcW w:w="691" w:type="pct"/>
                  <w:tcBorders>
                    <w:top w:val="nil"/>
                    <w:left w:val="nil"/>
                    <w:bottom w:val="single" w:color="auto" w:sz="4" w:space="0"/>
                    <w:right w:val="single" w:color="auto" w:sz="4" w:space="0"/>
                  </w:tcBorders>
                  <w:vAlign w:val="center"/>
                </w:tcPr>
                <w:p w14:paraId="0FE35EC4">
                  <w:pPr>
                    <w:pStyle w:val="65"/>
                    <w:jc w:val="both"/>
                    <w:rPr>
                      <w:color w:val="auto"/>
                    </w:rPr>
                  </w:pPr>
                  <w:r>
                    <w:rPr>
                      <w:color w:val="auto"/>
                    </w:rPr>
                    <w:t>位于4#光伏阵列北侧171m，距箱变最近距离403m</w:t>
                  </w:r>
                </w:p>
              </w:tc>
              <w:tc>
                <w:tcPr>
                  <w:tcW w:w="641" w:type="pct"/>
                  <w:tcBorders>
                    <w:top w:val="nil"/>
                    <w:left w:val="nil"/>
                    <w:bottom w:val="single" w:color="auto" w:sz="4" w:space="0"/>
                    <w:right w:val="single" w:color="auto" w:sz="4" w:space="0"/>
                  </w:tcBorders>
                  <w:vAlign w:val="center"/>
                </w:tcPr>
                <w:p w14:paraId="20B734DC">
                  <w:pPr>
                    <w:pStyle w:val="65"/>
                    <w:jc w:val="both"/>
                    <w:rPr>
                      <w:color w:val="auto"/>
                    </w:rPr>
                  </w:pPr>
                  <w:r>
                    <w:rPr>
                      <w:color w:val="auto"/>
                    </w:rPr>
                    <w:t>方阵S19北侧170米，距箱变最近距离408m，距新建道路约338m</w:t>
                  </w:r>
                </w:p>
              </w:tc>
              <w:tc>
                <w:tcPr>
                  <w:tcW w:w="367" w:type="pct"/>
                  <w:vMerge w:val="continue"/>
                  <w:tcBorders>
                    <w:top w:val="nil"/>
                    <w:left w:val="single" w:color="auto" w:sz="4" w:space="0"/>
                    <w:bottom w:val="single" w:color="auto" w:sz="4" w:space="0"/>
                    <w:right w:val="single" w:color="auto" w:sz="4" w:space="0"/>
                  </w:tcBorders>
                  <w:vAlign w:val="center"/>
                </w:tcPr>
                <w:p w14:paraId="2F73A37B">
                  <w:pPr>
                    <w:pStyle w:val="65"/>
                    <w:rPr>
                      <w:color w:val="auto"/>
                    </w:rPr>
                  </w:pPr>
                </w:p>
              </w:tc>
            </w:tr>
            <w:tr w14:paraId="091902BC">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553F4CA8">
                  <w:pPr>
                    <w:pStyle w:val="65"/>
                    <w:rPr>
                      <w:color w:val="auto"/>
                    </w:rPr>
                  </w:pPr>
                </w:p>
              </w:tc>
              <w:tc>
                <w:tcPr>
                  <w:tcW w:w="486" w:type="pct"/>
                  <w:tcBorders>
                    <w:top w:val="nil"/>
                    <w:left w:val="nil"/>
                    <w:bottom w:val="single" w:color="auto" w:sz="4" w:space="0"/>
                    <w:right w:val="single" w:color="auto" w:sz="4" w:space="0"/>
                  </w:tcBorders>
                  <w:vAlign w:val="center"/>
                </w:tcPr>
                <w:p w14:paraId="786CAEEF">
                  <w:pPr>
                    <w:pStyle w:val="65"/>
                    <w:rPr>
                      <w:color w:val="auto"/>
                    </w:rPr>
                  </w:pPr>
                  <w:r>
                    <w:rPr>
                      <w:color w:val="auto"/>
                    </w:rPr>
                    <w:t>顿德</w:t>
                  </w:r>
                </w:p>
              </w:tc>
              <w:tc>
                <w:tcPr>
                  <w:tcW w:w="430" w:type="pct"/>
                  <w:tcBorders>
                    <w:top w:val="nil"/>
                    <w:left w:val="nil"/>
                    <w:bottom w:val="single" w:color="auto" w:sz="4" w:space="0"/>
                    <w:right w:val="single" w:color="auto" w:sz="4" w:space="0"/>
                  </w:tcBorders>
                  <w:vAlign w:val="center"/>
                </w:tcPr>
                <w:p w14:paraId="7C7FF8DD">
                  <w:pPr>
                    <w:pStyle w:val="65"/>
                    <w:rPr>
                      <w:color w:val="auto"/>
                    </w:rPr>
                  </w:pPr>
                  <w:r>
                    <w:rPr>
                      <w:color w:val="auto"/>
                    </w:rPr>
                    <w:t>顿德</w:t>
                  </w:r>
                </w:p>
              </w:tc>
              <w:tc>
                <w:tcPr>
                  <w:tcW w:w="642" w:type="pct"/>
                  <w:tcBorders>
                    <w:top w:val="nil"/>
                    <w:left w:val="nil"/>
                    <w:bottom w:val="single" w:color="auto" w:sz="4" w:space="0"/>
                    <w:right w:val="single" w:color="auto" w:sz="4" w:space="0"/>
                  </w:tcBorders>
                  <w:noWrap/>
                  <w:vAlign w:val="center"/>
                </w:tcPr>
                <w:p w14:paraId="547B21CE">
                  <w:pPr>
                    <w:pStyle w:val="65"/>
                    <w:rPr>
                      <w:color w:val="auto"/>
                    </w:rPr>
                  </w:pPr>
                  <w:r>
                    <w:rPr>
                      <w:color w:val="auto"/>
                    </w:rPr>
                    <w:t>100°26′53.837″</w:t>
                  </w:r>
                </w:p>
              </w:tc>
              <w:tc>
                <w:tcPr>
                  <w:tcW w:w="642" w:type="pct"/>
                  <w:tcBorders>
                    <w:top w:val="nil"/>
                    <w:left w:val="nil"/>
                    <w:bottom w:val="single" w:color="auto" w:sz="4" w:space="0"/>
                    <w:right w:val="single" w:color="auto" w:sz="4" w:space="0"/>
                  </w:tcBorders>
                  <w:noWrap/>
                  <w:vAlign w:val="center"/>
                </w:tcPr>
                <w:p w14:paraId="12CCCEDB">
                  <w:pPr>
                    <w:pStyle w:val="65"/>
                    <w:rPr>
                      <w:color w:val="auto"/>
                    </w:rPr>
                  </w:pPr>
                  <w:r>
                    <w:rPr>
                      <w:color w:val="auto"/>
                    </w:rPr>
                    <w:t>24°45′16.301″</w:t>
                  </w:r>
                </w:p>
              </w:tc>
              <w:tc>
                <w:tcPr>
                  <w:tcW w:w="688" w:type="pct"/>
                  <w:tcBorders>
                    <w:top w:val="nil"/>
                    <w:left w:val="nil"/>
                    <w:bottom w:val="single" w:color="auto" w:sz="4" w:space="0"/>
                    <w:right w:val="single" w:color="auto" w:sz="4" w:space="0"/>
                  </w:tcBorders>
                  <w:noWrap/>
                  <w:vAlign w:val="center"/>
                </w:tcPr>
                <w:p w14:paraId="56285411">
                  <w:pPr>
                    <w:pStyle w:val="65"/>
                    <w:rPr>
                      <w:color w:val="auto"/>
                    </w:rPr>
                  </w:pPr>
                  <w:r>
                    <w:rPr>
                      <w:color w:val="auto"/>
                    </w:rPr>
                    <w:t>65户288人</w:t>
                  </w:r>
                </w:p>
              </w:tc>
              <w:tc>
                <w:tcPr>
                  <w:tcW w:w="691" w:type="pct"/>
                  <w:tcBorders>
                    <w:top w:val="nil"/>
                    <w:left w:val="nil"/>
                    <w:bottom w:val="single" w:color="auto" w:sz="4" w:space="0"/>
                    <w:right w:val="single" w:color="auto" w:sz="4" w:space="0"/>
                  </w:tcBorders>
                  <w:vAlign w:val="center"/>
                </w:tcPr>
                <w:p w14:paraId="642DE5F7">
                  <w:pPr>
                    <w:pStyle w:val="65"/>
                    <w:jc w:val="both"/>
                    <w:rPr>
                      <w:color w:val="auto"/>
                    </w:rPr>
                  </w:pPr>
                  <w:r>
                    <w:rPr>
                      <w:color w:val="auto"/>
                    </w:rPr>
                    <w:t>位于2#光伏阵列东北侧362m，距箱变最近距离543m</w:t>
                  </w:r>
                </w:p>
              </w:tc>
              <w:tc>
                <w:tcPr>
                  <w:tcW w:w="641" w:type="pct"/>
                  <w:tcBorders>
                    <w:top w:val="nil"/>
                    <w:left w:val="nil"/>
                    <w:bottom w:val="single" w:color="auto" w:sz="4" w:space="0"/>
                    <w:right w:val="single" w:color="auto" w:sz="4" w:space="0"/>
                  </w:tcBorders>
                  <w:vAlign w:val="center"/>
                </w:tcPr>
                <w:p w14:paraId="4FDC341C">
                  <w:pPr>
                    <w:pStyle w:val="65"/>
                    <w:jc w:val="both"/>
                    <w:rPr>
                      <w:color w:val="auto"/>
                    </w:rPr>
                  </w:pPr>
                  <w:r>
                    <w:rPr>
                      <w:color w:val="auto"/>
                    </w:rPr>
                    <w:t>方阵S21东北侧370米，距改扩建道路约433m</w:t>
                  </w:r>
                </w:p>
              </w:tc>
              <w:tc>
                <w:tcPr>
                  <w:tcW w:w="367" w:type="pct"/>
                  <w:vMerge w:val="continue"/>
                  <w:tcBorders>
                    <w:top w:val="nil"/>
                    <w:left w:val="single" w:color="auto" w:sz="4" w:space="0"/>
                    <w:bottom w:val="single" w:color="auto" w:sz="4" w:space="0"/>
                    <w:right w:val="single" w:color="auto" w:sz="4" w:space="0"/>
                  </w:tcBorders>
                  <w:vAlign w:val="center"/>
                </w:tcPr>
                <w:p w14:paraId="4DC7E7EB">
                  <w:pPr>
                    <w:pStyle w:val="65"/>
                    <w:rPr>
                      <w:color w:val="auto"/>
                    </w:rPr>
                  </w:pPr>
                </w:p>
              </w:tc>
            </w:tr>
            <w:tr w14:paraId="7BCD3E84">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1F8A8A0A">
                  <w:pPr>
                    <w:pStyle w:val="65"/>
                    <w:rPr>
                      <w:color w:val="auto"/>
                    </w:rPr>
                  </w:pPr>
                </w:p>
              </w:tc>
              <w:tc>
                <w:tcPr>
                  <w:tcW w:w="486" w:type="pct"/>
                  <w:tcBorders>
                    <w:top w:val="nil"/>
                    <w:left w:val="nil"/>
                    <w:bottom w:val="single" w:color="auto" w:sz="4" w:space="0"/>
                    <w:right w:val="single" w:color="auto" w:sz="4" w:space="0"/>
                  </w:tcBorders>
                  <w:vAlign w:val="center"/>
                </w:tcPr>
                <w:p w14:paraId="20DE6DC3">
                  <w:pPr>
                    <w:pStyle w:val="65"/>
                    <w:rPr>
                      <w:color w:val="auto"/>
                    </w:rPr>
                  </w:pPr>
                  <w:r>
                    <w:rPr>
                      <w:color w:val="auto"/>
                    </w:rPr>
                    <w:t>上柏芝</w:t>
                  </w:r>
                </w:p>
              </w:tc>
              <w:tc>
                <w:tcPr>
                  <w:tcW w:w="430" w:type="pct"/>
                  <w:tcBorders>
                    <w:top w:val="nil"/>
                    <w:left w:val="nil"/>
                    <w:bottom w:val="single" w:color="auto" w:sz="4" w:space="0"/>
                    <w:right w:val="single" w:color="auto" w:sz="4" w:space="0"/>
                  </w:tcBorders>
                  <w:vAlign w:val="center"/>
                </w:tcPr>
                <w:p w14:paraId="10259A4C">
                  <w:pPr>
                    <w:pStyle w:val="65"/>
                    <w:rPr>
                      <w:color w:val="auto"/>
                    </w:rPr>
                  </w:pPr>
                  <w:r>
                    <w:rPr>
                      <w:color w:val="auto"/>
                    </w:rPr>
                    <w:t>上柏芝</w:t>
                  </w:r>
                </w:p>
              </w:tc>
              <w:tc>
                <w:tcPr>
                  <w:tcW w:w="642" w:type="pct"/>
                  <w:tcBorders>
                    <w:top w:val="nil"/>
                    <w:left w:val="nil"/>
                    <w:bottom w:val="single" w:color="auto" w:sz="4" w:space="0"/>
                    <w:right w:val="single" w:color="auto" w:sz="4" w:space="0"/>
                  </w:tcBorders>
                  <w:noWrap/>
                  <w:vAlign w:val="center"/>
                </w:tcPr>
                <w:p w14:paraId="0D9D21E4">
                  <w:pPr>
                    <w:pStyle w:val="65"/>
                    <w:rPr>
                      <w:color w:val="auto"/>
                    </w:rPr>
                  </w:pPr>
                  <w:r>
                    <w:rPr>
                      <w:color w:val="auto"/>
                    </w:rPr>
                    <w:t>100°26′40.319″</w:t>
                  </w:r>
                </w:p>
              </w:tc>
              <w:tc>
                <w:tcPr>
                  <w:tcW w:w="642" w:type="pct"/>
                  <w:tcBorders>
                    <w:top w:val="nil"/>
                    <w:left w:val="nil"/>
                    <w:bottom w:val="single" w:color="auto" w:sz="4" w:space="0"/>
                    <w:right w:val="single" w:color="auto" w:sz="4" w:space="0"/>
                  </w:tcBorders>
                  <w:noWrap/>
                  <w:vAlign w:val="center"/>
                </w:tcPr>
                <w:p w14:paraId="6029D7DB">
                  <w:pPr>
                    <w:pStyle w:val="65"/>
                    <w:rPr>
                      <w:color w:val="auto"/>
                    </w:rPr>
                  </w:pPr>
                  <w:r>
                    <w:rPr>
                      <w:color w:val="auto"/>
                    </w:rPr>
                    <w:t>24°45′21.361″</w:t>
                  </w:r>
                </w:p>
              </w:tc>
              <w:tc>
                <w:tcPr>
                  <w:tcW w:w="688" w:type="pct"/>
                  <w:tcBorders>
                    <w:top w:val="nil"/>
                    <w:left w:val="nil"/>
                    <w:bottom w:val="single" w:color="auto" w:sz="4" w:space="0"/>
                    <w:right w:val="single" w:color="auto" w:sz="4" w:space="0"/>
                  </w:tcBorders>
                  <w:noWrap/>
                  <w:vAlign w:val="center"/>
                </w:tcPr>
                <w:p w14:paraId="404AD6F5">
                  <w:pPr>
                    <w:pStyle w:val="65"/>
                    <w:rPr>
                      <w:color w:val="auto"/>
                    </w:rPr>
                  </w:pPr>
                  <w:r>
                    <w:rPr>
                      <w:color w:val="auto"/>
                    </w:rPr>
                    <w:t>21户95人</w:t>
                  </w:r>
                </w:p>
              </w:tc>
              <w:tc>
                <w:tcPr>
                  <w:tcW w:w="691" w:type="pct"/>
                  <w:tcBorders>
                    <w:top w:val="nil"/>
                    <w:left w:val="nil"/>
                    <w:bottom w:val="single" w:color="auto" w:sz="4" w:space="0"/>
                    <w:right w:val="single" w:color="auto" w:sz="4" w:space="0"/>
                  </w:tcBorders>
                  <w:vAlign w:val="center"/>
                </w:tcPr>
                <w:p w14:paraId="12254C26">
                  <w:pPr>
                    <w:pStyle w:val="65"/>
                    <w:jc w:val="both"/>
                    <w:rPr>
                      <w:color w:val="auto"/>
                    </w:rPr>
                  </w:pPr>
                  <w:r>
                    <w:rPr>
                      <w:color w:val="auto"/>
                    </w:rPr>
                    <w:t>位于2#光伏阵列北侧336m，距箱变最近距离485m</w:t>
                  </w:r>
                </w:p>
              </w:tc>
              <w:tc>
                <w:tcPr>
                  <w:tcW w:w="641" w:type="pct"/>
                  <w:tcBorders>
                    <w:top w:val="nil"/>
                    <w:left w:val="nil"/>
                    <w:bottom w:val="single" w:color="auto" w:sz="4" w:space="0"/>
                    <w:right w:val="single" w:color="auto" w:sz="4" w:space="0"/>
                  </w:tcBorders>
                  <w:vAlign w:val="center"/>
                </w:tcPr>
                <w:p w14:paraId="3BE70ACC">
                  <w:pPr>
                    <w:pStyle w:val="65"/>
                    <w:jc w:val="both"/>
                    <w:rPr>
                      <w:color w:val="auto"/>
                    </w:rPr>
                  </w:pPr>
                  <w:r>
                    <w:rPr>
                      <w:color w:val="auto"/>
                    </w:rPr>
                    <w:t>方阵S20、S21东北侧346米，距新建道路约440m</w:t>
                  </w:r>
                </w:p>
              </w:tc>
              <w:tc>
                <w:tcPr>
                  <w:tcW w:w="367" w:type="pct"/>
                  <w:vMerge w:val="continue"/>
                  <w:tcBorders>
                    <w:top w:val="nil"/>
                    <w:left w:val="single" w:color="auto" w:sz="4" w:space="0"/>
                    <w:bottom w:val="single" w:color="auto" w:sz="4" w:space="0"/>
                    <w:right w:val="single" w:color="auto" w:sz="4" w:space="0"/>
                  </w:tcBorders>
                  <w:vAlign w:val="center"/>
                </w:tcPr>
                <w:p w14:paraId="29960868">
                  <w:pPr>
                    <w:pStyle w:val="65"/>
                    <w:rPr>
                      <w:color w:val="auto"/>
                    </w:rPr>
                  </w:pPr>
                </w:p>
              </w:tc>
            </w:tr>
            <w:tr w14:paraId="0CE7E4FF">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0BE44BC3">
                  <w:pPr>
                    <w:pStyle w:val="65"/>
                    <w:rPr>
                      <w:color w:val="auto"/>
                    </w:rPr>
                  </w:pPr>
                </w:p>
              </w:tc>
              <w:tc>
                <w:tcPr>
                  <w:tcW w:w="486" w:type="pct"/>
                  <w:tcBorders>
                    <w:top w:val="nil"/>
                    <w:left w:val="nil"/>
                    <w:bottom w:val="single" w:color="auto" w:sz="4" w:space="0"/>
                    <w:right w:val="single" w:color="auto" w:sz="4" w:space="0"/>
                  </w:tcBorders>
                  <w:vAlign w:val="center"/>
                </w:tcPr>
                <w:p w14:paraId="503B2A6A">
                  <w:pPr>
                    <w:pStyle w:val="65"/>
                    <w:rPr>
                      <w:color w:val="auto"/>
                    </w:rPr>
                  </w:pPr>
                  <w:r>
                    <w:rPr>
                      <w:color w:val="auto"/>
                    </w:rPr>
                    <w:t>柏芝新村</w:t>
                  </w:r>
                </w:p>
              </w:tc>
              <w:tc>
                <w:tcPr>
                  <w:tcW w:w="430" w:type="pct"/>
                  <w:tcBorders>
                    <w:top w:val="nil"/>
                    <w:left w:val="nil"/>
                    <w:bottom w:val="single" w:color="auto" w:sz="4" w:space="0"/>
                    <w:right w:val="single" w:color="auto" w:sz="4" w:space="0"/>
                  </w:tcBorders>
                  <w:vAlign w:val="center"/>
                </w:tcPr>
                <w:p w14:paraId="08D715A7">
                  <w:pPr>
                    <w:pStyle w:val="65"/>
                    <w:rPr>
                      <w:color w:val="auto"/>
                    </w:rPr>
                  </w:pPr>
                  <w:r>
                    <w:rPr>
                      <w:color w:val="auto"/>
                    </w:rPr>
                    <w:t>柏芝新村</w:t>
                  </w:r>
                </w:p>
              </w:tc>
              <w:tc>
                <w:tcPr>
                  <w:tcW w:w="642" w:type="pct"/>
                  <w:tcBorders>
                    <w:top w:val="nil"/>
                    <w:left w:val="nil"/>
                    <w:bottom w:val="single" w:color="auto" w:sz="4" w:space="0"/>
                    <w:right w:val="single" w:color="auto" w:sz="4" w:space="0"/>
                  </w:tcBorders>
                  <w:noWrap/>
                  <w:vAlign w:val="center"/>
                </w:tcPr>
                <w:p w14:paraId="3E6665C9">
                  <w:pPr>
                    <w:pStyle w:val="65"/>
                    <w:rPr>
                      <w:color w:val="auto"/>
                    </w:rPr>
                  </w:pPr>
                  <w:r>
                    <w:rPr>
                      <w:color w:val="auto"/>
                    </w:rPr>
                    <w:t>100°26′46.421″</w:t>
                  </w:r>
                </w:p>
              </w:tc>
              <w:tc>
                <w:tcPr>
                  <w:tcW w:w="642" w:type="pct"/>
                  <w:tcBorders>
                    <w:top w:val="nil"/>
                    <w:left w:val="nil"/>
                    <w:bottom w:val="single" w:color="auto" w:sz="4" w:space="0"/>
                    <w:right w:val="single" w:color="auto" w:sz="4" w:space="0"/>
                  </w:tcBorders>
                  <w:noWrap/>
                  <w:vAlign w:val="center"/>
                </w:tcPr>
                <w:p w14:paraId="795B99BF">
                  <w:pPr>
                    <w:pStyle w:val="65"/>
                    <w:rPr>
                      <w:color w:val="auto"/>
                    </w:rPr>
                  </w:pPr>
                  <w:r>
                    <w:rPr>
                      <w:color w:val="auto"/>
                    </w:rPr>
                    <w:t>24°45′20.859″</w:t>
                  </w:r>
                </w:p>
              </w:tc>
              <w:tc>
                <w:tcPr>
                  <w:tcW w:w="688" w:type="pct"/>
                  <w:tcBorders>
                    <w:top w:val="nil"/>
                    <w:left w:val="nil"/>
                    <w:bottom w:val="single" w:color="auto" w:sz="4" w:space="0"/>
                    <w:right w:val="single" w:color="auto" w:sz="4" w:space="0"/>
                  </w:tcBorders>
                  <w:noWrap/>
                  <w:vAlign w:val="center"/>
                </w:tcPr>
                <w:p w14:paraId="4A262A66">
                  <w:pPr>
                    <w:pStyle w:val="65"/>
                    <w:rPr>
                      <w:color w:val="auto"/>
                    </w:rPr>
                  </w:pPr>
                  <w:r>
                    <w:rPr>
                      <w:color w:val="auto"/>
                    </w:rPr>
                    <w:t>34户153人</w:t>
                  </w:r>
                </w:p>
              </w:tc>
              <w:tc>
                <w:tcPr>
                  <w:tcW w:w="691" w:type="pct"/>
                  <w:tcBorders>
                    <w:top w:val="nil"/>
                    <w:left w:val="nil"/>
                    <w:bottom w:val="single" w:color="auto" w:sz="4" w:space="0"/>
                    <w:right w:val="single" w:color="auto" w:sz="4" w:space="0"/>
                  </w:tcBorders>
                  <w:vAlign w:val="center"/>
                </w:tcPr>
                <w:p w14:paraId="35356831">
                  <w:pPr>
                    <w:pStyle w:val="65"/>
                    <w:jc w:val="both"/>
                    <w:rPr>
                      <w:color w:val="auto"/>
                    </w:rPr>
                  </w:pPr>
                  <w:r>
                    <w:rPr>
                      <w:color w:val="auto"/>
                    </w:rPr>
                    <w:t>位于2#光伏阵列东北侧366m，距箱变最近距离570m</w:t>
                  </w:r>
                </w:p>
              </w:tc>
              <w:tc>
                <w:tcPr>
                  <w:tcW w:w="641" w:type="pct"/>
                  <w:tcBorders>
                    <w:top w:val="nil"/>
                    <w:left w:val="nil"/>
                    <w:bottom w:val="single" w:color="auto" w:sz="4" w:space="0"/>
                    <w:right w:val="single" w:color="auto" w:sz="4" w:space="0"/>
                  </w:tcBorders>
                  <w:vAlign w:val="center"/>
                </w:tcPr>
                <w:p w14:paraId="5CEAF12C">
                  <w:pPr>
                    <w:pStyle w:val="65"/>
                    <w:rPr>
                      <w:color w:val="auto"/>
                    </w:rPr>
                  </w:pPr>
                  <w:r>
                    <w:rPr>
                      <w:color w:val="auto"/>
                    </w:rPr>
                    <w:t>方阵S21东北侧362米</w:t>
                  </w:r>
                </w:p>
              </w:tc>
              <w:tc>
                <w:tcPr>
                  <w:tcW w:w="367" w:type="pct"/>
                  <w:vMerge w:val="continue"/>
                  <w:tcBorders>
                    <w:top w:val="nil"/>
                    <w:left w:val="single" w:color="auto" w:sz="4" w:space="0"/>
                    <w:bottom w:val="single" w:color="auto" w:sz="4" w:space="0"/>
                    <w:right w:val="single" w:color="auto" w:sz="4" w:space="0"/>
                  </w:tcBorders>
                  <w:vAlign w:val="center"/>
                </w:tcPr>
                <w:p w14:paraId="3C3308DD">
                  <w:pPr>
                    <w:pStyle w:val="65"/>
                    <w:rPr>
                      <w:color w:val="auto"/>
                    </w:rPr>
                  </w:pPr>
                </w:p>
              </w:tc>
            </w:tr>
            <w:tr w14:paraId="7BD6BF8A">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3748D4E4">
                  <w:pPr>
                    <w:pStyle w:val="65"/>
                    <w:rPr>
                      <w:color w:val="auto"/>
                    </w:rPr>
                  </w:pPr>
                </w:p>
              </w:tc>
              <w:tc>
                <w:tcPr>
                  <w:tcW w:w="486" w:type="pct"/>
                  <w:tcBorders>
                    <w:top w:val="nil"/>
                    <w:left w:val="nil"/>
                    <w:bottom w:val="single" w:color="auto" w:sz="4" w:space="0"/>
                    <w:right w:val="single" w:color="auto" w:sz="4" w:space="0"/>
                  </w:tcBorders>
                  <w:vAlign w:val="center"/>
                </w:tcPr>
                <w:p w14:paraId="001C08E5">
                  <w:pPr>
                    <w:pStyle w:val="65"/>
                    <w:rPr>
                      <w:color w:val="auto"/>
                    </w:rPr>
                  </w:pPr>
                  <w:r>
                    <w:rPr>
                      <w:color w:val="auto"/>
                    </w:rPr>
                    <w:t>大乐计</w:t>
                  </w:r>
                </w:p>
              </w:tc>
              <w:tc>
                <w:tcPr>
                  <w:tcW w:w="430" w:type="pct"/>
                  <w:tcBorders>
                    <w:top w:val="nil"/>
                    <w:left w:val="nil"/>
                    <w:bottom w:val="single" w:color="auto" w:sz="4" w:space="0"/>
                    <w:right w:val="single" w:color="auto" w:sz="4" w:space="0"/>
                  </w:tcBorders>
                  <w:vAlign w:val="center"/>
                </w:tcPr>
                <w:p w14:paraId="4E8DF968">
                  <w:pPr>
                    <w:pStyle w:val="65"/>
                    <w:rPr>
                      <w:color w:val="auto"/>
                    </w:rPr>
                  </w:pPr>
                  <w:r>
                    <w:rPr>
                      <w:color w:val="auto"/>
                    </w:rPr>
                    <w:t>大乐计</w:t>
                  </w:r>
                </w:p>
              </w:tc>
              <w:tc>
                <w:tcPr>
                  <w:tcW w:w="642" w:type="pct"/>
                  <w:tcBorders>
                    <w:top w:val="nil"/>
                    <w:left w:val="nil"/>
                    <w:bottom w:val="single" w:color="auto" w:sz="4" w:space="0"/>
                    <w:right w:val="single" w:color="auto" w:sz="4" w:space="0"/>
                  </w:tcBorders>
                  <w:noWrap/>
                  <w:vAlign w:val="center"/>
                </w:tcPr>
                <w:p w14:paraId="37A5D7CF">
                  <w:pPr>
                    <w:pStyle w:val="65"/>
                    <w:rPr>
                      <w:color w:val="auto"/>
                    </w:rPr>
                  </w:pPr>
                  <w:r>
                    <w:rPr>
                      <w:color w:val="auto"/>
                    </w:rPr>
                    <w:t>100°26′46.421″</w:t>
                  </w:r>
                </w:p>
              </w:tc>
              <w:tc>
                <w:tcPr>
                  <w:tcW w:w="642" w:type="pct"/>
                  <w:tcBorders>
                    <w:top w:val="nil"/>
                    <w:left w:val="nil"/>
                    <w:bottom w:val="single" w:color="auto" w:sz="4" w:space="0"/>
                    <w:right w:val="single" w:color="auto" w:sz="4" w:space="0"/>
                  </w:tcBorders>
                  <w:noWrap/>
                  <w:vAlign w:val="center"/>
                </w:tcPr>
                <w:p w14:paraId="7054FDEF">
                  <w:pPr>
                    <w:pStyle w:val="65"/>
                    <w:rPr>
                      <w:color w:val="auto"/>
                    </w:rPr>
                  </w:pPr>
                  <w:r>
                    <w:rPr>
                      <w:color w:val="auto"/>
                    </w:rPr>
                    <w:t>24°45′20.859″</w:t>
                  </w:r>
                </w:p>
              </w:tc>
              <w:tc>
                <w:tcPr>
                  <w:tcW w:w="688" w:type="pct"/>
                  <w:tcBorders>
                    <w:top w:val="nil"/>
                    <w:left w:val="nil"/>
                    <w:bottom w:val="single" w:color="auto" w:sz="4" w:space="0"/>
                    <w:right w:val="single" w:color="auto" w:sz="4" w:space="0"/>
                  </w:tcBorders>
                  <w:noWrap/>
                  <w:vAlign w:val="center"/>
                </w:tcPr>
                <w:p w14:paraId="079E9C95">
                  <w:pPr>
                    <w:pStyle w:val="65"/>
                    <w:rPr>
                      <w:color w:val="auto"/>
                    </w:rPr>
                  </w:pPr>
                  <w:r>
                    <w:rPr>
                      <w:color w:val="auto"/>
                    </w:rPr>
                    <w:t>34户153人</w:t>
                  </w:r>
                </w:p>
              </w:tc>
              <w:tc>
                <w:tcPr>
                  <w:tcW w:w="691" w:type="pct"/>
                  <w:tcBorders>
                    <w:top w:val="nil"/>
                    <w:left w:val="nil"/>
                    <w:bottom w:val="single" w:color="auto" w:sz="4" w:space="0"/>
                    <w:right w:val="single" w:color="auto" w:sz="4" w:space="0"/>
                  </w:tcBorders>
                  <w:vAlign w:val="center"/>
                </w:tcPr>
                <w:p w14:paraId="6AE9C330">
                  <w:pPr>
                    <w:pStyle w:val="65"/>
                    <w:jc w:val="both"/>
                    <w:rPr>
                      <w:color w:val="auto"/>
                    </w:rPr>
                  </w:pPr>
                  <w:r>
                    <w:rPr>
                      <w:color w:val="auto"/>
                    </w:rPr>
                    <w:t>位于4#光伏阵列北侧376m，距箱变最近距离594m</w:t>
                  </w:r>
                </w:p>
              </w:tc>
              <w:tc>
                <w:tcPr>
                  <w:tcW w:w="641" w:type="pct"/>
                  <w:tcBorders>
                    <w:top w:val="nil"/>
                    <w:left w:val="nil"/>
                    <w:bottom w:val="single" w:color="auto" w:sz="4" w:space="0"/>
                    <w:right w:val="single" w:color="auto" w:sz="4" w:space="0"/>
                  </w:tcBorders>
                  <w:vAlign w:val="center"/>
                </w:tcPr>
                <w:p w14:paraId="24F1F815">
                  <w:pPr>
                    <w:pStyle w:val="65"/>
                    <w:rPr>
                      <w:color w:val="auto"/>
                    </w:rPr>
                  </w:pPr>
                  <w:r>
                    <w:rPr>
                      <w:color w:val="auto"/>
                    </w:rPr>
                    <w:t>方阵S19北侧374米</w:t>
                  </w:r>
                </w:p>
              </w:tc>
              <w:tc>
                <w:tcPr>
                  <w:tcW w:w="367" w:type="pct"/>
                  <w:vMerge w:val="continue"/>
                  <w:tcBorders>
                    <w:top w:val="nil"/>
                    <w:left w:val="single" w:color="auto" w:sz="4" w:space="0"/>
                    <w:bottom w:val="single" w:color="auto" w:sz="4" w:space="0"/>
                    <w:right w:val="single" w:color="auto" w:sz="4" w:space="0"/>
                  </w:tcBorders>
                  <w:vAlign w:val="center"/>
                </w:tcPr>
                <w:p w14:paraId="71C709FA">
                  <w:pPr>
                    <w:pStyle w:val="65"/>
                    <w:rPr>
                      <w:color w:val="auto"/>
                    </w:rPr>
                  </w:pPr>
                </w:p>
              </w:tc>
            </w:tr>
            <w:tr w14:paraId="47519E42">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787F1DEC">
                  <w:pPr>
                    <w:pStyle w:val="65"/>
                    <w:rPr>
                      <w:color w:val="auto"/>
                    </w:rPr>
                  </w:pPr>
                </w:p>
              </w:tc>
              <w:tc>
                <w:tcPr>
                  <w:tcW w:w="486" w:type="pct"/>
                  <w:tcBorders>
                    <w:top w:val="nil"/>
                    <w:left w:val="nil"/>
                    <w:bottom w:val="single" w:color="auto" w:sz="4" w:space="0"/>
                    <w:right w:val="single" w:color="auto" w:sz="4" w:space="0"/>
                  </w:tcBorders>
                  <w:vAlign w:val="center"/>
                </w:tcPr>
                <w:p w14:paraId="3FABCC43">
                  <w:pPr>
                    <w:pStyle w:val="65"/>
                    <w:rPr>
                      <w:color w:val="auto"/>
                    </w:rPr>
                  </w:pPr>
                  <w:r>
                    <w:rPr>
                      <w:color w:val="auto"/>
                    </w:rPr>
                    <w:t>六保村</w:t>
                  </w:r>
                </w:p>
              </w:tc>
              <w:tc>
                <w:tcPr>
                  <w:tcW w:w="430" w:type="pct"/>
                  <w:tcBorders>
                    <w:top w:val="nil"/>
                    <w:left w:val="nil"/>
                    <w:bottom w:val="single" w:color="auto" w:sz="4" w:space="0"/>
                    <w:right w:val="single" w:color="auto" w:sz="4" w:space="0"/>
                  </w:tcBorders>
                  <w:noWrap/>
                  <w:vAlign w:val="center"/>
                </w:tcPr>
                <w:p w14:paraId="3CC804FA">
                  <w:pPr>
                    <w:pStyle w:val="65"/>
                    <w:rPr>
                      <w:color w:val="auto"/>
                    </w:rPr>
                  </w:pPr>
                  <w:r>
                    <w:rPr>
                      <w:color w:val="auto"/>
                    </w:rPr>
                    <w:t>/</w:t>
                  </w:r>
                </w:p>
              </w:tc>
              <w:tc>
                <w:tcPr>
                  <w:tcW w:w="642" w:type="pct"/>
                  <w:tcBorders>
                    <w:top w:val="nil"/>
                    <w:left w:val="nil"/>
                    <w:bottom w:val="single" w:color="auto" w:sz="4" w:space="0"/>
                    <w:right w:val="single" w:color="auto" w:sz="4" w:space="0"/>
                  </w:tcBorders>
                  <w:noWrap/>
                  <w:vAlign w:val="center"/>
                </w:tcPr>
                <w:p w14:paraId="6073AE1B">
                  <w:pPr>
                    <w:pStyle w:val="65"/>
                    <w:rPr>
                      <w:color w:val="auto"/>
                    </w:rPr>
                  </w:pPr>
                  <w:r>
                    <w:rPr>
                      <w:color w:val="auto"/>
                    </w:rPr>
                    <w:t>100°25′26.894″</w:t>
                  </w:r>
                </w:p>
              </w:tc>
              <w:tc>
                <w:tcPr>
                  <w:tcW w:w="642" w:type="pct"/>
                  <w:tcBorders>
                    <w:top w:val="nil"/>
                    <w:left w:val="nil"/>
                    <w:bottom w:val="single" w:color="auto" w:sz="4" w:space="0"/>
                    <w:right w:val="single" w:color="auto" w:sz="4" w:space="0"/>
                  </w:tcBorders>
                  <w:noWrap/>
                  <w:vAlign w:val="center"/>
                </w:tcPr>
                <w:p w14:paraId="50EB1FFE">
                  <w:pPr>
                    <w:pStyle w:val="65"/>
                    <w:rPr>
                      <w:color w:val="auto"/>
                    </w:rPr>
                  </w:pPr>
                  <w:r>
                    <w:rPr>
                      <w:color w:val="auto"/>
                    </w:rPr>
                    <w:t>24°46′28.032″</w:t>
                  </w:r>
                </w:p>
              </w:tc>
              <w:tc>
                <w:tcPr>
                  <w:tcW w:w="688" w:type="pct"/>
                  <w:tcBorders>
                    <w:top w:val="nil"/>
                    <w:left w:val="nil"/>
                    <w:bottom w:val="single" w:color="auto" w:sz="4" w:space="0"/>
                    <w:right w:val="single" w:color="auto" w:sz="4" w:space="0"/>
                  </w:tcBorders>
                  <w:noWrap/>
                  <w:vAlign w:val="center"/>
                </w:tcPr>
                <w:p w14:paraId="67373979">
                  <w:pPr>
                    <w:pStyle w:val="65"/>
                    <w:rPr>
                      <w:color w:val="auto"/>
                    </w:rPr>
                  </w:pPr>
                  <w:r>
                    <w:rPr>
                      <w:color w:val="auto"/>
                    </w:rPr>
                    <w:t>46户161人</w:t>
                  </w:r>
                </w:p>
              </w:tc>
              <w:tc>
                <w:tcPr>
                  <w:tcW w:w="691" w:type="pct"/>
                  <w:tcBorders>
                    <w:top w:val="nil"/>
                    <w:left w:val="nil"/>
                    <w:bottom w:val="single" w:color="auto" w:sz="4" w:space="0"/>
                    <w:right w:val="single" w:color="auto" w:sz="4" w:space="0"/>
                  </w:tcBorders>
                  <w:vAlign w:val="center"/>
                </w:tcPr>
                <w:p w14:paraId="4CA4CDDE">
                  <w:pPr>
                    <w:pStyle w:val="65"/>
                    <w:jc w:val="both"/>
                    <w:rPr>
                      <w:color w:val="auto"/>
                    </w:rPr>
                  </w:pPr>
                  <w:r>
                    <w:rPr>
                      <w:color w:val="auto"/>
                    </w:rPr>
                    <w:t>位于8#光伏阵列东南侧，紧邻，距箱变最近距离6m</w:t>
                  </w:r>
                </w:p>
              </w:tc>
              <w:tc>
                <w:tcPr>
                  <w:tcW w:w="641" w:type="pct"/>
                  <w:tcBorders>
                    <w:top w:val="nil"/>
                    <w:left w:val="nil"/>
                    <w:bottom w:val="single" w:color="auto" w:sz="4" w:space="0"/>
                    <w:right w:val="single" w:color="auto" w:sz="4" w:space="0"/>
                  </w:tcBorders>
                  <w:noWrap/>
                  <w:vAlign w:val="center"/>
                </w:tcPr>
                <w:p w14:paraId="697AA19A">
                  <w:pPr>
                    <w:pStyle w:val="65"/>
                    <w:rPr>
                      <w:color w:val="auto"/>
                    </w:rPr>
                  </w:pPr>
                  <w:r>
                    <w:rPr>
                      <w:color w:val="auto"/>
                    </w:rPr>
                    <w:t>/</w:t>
                  </w:r>
                </w:p>
              </w:tc>
              <w:tc>
                <w:tcPr>
                  <w:tcW w:w="367" w:type="pct"/>
                  <w:vMerge w:val="restart"/>
                  <w:tcBorders>
                    <w:top w:val="nil"/>
                    <w:left w:val="single" w:color="auto" w:sz="4" w:space="0"/>
                    <w:bottom w:val="single" w:color="auto" w:sz="4" w:space="0"/>
                    <w:right w:val="single" w:color="auto" w:sz="4" w:space="0"/>
                  </w:tcBorders>
                  <w:noWrap/>
                  <w:vAlign w:val="center"/>
                </w:tcPr>
                <w:p w14:paraId="209676A0">
                  <w:pPr>
                    <w:pStyle w:val="65"/>
                    <w:rPr>
                      <w:color w:val="auto"/>
                    </w:rPr>
                  </w:pPr>
                  <w:r>
                    <w:rPr>
                      <w:color w:val="auto"/>
                    </w:rPr>
                    <w:t>取消</w:t>
                  </w:r>
                </w:p>
              </w:tc>
            </w:tr>
            <w:tr w14:paraId="62755097">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2131246B">
                  <w:pPr>
                    <w:pStyle w:val="65"/>
                    <w:rPr>
                      <w:color w:val="auto"/>
                    </w:rPr>
                  </w:pPr>
                </w:p>
              </w:tc>
              <w:tc>
                <w:tcPr>
                  <w:tcW w:w="486" w:type="pct"/>
                  <w:tcBorders>
                    <w:top w:val="nil"/>
                    <w:left w:val="nil"/>
                    <w:bottom w:val="single" w:color="auto" w:sz="4" w:space="0"/>
                    <w:right w:val="single" w:color="auto" w:sz="4" w:space="0"/>
                  </w:tcBorders>
                  <w:vAlign w:val="center"/>
                </w:tcPr>
                <w:p w14:paraId="754ED98F">
                  <w:pPr>
                    <w:pStyle w:val="65"/>
                    <w:rPr>
                      <w:color w:val="auto"/>
                    </w:rPr>
                  </w:pPr>
                  <w:r>
                    <w:rPr>
                      <w:color w:val="auto"/>
                    </w:rPr>
                    <w:t>六保村散户1</w:t>
                  </w:r>
                </w:p>
              </w:tc>
              <w:tc>
                <w:tcPr>
                  <w:tcW w:w="430" w:type="pct"/>
                  <w:tcBorders>
                    <w:top w:val="nil"/>
                    <w:left w:val="nil"/>
                    <w:bottom w:val="single" w:color="auto" w:sz="4" w:space="0"/>
                    <w:right w:val="single" w:color="auto" w:sz="4" w:space="0"/>
                  </w:tcBorders>
                  <w:noWrap/>
                  <w:vAlign w:val="center"/>
                </w:tcPr>
                <w:p w14:paraId="6CFD4818">
                  <w:pPr>
                    <w:pStyle w:val="65"/>
                    <w:rPr>
                      <w:color w:val="auto"/>
                    </w:rPr>
                  </w:pPr>
                  <w:r>
                    <w:rPr>
                      <w:color w:val="auto"/>
                    </w:rPr>
                    <w:t>/</w:t>
                  </w:r>
                </w:p>
              </w:tc>
              <w:tc>
                <w:tcPr>
                  <w:tcW w:w="642" w:type="pct"/>
                  <w:tcBorders>
                    <w:top w:val="nil"/>
                    <w:left w:val="nil"/>
                    <w:bottom w:val="single" w:color="auto" w:sz="4" w:space="0"/>
                    <w:right w:val="single" w:color="auto" w:sz="4" w:space="0"/>
                  </w:tcBorders>
                  <w:noWrap/>
                  <w:vAlign w:val="center"/>
                </w:tcPr>
                <w:p w14:paraId="4BC3B861">
                  <w:pPr>
                    <w:pStyle w:val="65"/>
                    <w:rPr>
                      <w:color w:val="auto"/>
                    </w:rPr>
                  </w:pPr>
                  <w:r>
                    <w:rPr>
                      <w:color w:val="auto"/>
                    </w:rPr>
                    <w:t>100°25′20.869″</w:t>
                  </w:r>
                </w:p>
              </w:tc>
              <w:tc>
                <w:tcPr>
                  <w:tcW w:w="642" w:type="pct"/>
                  <w:tcBorders>
                    <w:top w:val="nil"/>
                    <w:left w:val="nil"/>
                    <w:bottom w:val="single" w:color="auto" w:sz="4" w:space="0"/>
                    <w:right w:val="single" w:color="auto" w:sz="4" w:space="0"/>
                  </w:tcBorders>
                  <w:noWrap/>
                  <w:vAlign w:val="center"/>
                </w:tcPr>
                <w:p w14:paraId="2E853E3A">
                  <w:pPr>
                    <w:pStyle w:val="65"/>
                    <w:rPr>
                      <w:color w:val="auto"/>
                    </w:rPr>
                  </w:pPr>
                  <w:r>
                    <w:rPr>
                      <w:color w:val="auto"/>
                    </w:rPr>
                    <w:t>24°46′34.077″</w:t>
                  </w:r>
                </w:p>
              </w:tc>
              <w:tc>
                <w:tcPr>
                  <w:tcW w:w="688" w:type="pct"/>
                  <w:tcBorders>
                    <w:top w:val="nil"/>
                    <w:left w:val="nil"/>
                    <w:bottom w:val="single" w:color="auto" w:sz="4" w:space="0"/>
                    <w:right w:val="single" w:color="auto" w:sz="4" w:space="0"/>
                  </w:tcBorders>
                  <w:noWrap/>
                  <w:vAlign w:val="center"/>
                </w:tcPr>
                <w:p w14:paraId="48B0FA81">
                  <w:pPr>
                    <w:pStyle w:val="65"/>
                    <w:rPr>
                      <w:color w:val="auto"/>
                    </w:rPr>
                  </w:pPr>
                  <w:r>
                    <w:rPr>
                      <w:color w:val="auto"/>
                    </w:rPr>
                    <w:t>1户4人</w:t>
                  </w:r>
                </w:p>
              </w:tc>
              <w:tc>
                <w:tcPr>
                  <w:tcW w:w="691" w:type="pct"/>
                  <w:tcBorders>
                    <w:top w:val="nil"/>
                    <w:left w:val="nil"/>
                    <w:bottom w:val="single" w:color="auto" w:sz="4" w:space="0"/>
                    <w:right w:val="single" w:color="auto" w:sz="4" w:space="0"/>
                  </w:tcBorders>
                  <w:vAlign w:val="center"/>
                </w:tcPr>
                <w:p w14:paraId="488712FC">
                  <w:pPr>
                    <w:pStyle w:val="65"/>
                    <w:jc w:val="both"/>
                    <w:rPr>
                      <w:color w:val="auto"/>
                    </w:rPr>
                  </w:pPr>
                  <w:r>
                    <w:rPr>
                      <w:color w:val="auto"/>
                    </w:rPr>
                    <w:t>位于7#光伏阵列南侧10m，距箱变最近距离6m</w:t>
                  </w:r>
                </w:p>
              </w:tc>
              <w:tc>
                <w:tcPr>
                  <w:tcW w:w="641" w:type="pct"/>
                  <w:tcBorders>
                    <w:top w:val="nil"/>
                    <w:left w:val="nil"/>
                    <w:bottom w:val="single" w:color="auto" w:sz="4" w:space="0"/>
                    <w:right w:val="single" w:color="auto" w:sz="4" w:space="0"/>
                  </w:tcBorders>
                  <w:noWrap/>
                  <w:vAlign w:val="center"/>
                </w:tcPr>
                <w:p w14:paraId="00F02B83">
                  <w:pPr>
                    <w:pStyle w:val="65"/>
                    <w:rPr>
                      <w:color w:val="auto"/>
                    </w:rPr>
                  </w:pPr>
                  <w:r>
                    <w:rPr>
                      <w:color w:val="auto"/>
                    </w:rPr>
                    <w:t>/</w:t>
                  </w:r>
                </w:p>
              </w:tc>
              <w:tc>
                <w:tcPr>
                  <w:tcW w:w="367" w:type="pct"/>
                  <w:vMerge w:val="continue"/>
                  <w:tcBorders>
                    <w:top w:val="nil"/>
                    <w:left w:val="single" w:color="auto" w:sz="4" w:space="0"/>
                    <w:bottom w:val="single" w:color="auto" w:sz="4" w:space="0"/>
                    <w:right w:val="single" w:color="auto" w:sz="4" w:space="0"/>
                  </w:tcBorders>
                  <w:vAlign w:val="center"/>
                </w:tcPr>
                <w:p w14:paraId="18C1EB87">
                  <w:pPr>
                    <w:pStyle w:val="65"/>
                    <w:rPr>
                      <w:color w:val="auto"/>
                    </w:rPr>
                  </w:pPr>
                </w:p>
              </w:tc>
            </w:tr>
            <w:tr w14:paraId="39DF2ECF">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49A19F30">
                  <w:pPr>
                    <w:pStyle w:val="65"/>
                    <w:rPr>
                      <w:color w:val="auto"/>
                    </w:rPr>
                  </w:pPr>
                </w:p>
              </w:tc>
              <w:tc>
                <w:tcPr>
                  <w:tcW w:w="486" w:type="pct"/>
                  <w:tcBorders>
                    <w:top w:val="nil"/>
                    <w:left w:val="nil"/>
                    <w:bottom w:val="single" w:color="auto" w:sz="4" w:space="0"/>
                    <w:right w:val="single" w:color="auto" w:sz="4" w:space="0"/>
                  </w:tcBorders>
                  <w:vAlign w:val="center"/>
                </w:tcPr>
                <w:p w14:paraId="5864CD00">
                  <w:pPr>
                    <w:pStyle w:val="65"/>
                    <w:rPr>
                      <w:color w:val="auto"/>
                    </w:rPr>
                  </w:pPr>
                  <w:r>
                    <w:rPr>
                      <w:color w:val="auto"/>
                    </w:rPr>
                    <w:t>六保村散户2</w:t>
                  </w:r>
                </w:p>
              </w:tc>
              <w:tc>
                <w:tcPr>
                  <w:tcW w:w="430" w:type="pct"/>
                  <w:tcBorders>
                    <w:top w:val="nil"/>
                    <w:left w:val="nil"/>
                    <w:bottom w:val="single" w:color="auto" w:sz="4" w:space="0"/>
                    <w:right w:val="single" w:color="auto" w:sz="4" w:space="0"/>
                  </w:tcBorders>
                  <w:noWrap/>
                  <w:vAlign w:val="center"/>
                </w:tcPr>
                <w:p w14:paraId="2E196DAA">
                  <w:pPr>
                    <w:pStyle w:val="65"/>
                    <w:rPr>
                      <w:color w:val="auto"/>
                    </w:rPr>
                  </w:pPr>
                  <w:r>
                    <w:rPr>
                      <w:color w:val="auto"/>
                    </w:rPr>
                    <w:t>/</w:t>
                  </w:r>
                </w:p>
              </w:tc>
              <w:tc>
                <w:tcPr>
                  <w:tcW w:w="642" w:type="pct"/>
                  <w:tcBorders>
                    <w:top w:val="nil"/>
                    <w:left w:val="nil"/>
                    <w:bottom w:val="single" w:color="auto" w:sz="4" w:space="0"/>
                    <w:right w:val="single" w:color="auto" w:sz="4" w:space="0"/>
                  </w:tcBorders>
                  <w:noWrap/>
                  <w:vAlign w:val="center"/>
                </w:tcPr>
                <w:p w14:paraId="2090E57B">
                  <w:pPr>
                    <w:pStyle w:val="65"/>
                    <w:rPr>
                      <w:color w:val="auto"/>
                    </w:rPr>
                  </w:pPr>
                  <w:r>
                    <w:rPr>
                      <w:color w:val="auto"/>
                    </w:rPr>
                    <w:t>100°25′16.079″</w:t>
                  </w:r>
                </w:p>
              </w:tc>
              <w:tc>
                <w:tcPr>
                  <w:tcW w:w="642" w:type="pct"/>
                  <w:tcBorders>
                    <w:top w:val="nil"/>
                    <w:left w:val="nil"/>
                    <w:bottom w:val="single" w:color="auto" w:sz="4" w:space="0"/>
                    <w:right w:val="single" w:color="auto" w:sz="4" w:space="0"/>
                  </w:tcBorders>
                  <w:noWrap/>
                  <w:vAlign w:val="center"/>
                </w:tcPr>
                <w:p w14:paraId="71C0678A">
                  <w:pPr>
                    <w:pStyle w:val="65"/>
                    <w:rPr>
                      <w:color w:val="auto"/>
                    </w:rPr>
                  </w:pPr>
                  <w:r>
                    <w:rPr>
                      <w:color w:val="auto"/>
                    </w:rPr>
                    <w:t>24°46′26.352″</w:t>
                  </w:r>
                </w:p>
              </w:tc>
              <w:tc>
                <w:tcPr>
                  <w:tcW w:w="688" w:type="pct"/>
                  <w:tcBorders>
                    <w:top w:val="nil"/>
                    <w:left w:val="nil"/>
                    <w:bottom w:val="single" w:color="auto" w:sz="4" w:space="0"/>
                    <w:right w:val="single" w:color="auto" w:sz="4" w:space="0"/>
                  </w:tcBorders>
                  <w:noWrap/>
                  <w:vAlign w:val="center"/>
                </w:tcPr>
                <w:p w14:paraId="7D50FA63">
                  <w:pPr>
                    <w:pStyle w:val="65"/>
                    <w:rPr>
                      <w:color w:val="auto"/>
                    </w:rPr>
                  </w:pPr>
                  <w:r>
                    <w:rPr>
                      <w:color w:val="auto"/>
                    </w:rPr>
                    <w:t>2户9人</w:t>
                  </w:r>
                </w:p>
              </w:tc>
              <w:tc>
                <w:tcPr>
                  <w:tcW w:w="691" w:type="pct"/>
                  <w:tcBorders>
                    <w:top w:val="nil"/>
                    <w:left w:val="nil"/>
                    <w:bottom w:val="single" w:color="auto" w:sz="4" w:space="0"/>
                    <w:right w:val="single" w:color="auto" w:sz="4" w:space="0"/>
                  </w:tcBorders>
                  <w:vAlign w:val="center"/>
                </w:tcPr>
                <w:p w14:paraId="26A29F7A">
                  <w:pPr>
                    <w:pStyle w:val="65"/>
                    <w:jc w:val="both"/>
                    <w:rPr>
                      <w:color w:val="auto"/>
                    </w:rPr>
                  </w:pPr>
                  <w:r>
                    <w:rPr>
                      <w:color w:val="auto"/>
                    </w:rPr>
                    <w:t>位于7#光伏阵列南侧20m，距箱变最近距离35m</w:t>
                  </w:r>
                </w:p>
              </w:tc>
              <w:tc>
                <w:tcPr>
                  <w:tcW w:w="641" w:type="pct"/>
                  <w:tcBorders>
                    <w:top w:val="nil"/>
                    <w:left w:val="nil"/>
                    <w:bottom w:val="single" w:color="auto" w:sz="4" w:space="0"/>
                    <w:right w:val="single" w:color="auto" w:sz="4" w:space="0"/>
                  </w:tcBorders>
                  <w:noWrap/>
                  <w:vAlign w:val="center"/>
                </w:tcPr>
                <w:p w14:paraId="47CCDA5F">
                  <w:pPr>
                    <w:pStyle w:val="65"/>
                    <w:rPr>
                      <w:color w:val="auto"/>
                    </w:rPr>
                  </w:pPr>
                  <w:r>
                    <w:rPr>
                      <w:color w:val="auto"/>
                    </w:rPr>
                    <w:t>/</w:t>
                  </w:r>
                </w:p>
              </w:tc>
              <w:tc>
                <w:tcPr>
                  <w:tcW w:w="367" w:type="pct"/>
                  <w:vMerge w:val="continue"/>
                  <w:tcBorders>
                    <w:top w:val="nil"/>
                    <w:left w:val="single" w:color="auto" w:sz="4" w:space="0"/>
                    <w:bottom w:val="single" w:color="auto" w:sz="4" w:space="0"/>
                    <w:right w:val="single" w:color="auto" w:sz="4" w:space="0"/>
                  </w:tcBorders>
                  <w:vAlign w:val="center"/>
                </w:tcPr>
                <w:p w14:paraId="18E23A31">
                  <w:pPr>
                    <w:pStyle w:val="65"/>
                    <w:rPr>
                      <w:color w:val="auto"/>
                    </w:rPr>
                  </w:pPr>
                </w:p>
              </w:tc>
            </w:tr>
            <w:tr w14:paraId="5A080D65">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4213A034">
                  <w:pPr>
                    <w:pStyle w:val="65"/>
                    <w:rPr>
                      <w:color w:val="auto"/>
                    </w:rPr>
                  </w:pPr>
                </w:p>
              </w:tc>
              <w:tc>
                <w:tcPr>
                  <w:tcW w:w="486" w:type="pct"/>
                  <w:tcBorders>
                    <w:top w:val="nil"/>
                    <w:left w:val="nil"/>
                    <w:bottom w:val="single" w:color="auto" w:sz="4" w:space="0"/>
                    <w:right w:val="single" w:color="auto" w:sz="4" w:space="0"/>
                  </w:tcBorders>
                  <w:vAlign w:val="center"/>
                </w:tcPr>
                <w:p w14:paraId="05F5BF0A">
                  <w:pPr>
                    <w:pStyle w:val="65"/>
                    <w:rPr>
                      <w:color w:val="auto"/>
                    </w:rPr>
                  </w:pPr>
                  <w:r>
                    <w:rPr>
                      <w:color w:val="auto"/>
                    </w:rPr>
                    <w:t>六保村散户3</w:t>
                  </w:r>
                </w:p>
              </w:tc>
              <w:tc>
                <w:tcPr>
                  <w:tcW w:w="430" w:type="pct"/>
                  <w:tcBorders>
                    <w:top w:val="nil"/>
                    <w:left w:val="nil"/>
                    <w:bottom w:val="single" w:color="auto" w:sz="4" w:space="0"/>
                    <w:right w:val="single" w:color="auto" w:sz="4" w:space="0"/>
                  </w:tcBorders>
                  <w:noWrap/>
                  <w:vAlign w:val="center"/>
                </w:tcPr>
                <w:p w14:paraId="3FAE956F">
                  <w:pPr>
                    <w:pStyle w:val="65"/>
                    <w:rPr>
                      <w:color w:val="auto"/>
                    </w:rPr>
                  </w:pPr>
                  <w:r>
                    <w:rPr>
                      <w:color w:val="auto"/>
                    </w:rPr>
                    <w:t>/</w:t>
                  </w:r>
                </w:p>
              </w:tc>
              <w:tc>
                <w:tcPr>
                  <w:tcW w:w="642" w:type="pct"/>
                  <w:tcBorders>
                    <w:top w:val="nil"/>
                    <w:left w:val="nil"/>
                    <w:bottom w:val="single" w:color="auto" w:sz="4" w:space="0"/>
                    <w:right w:val="single" w:color="auto" w:sz="4" w:space="0"/>
                  </w:tcBorders>
                  <w:noWrap/>
                  <w:vAlign w:val="center"/>
                </w:tcPr>
                <w:p w14:paraId="27A7A302">
                  <w:pPr>
                    <w:pStyle w:val="65"/>
                    <w:rPr>
                      <w:color w:val="auto"/>
                    </w:rPr>
                  </w:pPr>
                  <w:r>
                    <w:rPr>
                      <w:color w:val="auto"/>
                    </w:rPr>
                    <w:t>100°25′14.399″</w:t>
                  </w:r>
                </w:p>
              </w:tc>
              <w:tc>
                <w:tcPr>
                  <w:tcW w:w="642" w:type="pct"/>
                  <w:tcBorders>
                    <w:top w:val="nil"/>
                    <w:left w:val="nil"/>
                    <w:bottom w:val="single" w:color="auto" w:sz="4" w:space="0"/>
                    <w:right w:val="single" w:color="auto" w:sz="4" w:space="0"/>
                  </w:tcBorders>
                  <w:noWrap/>
                  <w:vAlign w:val="center"/>
                </w:tcPr>
                <w:p w14:paraId="65255BD7">
                  <w:pPr>
                    <w:pStyle w:val="65"/>
                    <w:rPr>
                      <w:color w:val="auto"/>
                    </w:rPr>
                  </w:pPr>
                  <w:r>
                    <w:rPr>
                      <w:color w:val="auto"/>
                    </w:rPr>
                    <w:t>24°46′21.630″</w:t>
                  </w:r>
                </w:p>
              </w:tc>
              <w:tc>
                <w:tcPr>
                  <w:tcW w:w="688" w:type="pct"/>
                  <w:tcBorders>
                    <w:top w:val="nil"/>
                    <w:left w:val="nil"/>
                    <w:bottom w:val="single" w:color="auto" w:sz="4" w:space="0"/>
                    <w:right w:val="single" w:color="auto" w:sz="4" w:space="0"/>
                  </w:tcBorders>
                  <w:noWrap/>
                  <w:vAlign w:val="center"/>
                </w:tcPr>
                <w:p w14:paraId="65413852">
                  <w:pPr>
                    <w:pStyle w:val="65"/>
                    <w:rPr>
                      <w:color w:val="auto"/>
                    </w:rPr>
                  </w:pPr>
                  <w:r>
                    <w:rPr>
                      <w:color w:val="auto"/>
                    </w:rPr>
                    <w:t>1户5人</w:t>
                  </w:r>
                </w:p>
              </w:tc>
              <w:tc>
                <w:tcPr>
                  <w:tcW w:w="691" w:type="pct"/>
                  <w:tcBorders>
                    <w:top w:val="nil"/>
                    <w:left w:val="nil"/>
                    <w:bottom w:val="single" w:color="auto" w:sz="4" w:space="0"/>
                    <w:right w:val="single" w:color="auto" w:sz="4" w:space="0"/>
                  </w:tcBorders>
                  <w:vAlign w:val="center"/>
                </w:tcPr>
                <w:p w14:paraId="121A8D3D">
                  <w:pPr>
                    <w:pStyle w:val="65"/>
                    <w:jc w:val="both"/>
                    <w:rPr>
                      <w:color w:val="auto"/>
                    </w:rPr>
                  </w:pPr>
                  <w:r>
                    <w:rPr>
                      <w:color w:val="auto"/>
                    </w:rPr>
                    <w:t>位于6#光伏阵列西侧和东侧14m，距箱变最近距离55m</w:t>
                  </w:r>
                </w:p>
              </w:tc>
              <w:tc>
                <w:tcPr>
                  <w:tcW w:w="641" w:type="pct"/>
                  <w:tcBorders>
                    <w:top w:val="nil"/>
                    <w:left w:val="nil"/>
                    <w:bottom w:val="single" w:color="auto" w:sz="4" w:space="0"/>
                    <w:right w:val="single" w:color="auto" w:sz="4" w:space="0"/>
                  </w:tcBorders>
                  <w:noWrap/>
                  <w:vAlign w:val="center"/>
                </w:tcPr>
                <w:p w14:paraId="1FA922C5">
                  <w:pPr>
                    <w:pStyle w:val="65"/>
                    <w:rPr>
                      <w:color w:val="auto"/>
                    </w:rPr>
                  </w:pPr>
                  <w:r>
                    <w:rPr>
                      <w:color w:val="auto"/>
                    </w:rPr>
                    <w:t>/</w:t>
                  </w:r>
                </w:p>
              </w:tc>
              <w:tc>
                <w:tcPr>
                  <w:tcW w:w="367" w:type="pct"/>
                  <w:vMerge w:val="continue"/>
                  <w:tcBorders>
                    <w:top w:val="nil"/>
                    <w:left w:val="single" w:color="auto" w:sz="4" w:space="0"/>
                    <w:bottom w:val="single" w:color="auto" w:sz="4" w:space="0"/>
                    <w:right w:val="single" w:color="auto" w:sz="4" w:space="0"/>
                  </w:tcBorders>
                  <w:vAlign w:val="center"/>
                </w:tcPr>
                <w:p w14:paraId="36A7AF97">
                  <w:pPr>
                    <w:pStyle w:val="65"/>
                    <w:rPr>
                      <w:color w:val="auto"/>
                    </w:rPr>
                  </w:pPr>
                </w:p>
              </w:tc>
            </w:tr>
            <w:tr w14:paraId="09F129D1">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01F6B7DB">
                  <w:pPr>
                    <w:pStyle w:val="65"/>
                    <w:rPr>
                      <w:color w:val="auto"/>
                    </w:rPr>
                  </w:pPr>
                </w:p>
              </w:tc>
              <w:tc>
                <w:tcPr>
                  <w:tcW w:w="486" w:type="pct"/>
                  <w:tcBorders>
                    <w:top w:val="nil"/>
                    <w:left w:val="nil"/>
                    <w:bottom w:val="single" w:color="auto" w:sz="4" w:space="0"/>
                    <w:right w:val="single" w:color="auto" w:sz="4" w:space="0"/>
                  </w:tcBorders>
                  <w:vAlign w:val="center"/>
                </w:tcPr>
                <w:p w14:paraId="70F81011">
                  <w:pPr>
                    <w:pStyle w:val="65"/>
                    <w:rPr>
                      <w:color w:val="auto"/>
                    </w:rPr>
                  </w:pPr>
                  <w:r>
                    <w:rPr>
                      <w:color w:val="auto"/>
                    </w:rPr>
                    <w:t>六保村散户4</w:t>
                  </w:r>
                </w:p>
              </w:tc>
              <w:tc>
                <w:tcPr>
                  <w:tcW w:w="430" w:type="pct"/>
                  <w:tcBorders>
                    <w:top w:val="nil"/>
                    <w:left w:val="nil"/>
                    <w:bottom w:val="single" w:color="auto" w:sz="4" w:space="0"/>
                    <w:right w:val="single" w:color="auto" w:sz="4" w:space="0"/>
                  </w:tcBorders>
                  <w:noWrap/>
                  <w:vAlign w:val="center"/>
                </w:tcPr>
                <w:p w14:paraId="778D4F44">
                  <w:pPr>
                    <w:pStyle w:val="65"/>
                    <w:rPr>
                      <w:color w:val="auto"/>
                    </w:rPr>
                  </w:pPr>
                  <w:r>
                    <w:rPr>
                      <w:color w:val="auto"/>
                    </w:rPr>
                    <w:t>/</w:t>
                  </w:r>
                </w:p>
              </w:tc>
              <w:tc>
                <w:tcPr>
                  <w:tcW w:w="642" w:type="pct"/>
                  <w:tcBorders>
                    <w:top w:val="nil"/>
                    <w:left w:val="nil"/>
                    <w:bottom w:val="single" w:color="auto" w:sz="4" w:space="0"/>
                    <w:right w:val="single" w:color="auto" w:sz="4" w:space="0"/>
                  </w:tcBorders>
                  <w:noWrap/>
                  <w:vAlign w:val="center"/>
                </w:tcPr>
                <w:p w14:paraId="0326D4A0">
                  <w:pPr>
                    <w:pStyle w:val="65"/>
                    <w:rPr>
                      <w:color w:val="auto"/>
                    </w:rPr>
                  </w:pPr>
                  <w:r>
                    <w:rPr>
                      <w:color w:val="auto"/>
                    </w:rPr>
                    <w:t>100°25′20.859″</w:t>
                  </w:r>
                </w:p>
              </w:tc>
              <w:tc>
                <w:tcPr>
                  <w:tcW w:w="642" w:type="pct"/>
                  <w:tcBorders>
                    <w:top w:val="nil"/>
                    <w:left w:val="nil"/>
                    <w:bottom w:val="single" w:color="auto" w:sz="4" w:space="0"/>
                    <w:right w:val="single" w:color="auto" w:sz="4" w:space="0"/>
                  </w:tcBorders>
                  <w:noWrap/>
                  <w:vAlign w:val="center"/>
                </w:tcPr>
                <w:p w14:paraId="03B7A76A">
                  <w:pPr>
                    <w:pStyle w:val="65"/>
                    <w:rPr>
                      <w:color w:val="auto"/>
                    </w:rPr>
                  </w:pPr>
                  <w:r>
                    <w:rPr>
                      <w:color w:val="auto"/>
                    </w:rPr>
                    <w:t>24°46′20.519″</w:t>
                  </w:r>
                </w:p>
              </w:tc>
              <w:tc>
                <w:tcPr>
                  <w:tcW w:w="688" w:type="pct"/>
                  <w:tcBorders>
                    <w:top w:val="nil"/>
                    <w:left w:val="nil"/>
                    <w:bottom w:val="single" w:color="auto" w:sz="4" w:space="0"/>
                    <w:right w:val="single" w:color="auto" w:sz="4" w:space="0"/>
                  </w:tcBorders>
                  <w:noWrap/>
                  <w:vAlign w:val="center"/>
                </w:tcPr>
                <w:p w14:paraId="379E4435">
                  <w:pPr>
                    <w:pStyle w:val="65"/>
                    <w:rPr>
                      <w:color w:val="auto"/>
                    </w:rPr>
                  </w:pPr>
                  <w:r>
                    <w:rPr>
                      <w:color w:val="auto"/>
                    </w:rPr>
                    <w:t>4户23人</w:t>
                  </w:r>
                </w:p>
              </w:tc>
              <w:tc>
                <w:tcPr>
                  <w:tcW w:w="691" w:type="pct"/>
                  <w:tcBorders>
                    <w:top w:val="nil"/>
                    <w:left w:val="nil"/>
                    <w:bottom w:val="single" w:color="auto" w:sz="4" w:space="0"/>
                    <w:right w:val="single" w:color="auto" w:sz="4" w:space="0"/>
                  </w:tcBorders>
                  <w:vAlign w:val="center"/>
                </w:tcPr>
                <w:p w14:paraId="4DAB86A7">
                  <w:pPr>
                    <w:pStyle w:val="65"/>
                    <w:jc w:val="both"/>
                    <w:rPr>
                      <w:color w:val="auto"/>
                    </w:rPr>
                  </w:pPr>
                  <w:r>
                    <w:rPr>
                      <w:color w:val="auto"/>
                    </w:rPr>
                    <w:t>位于6#光伏阵列东侧7m，距箱变最近距离219m</w:t>
                  </w:r>
                </w:p>
              </w:tc>
              <w:tc>
                <w:tcPr>
                  <w:tcW w:w="641" w:type="pct"/>
                  <w:tcBorders>
                    <w:top w:val="nil"/>
                    <w:left w:val="nil"/>
                    <w:bottom w:val="single" w:color="auto" w:sz="4" w:space="0"/>
                    <w:right w:val="single" w:color="auto" w:sz="4" w:space="0"/>
                  </w:tcBorders>
                  <w:noWrap/>
                  <w:vAlign w:val="center"/>
                </w:tcPr>
                <w:p w14:paraId="48598451">
                  <w:pPr>
                    <w:pStyle w:val="65"/>
                    <w:rPr>
                      <w:color w:val="auto"/>
                    </w:rPr>
                  </w:pPr>
                  <w:r>
                    <w:rPr>
                      <w:color w:val="auto"/>
                    </w:rPr>
                    <w:t>/</w:t>
                  </w:r>
                </w:p>
              </w:tc>
              <w:tc>
                <w:tcPr>
                  <w:tcW w:w="367" w:type="pct"/>
                  <w:vMerge w:val="continue"/>
                  <w:tcBorders>
                    <w:top w:val="nil"/>
                    <w:left w:val="single" w:color="auto" w:sz="4" w:space="0"/>
                    <w:bottom w:val="single" w:color="auto" w:sz="4" w:space="0"/>
                    <w:right w:val="single" w:color="auto" w:sz="4" w:space="0"/>
                  </w:tcBorders>
                  <w:vAlign w:val="center"/>
                </w:tcPr>
                <w:p w14:paraId="2D35F47D">
                  <w:pPr>
                    <w:pStyle w:val="65"/>
                    <w:rPr>
                      <w:color w:val="auto"/>
                    </w:rPr>
                  </w:pPr>
                </w:p>
              </w:tc>
            </w:tr>
            <w:tr w14:paraId="12C36722">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03DDF891">
                  <w:pPr>
                    <w:pStyle w:val="65"/>
                    <w:rPr>
                      <w:color w:val="auto"/>
                    </w:rPr>
                  </w:pPr>
                </w:p>
              </w:tc>
              <w:tc>
                <w:tcPr>
                  <w:tcW w:w="486" w:type="pct"/>
                  <w:tcBorders>
                    <w:top w:val="nil"/>
                    <w:left w:val="nil"/>
                    <w:bottom w:val="single" w:color="auto" w:sz="4" w:space="0"/>
                    <w:right w:val="single" w:color="auto" w:sz="4" w:space="0"/>
                  </w:tcBorders>
                  <w:noWrap/>
                  <w:vAlign w:val="center"/>
                </w:tcPr>
                <w:p w14:paraId="75958AA5">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04F4D016">
                  <w:pPr>
                    <w:pStyle w:val="65"/>
                    <w:rPr>
                      <w:color w:val="auto"/>
                    </w:rPr>
                  </w:pPr>
                  <w:r>
                    <w:rPr>
                      <w:color w:val="auto"/>
                    </w:rPr>
                    <w:t>包茂村</w:t>
                  </w:r>
                </w:p>
              </w:tc>
              <w:tc>
                <w:tcPr>
                  <w:tcW w:w="642" w:type="pct"/>
                  <w:tcBorders>
                    <w:top w:val="nil"/>
                    <w:left w:val="nil"/>
                    <w:bottom w:val="single" w:color="auto" w:sz="4" w:space="0"/>
                    <w:right w:val="single" w:color="auto" w:sz="4" w:space="0"/>
                  </w:tcBorders>
                  <w:vAlign w:val="center"/>
                </w:tcPr>
                <w:p w14:paraId="3EDF7E16">
                  <w:pPr>
                    <w:pStyle w:val="65"/>
                    <w:rPr>
                      <w:color w:val="auto"/>
                    </w:rPr>
                  </w:pPr>
                  <w:r>
                    <w:rPr>
                      <w:color w:val="auto"/>
                    </w:rPr>
                    <w:t>100°28′10.687″</w:t>
                  </w:r>
                </w:p>
              </w:tc>
              <w:tc>
                <w:tcPr>
                  <w:tcW w:w="642" w:type="pct"/>
                  <w:tcBorders>
                    <w:top w:val="nil"/>
                    <w:left w:val="nil"/>
                    <w:bottom w:val="single" w:color="auto" w:sz="4" w:space="0"/>
                    <w:right w:val="single" w:color="auto" w:sz="4" w:space="0"/>
                  </w:tcBorders>
                  <w:vAlign w:val="center"/>
                </w:tcPr>
                <w:p w14:paraId="1EF4DE46">
                  <w:pPr>
                    <w:pStyle w:val="65"/>
                    <w:rPr>
                      <w:color w:val="auto"/>
                    </w:rPr>
                  </w:pPr>
                  <w:r>
                    <w:rPr>
                      <w:color w:val="auto"/>
                    </w:rPr>
                    <w:t>24°46′6.211″</w:t>
                  </w:r>
                </w:p>
              </w:tc>
              <w:tc>
                <w:tcPr>
                  <w:tcW w:w="688" w:type="pct"/>
                  <w:tcBorders>
                    <w:top w:val="nil"/>
                    <w:left w:val="nil"/>
                    <w:bottom w:val="single" w:color="auto" w:sz="4" w:space="0"/>
                    <w:right w:val="single" w:color="auto" w:sz="4" w:space="0"/>
                  </w:tcBorders>
                  <w:vAlign w:val="center"/>
                </w:tcPr>
                <w:p w14:paraId="32FFD376">
                  <w:pPr>
                    <w:pStyle w:val="65"/>
                    <w:rPr>
                      <w:color w:val="auto"/>
                    </w:rPr>
                  </w:pPr>
                  <w:r>
                    <w:rPr>
                      <w:color w:val="auto"/>
                    </w:rPr>
                    <w:t>67户268人</w:t>
                  </w:r>
                </w:p>
              </w:tc>
              <w:tc>
                <w:tcPr>
                  <w:tcW w:w="691" w:type="pct"/>
                  <w:tcBorders>
                    <w:top w:val="nil"/>
                    <w:left w:val="nil"/>
                    <w:bottom w:val="single" w:color="auto" w:sz="4" w:space="0"/>
                    <w:right w:val="single" w:color="auto" w:sz="4" w:space="0"/>
                  </w:tcBorders>
                  <w:noWrap/>
                  <w:vAlign w:val="center"/>
                </w:tcPr>
                <w:p w14:paraId="1B6019E8">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50CE8A0F">
                  <w:pPr>
                    <w:pStyle w:val="65"/>
                    <w:jc w:val="both"/>
                    <w:rPr>
                      <w:color w:val="auto"/>
                    </w:rPr>
                  </w:pPr>
                  <w:r>
                    <w:rPr>
                      <w:color w:val="auto"/>
                    </w:rPr>
                    <w:t>方阵S12西南侧8米，距箱变最近距离109m，距新建道路约460m</w:t>
                  </w:r>
                </w:p>
              </w:tc>
              <w:tc>
                <w:tcPr>
                  <w:tcW w:w="367" w:type="pct"/>
                  <w:vMerge w:val="restart"/>
                  <w:tcBorders>
                    <w:top w:val="nil"/>
                    <w:left w:val="single" w:color="auto" w:sz="4" w:space="0"/>
                    <w:bottom w:val="single" w:color="auto" w:sz="4" w:space="0"/>
                    <w:right w:val="single" w:color="auto" w:sz="4" w:space="0"/>
                  </w:tcBorders>
                  <w:noWrap/>
                  <w:vAlign w:val="center"/>
                </w:tcPr>
                <w:p w14:paraId="1E9344CE">
                  <w:pPr>
                    <w:pStyle w:val="65"/>
                    <w:rPr>
                      <w:color w:val="auto"/>
                    </w:rPr>
                  </w:pPr>
                  <w:r>
                    <w:rPr>
                      <w:color w:val="auto"/>
                    </w:rPr>
                    <w:t>新增</w:t>
                  </w:r>
                </w:p>
              </w:tc>
            </w:tr>
            <w:tr w14:paraId="31F7C76B">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6D584416">
                  <w:pPr>
                    <w:pStyle w:val="65"/>
                    <w:rPr>
                      <w:color w:val="auto"/>
                    </w:rPr>
                  </w:pPr>
                </w:p>
              </w:tc>
              <w:tc>
                <w:tcPr>
                  <w:tcW w:w="486" w:type="pct"/>
                  <w:tcBorders>
                    <w:top w:val="nil"/>
                    <w:left w:val="nil"/>
                    <w:bottom w:val="single" w:color="auto" w:sz="4" w:space="0"/>
                    <w:right w:val="single" w:color="auto" w:sz="4" w:space="0"/>
                  </w:tcBorders>
                  <w:noWrap/>
                  <w:vAlign w:val="center"/>
                </w:tcPr>
                <w:p w14:paraId="6E38FDCB">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1B6D540D">
                  <w:pPr>
                    <w:pStyle w:val="65"/>
                    <w:rPr>
                      <w:color w:val="auto"/>
                    </w:rPr>
                  </w:pPr>
                  <w:r>
                    <w:rPr>
                      <w:color w:val="auto"/>
                    </w:rPr>
                    <w:t>包茂村散户</w:t>
                  </w:r>
                </w:p>
              </w:tc>
              <w:tc>
                <w:tcPr>
                  <w:tcW w:w="642" w:type="pct"/>
                  <w:tcBorders>
                    <w:top w:val="nil"/>
                    <w:left w:val="nil"/>
                    <w:bottom w:val="single" w:color="auto" w:sz="4" w:space="0"/>
                    <w:right w:val="single" w:color="auto" w:sz="4" w:space="0"/>
                  </w:tcBorders>
                  <w:vAlign w:val="center"/>
                </w:tcPr>
                <w:p w14:paraId="4C3E4193">
                  <w:pPr>
                    <w:pStyle w:val="65"/>
                    <w:rPr>
                      <w:color w:val="auto"/>
                    </w:rPr>
                  </w:pPr>
                  <w:r>
                    <w:rPr>
                      <w:color w:val="auto"/>
                    </w:rPr>
                    <w:t>100°28′43.344″</w:t>
                  </w:r>
                </w:p>
              </w:tc>
              <w:tc>
                <w:tcPr>
                  <w:tcW w:w="642" w:type="pct"/>
                  <w:tcBorders>
                    <w:top w:val="nil"/>
                    <w:left w:val="nil"/>
                    <w:bottom w:val="single" w:color="auto" w:sz="4" w:space="0"/>
                    <w:right w:val="single" w:color="auto" w:sz="4" w:space="0"/>
                  </w:tcBorders>
                  <w:vAlign w:val="center"/>
                </w:tcPr>
                <w:p w14:paraId="0B668FDA">
                  <w:pPr>
                    <w:pStyle w:val="65"/>
                    <w:rPr>
                      <w:color w:val="auto"/>
                    </w:rPr>
                  </w:pPr>
                  <w:r>
                    <w:rPr>
                      <w:color w:val="auto"/>
                    </w:rPr>
                    <w:t>24°46′19.80947″</w:t>
                  </w:r>
                </w:p>
              </w:tc>
              <w:tc>
                <w:tcPr>
                  <w:tcW w:w="688" w:type="pct"/>
                  <w:tcBorders>
                    <w:top w:val="nil"/>
                    <w:left w:val="nil"/>
                    <w:bottom w:val="single" w:color="auto" w:sz="4" w:space="0"/>
                    <w:right w:val="single" w:color="auto" w:sz="4" w:space="0"/>
                  </w:tcBorders>
                  <w:noWrap/>
                  <w:vAlign w:val="center"/>
                </w:tcPr>
                <w:p w14:paraId="78A963CD">
                  <w:pPr>
                    <w:pStyle w:val="65"/>
                    <w:rPr>
                      <w:color w:val="auto"/>
                    </w:rPr>
                  </w:pPr>
                  <w:r>
                    <w:rPr>
                      <w:color w:val="auto"/>
                    </w:rPr>
                    <w:t>1户5人</w:t>
                  </w:r>
                </w:p>
              </w:tc>
              <w:tc>
                <w:tcPr>
                  <w:tcW w:w="691" w:type="pct"/>
                  <w:tcBorders>
                    <w:top w:val="nil"/>
                    <w:left w:val="nil"/>
                    <w:bottom w:val="single" w:color="auto" w:sz="4" w:space="0"/>
                    <w:right w:val="single" w:color="auto" w:sz="4" w:space="0"/>
                  </w:tcBorders>
                  <w:noWrap/>
                  <w:vAlign w:val="center"/>
                </w:tcPr>
                <w:p w14:paraId="1566A5DD">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1DF5C277">
                  <w:pPr>
                    <w:pStyle w:val="65"/>
                    <w:jc w:val="both"/>
                    <w:rPr>
                      <w:color w:val="auto"/>
                    </w:rPr>
                  </w:pPr>
                  <w:r>
                    <w:rPr>
                      <w:color w:val="auto"/>
                    </w:rPr>
                    <w:t>方阵S16中间，最近距离4米，距箱变最近距离89m，距改建道路约163m</w:t>
                  </w:r>
                </w:p>
              </w:tc>
              <w:tc>
                <w:tcPr>
                  <w:tcW w:w="367" w:type="pct"/>
                  <w:vMerge w:val="continue"/>
                  <w:tcBorders>
                    <w:top w:val="nil"/>
                    <w:left w:val="single" w:color="auto" w:sz="4" w:space="0"/>
                    <w:bottom w:val="single" w:color="auto" w:sz="4" w:space="0"/>
                    <w:right w:val="single" w:color="auto" w:sz="4" w:space="0"/>
                  </w:tcBorders>
                  <w:vAlign w:val="center"/>
                </w:tcPr>
                <w:p w14:paraId="78320507">
                  <w:pPr>
                    <w:pStyle w:val="65"/>
                    <w:rPr>
                      <w:color w:val="auto"/>
                    </w:rPr>
                  </w:pPr>
                </w:p>
              </w:tc>
            </w:tr>
            <w:tr w14:paraId="5DE8AA31">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09AA20AD">
                  <w:pPr>
                    <w:pStyle w:val="65"/>
                    <w:rPr>
                      <w:color w:val="auto"/>
                    </w:rPr>
                  </w:pPr>
                </w:p>
              </w:tc>
              <w:tc>
                <w:tcPr>
                  <w:tcW w:w="486" w:type="pct"/>
                  <w:tcBorders>
                    <w:top w:val="nil"/>
                    <w:left w:val="nil"/>
                    <w:bottom w:val="single" w:color="auto" w:sz="4" w:space="0"/>
                    <w:right w:val="single" w:color="auto" w:sz="4" w:space="0"/>
                  </w:tcBorders>
                  <w:noWrap/>
                  <w:vAlign w:val="center"/>
                </w:tcPr>
                <w:p w14:paraId="5EB4474A">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451FD5CC">
                  <w:pPr>
                    <w:pStyle w:val="65"/>
                    <w:rPr>
                      <w:color w:val="auto"/>
                    </w:rPr>
                  </w:pPr>
                  <w:r>
                    <w:rPr>
                      <w:color w:val="auto"/>
                    </w:rPr>
                    <w:t>大歇场</w:t>
                  </w:r>
                </w:p>
              </w:tc>
              <w:tc>
                <w:tcPr>
                  <w:tcW w:w="642" w:type="pct"/>
                  <w:tcBorders>
                    <w:top w:val="nil"/>
                    <w:left w:val="nil"/>
                    <w:bottom w:val="single" w:color="auto" w:sz="4" w:space="0"/>
                    <w:right w:val="single" w:color="auto" w:sz="4" w:space="0"/>
                  </w:tcBorders>
                  <w:vAlign w:val="center"/>
                </w:tcPr>
                <w:p w14:paraId="7159CCDF">
                  <w:pPr>
                    <w:pStyle w:val="65"/>
                    <w:rPr>
                      <w:color w:val="auto"/>
                    </w:rPr>
                  </w:pPr>
                  <w:r>
                    <w:rPr>
                      <w:color w:val="auto"/>
                    </w:rPr>
                    <w:t>100°29′3.87735″</w:t>
                  </w:r>
                </w:p>
              </w:tc>
              <w:tc>
                <w:tcPr>
                  <w:tcW w:w="642" w:type="pct"/>
                  <w:tcBorders>
                    <w:top w:val="nil"/>
                    <w:left w:val="nil"/>
                    <w:bottom w:val="single" w:color="auto" w:sz="4" w:space="0"/>
                    <w:right w:val="single" w:color="auto" w:sz="4" w:space="0"/>
                  </w:tcBorders>
                  <w:vAlign w:val="center"/>
                </w:tcPr>
                <w:p w14:paraId="1D157815">
                  <w:pPr>
                    <w:pStyle w:val="65"/>
                    <w:rPr>
                      <w:color w:val="auto"/>
                    </w:rPr>
                  </w:pPr>
                  <w:r>
                    <w:rPr>
                      <w:color w:val="auto"/>
                    </w:rPr>
                    <w:t>24°46′14.514″</w:t>
                  </w:r>
                </w:p>
              </w:tc>
              <w:tc>
                <w:tcPr>
                  <w:tcW w:w="688" w:type="pct"/>
                  <w:tcBorders>
                    <w:top w:val="nil"/>
                    <w:left w:val="nil"/>
                    <w:bottom w:val="single" w:color="auto" w:sz="4" w:space="0"/>
                    <w:right w:val="single" w:color="auto" w:sz="4" w:space="0"/>
                  </w:tcBorders>
                  <w:noWrap/>
                  <w:vAlign w:val="center"/>
                </w:tcPr>
                <w:p w14:paraId="5BAC74DA">
                  <w:pPr>
                    <w:pStyle w:val="65"/>
                    <w:rPr>
                      <w:color w:val="auto"/>
                    </w:rPr>
                  </w:pPr>
                  <w:r>
                    <w:rPr>
                      <w:color w:val="auto"/>
                    </w:rPr>
                    <w:t>60户253人</w:t>
                  </w:r>
                </w:p>
              </w:tc>
              <w:tc>
                <w:tcPr>
                  <w:tcW w:w="691" w:type="pct"/>
                  <w:tcBorders>
                    <w:top w:val="nil"/>
                    <w:left w:val="nil"/>
                    <w:bottom w:val="single" w:color="auto" w:sz="4" w:space="0"/>
                    <w:right w:val="single" w:color="auto" w:sz="4" w:space="0"/>
                  </w:tcBorders>
                  <w:noWrap/>
                  <w:vAlign w:val="center"/>
                </w:tcPr>
                <w:p w14:paraId="020BA405">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139FF89C">
                  <w:pPr>
                    <w:pStyle w:val="65"/>
                    <w:jc w:val="both"/>
                    <w:rPr>
                      <w:color w:val="auto"/>
                    </w:rPr>
                  </w:pPr>
                  <w:r>
                    <w:rPr>
                      <w:color w:val="auto"/>
                    </w:rPr>
                    <w:t>方阵S17西侧4米，距箱变最近距离26m，距改建道路约382m</w:t>
                  </w:r>
                </w:p>
              </w:tc>
              <w:tc>
                <w:tcPr>
                  <w:tcW w:w="367" w:type="pct"/>
                  <w:vMerge w:val="continue"/>
                  <w:tcBorders>
                    <w:top w:val="nil"/>
                    <w:left w:val="single" w:color="auto" w:sz="4" w:space="0"/>
                    <w:bottom w:val="single" w:color="auto" w:sz="4" w:space="0"/>
                    <w:right w:val="single" w:color="auto" w:sz="4" w:space="0"/>
                  </w:tcBorders>
                  <w:vAlign w:val="center"/>
                </w:tcPr>
                <w:p w14:paraId="7B113344">
                  <w:pPr>
                    <w:pStyle w:val="65"/>
                    <w:rPr>
                      <w:color w:val="auto"/>
                    </w:rPr>
                  </w:pPr>
                </w:p>
              </w:tc>
            </w:tr>
            <w:tr w14:paraId="4BB350F2">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41D6089F">
                  <w:pPr>
                    <w:pStyle w:val="65"/>
                    <w:rPr>
                      <w:color w:val="auto"/>
                    </w:rPr>
                  </w:pPr>
                </w:p>
              </w:tc>
              <w:tc>
                <w:tcPr>
                  <w:tcW w:w="486" w:type="pct"/>
                  <w:tcBorders>
                    <w:top w:val="nil"/>
                    <w:left w:val="nil"/>
                    <w:bottom w:val="single" w:color="auto" w:sz="4" w:space="0"/>
                    <w:right w:val="single" w:color="auto" w:sz="4" w:space="0"/>
                  </w:tcBorders>
                  <w:noWrap/>
                  <w:vAlign w:val="center"/>
                </w:tcPr>
                <w:p w14:paraId="4B15880A">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1410BE07">
                  <w:pPr>
                    <w:pStyle w:val="65"/>
                    <w:rPr>
                      <w:color w:val="auto"/>
                    </w:rPr>
                  </w:pPr>
                  <w:r>
                    <w:rPr>
                      <w:color w:val="auto"/>
                    </w:rPr>
                    <w:t>上夺么</w:t>
                  </w:r>
                </w:p>
              </w:tc>
              <w:tc>
                <w:tcPr>
                  <w:tcW w:w="642" w:type="pct"/>
                  <w:tcBorders>
                    <w:top w:val="nil"/>
                    <w:left w:val="nil"/>
                    <w:bottom w:val="single" w:color="auto" w:sz="4" w:space="0"/>
                    <w:right w:val="single" w:color="auto" w:sz="4" w:space="0"/>
                  </w:tcBorders>
                  <w:vAlign w:val="center"/>
                </w:tcPr>
                <w:p w14:paraId="6156D693">
                  <w:pPr>
                    <w:pStyle w:val="65"/>
                    <w:rPr>
                      <w:color w:val="auto"/>
                    </w:rPr>
                  </w:pPr>
                  <w:r>
                    <w:rPr>
                      <w:color w:val="auto"/>
                    </w:rPr>
                    <w:t>100°29′14.368″</w:t>
                  </w:r>
                </w:p>
              </w:tc>
              <w:tc>
                <w:tcPr>
                  <w:tcW w:w="642" w:type="pct"/>
                  <w:tcBorders>
                    <w:top w:val="nil"/>
                    <w:left w:val="nil"/>
                    <w:bottom w:val="single" w:color="auto" w:sz="4" w:space="0"/>
                    <w:right w:val="single" w:color="auto" w:sz="4" w:space="0"/>
                  </w:tcBorders>
                  <w:vAlign w:val="center"/>
                </w:tcPr>
                <w:p w14:paraId="5B72C2E8">
                  <w:pPr>
                    <w:pStyle w:val="65"/>
                    <w:rPr>
                      <w:color w:val="auto"/>
                    </w:rPr>
                  </w:pPr>
                  <w:r>
                    <w:rPr>
                      <w:color w:val="auto"/>
                    </w:rPr>
                    <w:t>24°45′4.263″</w:t>
                  </w:r>
                </w:p>
              </w:tc>
              <w:tc>
                <w:tcPr>
                  <w:tcW w:w="688" w:type="pct"/>
                  <w:tcBorders>
                    <w:top w:val="nil"/>
                    <w:left w:val="nil"/>
                    <w:bottom w:val="single" w:color="auto" w:sz="4" w:space="0"/>
                    <w:right w:val="single" w:color="auto" w:sz="4" w:space="0"/>
                  </w:tcBorders>
                  <w:noWrap/>
                  <w:vAlign w:val="center"/>
                </w:tcPr>
                <w:p w14:paraId="5CAC21A2">
                  <w:pPr>
                    <w:pStyle w:val="65"/>
                    <w:rPr>
                      <w:color w:val="auto"/>
                    </w:rPr>
                  </w:pPr>
                  <w:r>
                    <w:rPr>
                      <w:color w:val="auto"/>
                    </w:rPr>
                    <w:t>36户148人</w:t>
                  </w:r>
                </w:p>
              </w:tc>
              <w:tc>
                <w:tcPr>
                  <w:tcW w:w="691" w:type="pct"/>
                  <w:tcBorders>
                    <w:top w:val="nil"/>
                    <w:left w:val="nil"/>
                    <w:bottom w:val="single" w:color="auto" w:sz="4" w:space="0"/>
                    <w:right w:val="single" w:color="auto" w:sz="4" w:space="0"/>
                  </w:tcBorders>
                  <w:noWrap/>
                  <w:vAlign w:val="center"/>
                </w:tcPr>
                <w:p w14:paraId="52933E82">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75D1E853">
                  <w:pPr>
                    <w:pStyle w:val="65"/>
                    <w:jc w:val="both"/>
                    <w:rPr>
                      <w:color w:val="auto"/>
                    </w:rPr>
                  </w:pPr>
                  <w:r>
                    <w:rPr>
                      <w:color w:val="auto"/>
                    </w:rPr>
                    <w:t>方阵S02东侧40米，距新建道路约430m</w:t>
                  </w:r>
                </w:p>
              </w:tc>
              <w:tc>
                <w:tcPr>
                  <w:tcW w:w="367" w:type="pct"/>
                  <w:vMerge w:val="continue"/>
                  <w:tcBorders>
                    <w:top w:val="nil"/>
                    <w:left w:val="single" w:color="auto" w:sz="4" w:space="0"/>
                    <w:bottom w:val="single" w:color="auto" w:sz="4" w:space="0"/>
                    <w:right w:val="single" w:color="auto" w:sz="4" w:space="0"/>
                  </w:tcBorders>
                  <w:vAlign w:val="center"/>
                </w:tcPr>
                <w:p w14:paraId="10CAB5F6">
                  <w:pPr>
                    <w:pStyle w:val="65"/>
                    <w:rPr>
                      <w:color w:val="auto"/>
                    </w:rPr>
                  </w:pPr>
                </w:p>
              </w:tc>
            </w:tr>
            <w:tr w14:paraId="49B7B85B">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39351EB1">
                  <w:pPr>
                    <w:pStyle w:val="65"/>
                    <w:rPr>
                      <w:color w:val="auto"/>
                    </w:rPr>
                  </w:pPr>
                </w:p>
              </w:tc>
              <w:tc>
                <w:tcPr>
                  <w:tcW w:w="486" w:type="pct"/>
                  <w:tcBorders>
                    <w:top w:val="nil"/>
                    <w:left w:val="nil"/>
                    <w:bottom w:val="single" w:color="auto" w:sz="4" w:space="0"/>
                    <w:right w:val="single" w:color="auto" w:sz="4" w:space="0"/>
                  </w:tcBorders>
                  <w:noWrap/>
                  <w:vAlign w:val="center"/>
                </w:tcPr>
                <w:p w14:paraId="45E750C8">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5612D262">
                  <w:pPr>
                    <w:pStyle w:val="65"/>
                    <w:rPr>
                      <w:color w:val="auto"/>
                    </w:rPr>
                  </w:pPr>
                  <w:r>
                    <w:rPr>
                      <w:color w:val="auto"/>
                    </w:rPr>
                    <w:t>下朵么</w:t>
                  </w:r>
                </w:p>
              </w:tc>
              <w:tc>
                <w:tcPr>
                  <w:tcW w:w="642" w:type="pct"/>
                  <w:tcBorders>
                    <w:top w:val="nil"/>
                    <w:left w:val="nil"/>
                    <w:bottom w:val="single" w:color="auto" w:sz="4" w:space="0"/>
                    <w:right w:val="single" w:color="auto" w:sz="4" w:space="0"/>
                  </w:tcBorders>
                  <w:vAlign w:val="center"/>
                </w:tcPr>
                <w:p w14:paraId="2B1DEF9D">
                  <w:pPr>
                    <w:pStyle w:val="65"/>
                    <w:rPr>
                      <w:color w:val="auto"/>
                    </w:rPr>
                  </w:pPr>
                  <w:r>
                    <w:rPr>
                      <w:color w:val="auto"/>
                    </w:rPr>
                    <w:t>100°29′1.009″</w:t>
                  </w:r>
                </w:p>
              </w:tc>
              <w:tc>
                <w:tcPr>
                  <w:tcW w:w="642" w:type="pct"/>
                  <w:tcBorders>
                    <w:top w:val="nil"/>
                    <w:left w:val="nil"/>
                    <w:bottom w:val="single" w:color="auto" w:sz="4" w:space="0"/>
                    <w:right w:val="single" w:color="auto" w:sz="4" w:space="0"/>
                  </w:tcBorders>
                  <w:vAlign w:val="center"/>
                </w:tcPr>
                <w:p w14:paraId="367E3719">
                  <w:pPr>
                    <w:pStyle w:val="65"/>
                    <w:rPr>
                      <w:color w:val="auto"/>
                    </w:rPr>
                  </w:pPr>
                  <w:r>
                    <w:rPr>
                      <w:color w:val="auto"/>
                    </w:rPr>
                    <w:t>24°44′56.840″</w:t>
                  </w:r>
                </w:p>
              </w:tc>
              <w:tc>
                <w:tcPr>
                  <w:tcW w:w="688" w:type="pct"/>
                  <w:tcBorders>
                    <w:top w:val="nil"/>
                    <w:left w:val="nil"/>
                    <w:bottom w:val="single" w:color="auto" w:sz="4" w:space="0"/>
                    <w:right w:val="single" w:color="auto" w:sz="4" w:space="0"/>
                  </w:tcBorders>
                  <w:noWrap/>
                  <w:vAlign w:val="center"/>
                </w:tcPr>
                <w:p w14:paraId="2314847D">
                  <w:pPr>
                    <w:pStyle w:val="65"/>
                    <w:rPr>
                      <w:color w:val="auto"/>
                    </w:rPr>
                  </w:pPr>
                  <w:r>
                    <w:rPr>
                      <w:color w:val="auto"/>
                    </w:rPr>
                    <w:t>17户77人</w:t>
                  </w:r>
                </w:p>
              </w:tc>
              <w:tc>
                <w:tcPr>
                  <w:tcW w:w="691" w:type="pct"/>
                  <w:tcBorders>
                    <w:top w:val="nil"/>
                    <w:left w:val="nil"/>
                    <w:bottom w:val="single" w:color="auto" w:sz="4" w:space="0"/>
                    <w:right w:val="single" w:color="auto" w:sz="4" w:space="0"/>
                  </w:tcBorders>
                  <w:noWrap/>
                  <w:vAlign w:val="center"/>
                </w:tcPr>
                <w:p w14:paraId="652B710C">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4E9CB7B2">
                  <w:pPr>
                    <w:pStyle w:val="65"/>
                    <w:jc w:val="both"/>
                    <w:rPr>
                      <w:color w:val="auto"/>
                    </w:rPr>
                  </w:pPr>
                  <w:r>
                    <w:rPr>
                      <w:color w:val="auto"/>
                    </w:rPr>
                    <w:t>方阵S02南侧163米，距箱变最近距离168m，距新建道路约304m</w:t>
                  </w:r>
                </w:p>
              </w:tc>
              <w:tc>
                <w:tcPr>
                  <w:tcW w:w="367" w:type="pct"/>
                  <w:vMerge w:val="continue"/>
                  <w:tcBorders>
                    <w:top w:val="nil"/>
                    <w:left w:val="single" w:color="auto" w:sz="4" w:space="0"/>
                    <w:bottom w:val="single" w:color="auto" w:sz="4" w:space="0"/>
                    <w:right w:val="single" w:color="auto" w:sz="4" w:space="0"/>
                  </w:tcBorders>
                  <w:vAlign w:val="center"/>
                </w:tcPr>
                <w:p w14:paraId="6D3FF570">
                  <w:pPr>
                    <w:pStyle w:val="65"/>
                    <w:rPr>
                      <w:color w:val="auto"/>
                    </w:rPr>
                  </w:pPr>
                </w:p>
              </w:tc>
            </w:tr>
            <w:tr w14:paraId="37FAB622">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28285FD7">
                  <w:pPr>
                    <w:pStyle w:val="65"/>
                    <w:rPr>
                      <w:color w:val="auto"/>
                    </w:rPr>
                  </w:pPr>
                </w:p>
              </w:tc>
              <w:tc>
                <w:tcPr>
                  <w:tcW w:w="486" w:type="pct"/>
                  <w:tcBorders>
                    <w:top w:val="nil"/>
                    <w:left w:val="nil"/>
                    <w:bottom w:val="single" w:color="auto" w:sz="4" w:space="0"/>
                    <w:right w:val="single" w:color="auto" w:sz="4" w:space="0"/>
                  </w:tcBorders>
                  <w:noWrap/>
                  <w:vAlign w:val="center"/>
                </w:tcPr>
                <w:p w14:paraId="2FF17A59">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5DEF677F">
                  <w:pPr>
                    <w:pStyle w:val="65"/>
                    <w:rPr>
                      <w:color w:val="auto"/>
                    </w:rPr>
                  </w:pPr>
                  <w:r>
                    <w:rPr>
                      <w:color w:val="auto"/>
                    </w:rPr>
                    <w:t>安召</w:t>
                  </w:r>
                </w:p>
              </w:tc>
              <w:tc>
                <w:tcPr>
                  <w:tcW w:w="642" w:type="pct"/>
                  <w:tcBorders>
                    <w:top w:val="nil"/>
                    <w:left w:val="nil"/>
                    <w:bottom w:val="single" w:color="auto" w:sz="4" w:space="0"/>
                    <w:right w:val="single" w:color="auto" w:sz="4" w:space="0"/>
                  </w:tcBorders>
                  <w:vAlign w:val="center"/>
                </w:tcPr>
                <w:p w14:paraId="446251B2">
                  <w:pPr>
                    <w:pStyle w:val="65"/>
                    <w:rPr>
                      <w:color w:val="auto"/>
                    </w:rPr>
                  </w:pPr>
                  <w:r>
                    <w:rPr>
                      <w:color w:val="auto"/>
                    </w:rPr>
                    <w:t>100°30′8.789″</w:t>
                  </w:r>
                </w:p>
              </w:tc>
              <w:tc>
                <w:tcPr>
                  <w:tcW w:w="642" w:type="pct"/>
                  <w:tcBorders>
                    <w:top w:val="nil"/>
                    <w:left w:val="nil"/>
                    <w:bottom w:val="single" w:color="auto" w:sz="4" w:space="0"/>
                    <w:right w:val="single" w:color="auto" w:sz="4" w:space="0"/>
                  </w:tcBorders>
                  <w:vAlign w:val="center"/>
                </w:tcPr>
                <w:p w14:paraId="0AE4FC59">
                  <w:pPr>
                    <w:pStyle w:val="65"/>
                    <w:rPr>
                      <w:color w:val="auto"/>
                    </w:rPr>
                  </w:pPr>
                  <w:r>
                    <w:rPr>
                      <w:color w:val="auto"/>
                    </w:rPr>
                    <w:t>24°44′42.691″</w:t>
                  </w:r>
                </w:p>
              </w:tc>
              <w:tc>
                <w:tcPr>
                  <w:tcW w:w="688" w:type="pct"/>
                  <w:tcBorders>
                    <w:top w:val="nil"/>
                    <w:left w:val="nil"/>
                    <w:bottom w:val="single" w:color="auto" w:sz="4" w:space="0"/>
                    <w:right w:val="single" w:color="auto" w:sz="4" w:space="0"/>
                  </w:tcBorders>
                  <w:noWrap/>
                  <w:vAlign w:val="center"/>
                </w:tcPr>
                <w:p w14:paraId="0DB19E47">
                  <w:pPr>
                    <w:pStyle w:val="65"/>
                    <w:rPr>
                      <w:color w:val="auto"/>
                    </w:rPr>
                  </w:pPr>
                  <w:r>
                    <w:rPr>
                      <w:color w:val="auto"/>
                    </w:rPr>
                    <w:t>15户38人</w:t>
                  </w:r>
                </w:p>
              </w:tc>
              <w:tc>
                <w:tcPr>
                  <w:tcW w:w="691" w:type="pct"/>
                  <w:tcBorders>
                    <w:top w:val="nil"/>
                    <w:left w:val="nil"/>
                    <w:bottom w:val="single" w:color="auto" w:sz="4" w:space="0"/>
                    <w:right w:val="single" w:color="auto" w:sz="4" w:space="0"/>
                  </w:tcBorders>
                  <w:noWrap/>
                  <w:vAlign w:val="center"/>
                </w:tcPr>
                <w:p w14:paraId="7211C941">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2F62BD0C">
                  <w:pPr>
                    <w:pStyle w:val="65"/>
                    <w:jc w:val="both"/>
                    <w:rPr>
                      <w:color w:val="auto"/>
                    </w:rPr>
                  </w:pPr>
                  <w:r>
                    <w:rPr>
                      <w:color w:val="auto"/>
                    </w:rPr>
                    <w:t>方阵S11东侧10米，距箱变最近距离246m，距改扩建道路约366m</w:t>
                  </w:r>
                </w:p>
              </w:tc>
              <w:tc>
                <w:tcPr>
                  <w:tcW w:w="367" w:type="pct"/>
                  <w:vMerge w:val="continue"/>
                  <w:tcBorders>
                    <w:top w:val="nil"/>
                    <w:left w:val="single" w:color="auto" w:sz="4" w:space="0"/>
                    <w:bottom w:val="single" w:color="auto" w:sz="4" w:space="0"/>
                    <w:right w:val="single" w:color="auto" w:sz="4" w:space="0"/>
                  </w:tcBorders>
                  <w:vAlign w:val="center"/>
                </w:tcPr>
                <w:p w14:paraId="79FB47B4">
                  <w:pPr>
                    <w:pStyle w:val="65"/>
                    <w:rPr>
                      <w:color w:val="auto"/>
                    </w:rPr>
                  </w:pPr>
                </w:p>
              </w:tc>
            </w:tr>
            <w:tr w14:paraId="72707419">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282A0601">
                  <w:pPr>
                    <w:pStyle w:val="65"/>
                    <w:rPr>
                      <w:color w:val="auto"/>
                    </w:rPr>
                  </w:pPr>
                </w:p>
              </w:tc>
              <w:tc>
                <w:tcPr>
                  <w:tcW w:w="486" w:type="pct"/>
                  <w:tcBorders>
                    <w:top w:val="nil"/>
                    <w:left w:val="nil"/>
                    <w:bottom w:val="single" w:color="auto" w:sz="4" w:space="0"/>
                    <w:right w:val="single" w:color="auto" w:sz="4" w:space="0"/>
                  </w:tcBorders>
                  <w:noWrap/>
                  <w:vAlign w:val="center"/>
                </w:tcPr>
                <w:p w14:paraId="6F350B0F">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60F62F37">
                  <w:pPr>
                    <w:pStyle w:val="65"/>
                    <w:rPr>
                      <w:color w:val="auto"/>
                    </w:rPr>
                  </w:pPr>
                  <w:r>
                    <w:rPr>
                      <w:color w:val="auto"/>
                    </w:rPr>
                    <w:t>新村</w:t>
                  </w:r>
                </w:p>
              </w:tc>
              <w:tc>
                <w:tcPr>
                  <w:tcW w:w="642" w:type="pct"/>
                  <w:tcBorders>
                    <w:top w:val="nil"/>
                    <w:left w:val="nil"/>
                    <w:bottom w:val="single" w:color="auto" w:sz="4" w:space="0"/>
                    <w:right w:val="single" w:color="auto" w:sz="4" w:space="0"/>
                  </w:tcBorders>
                  <w:noWrap/>
                  <w:vAlign w:val="center"/>
                </w:tcPr>
                <w:p w14:paraId="5F7E390E">
                  <w:pPr>
                    <w:pStyle w:val="65"/>
                    <w:rPr>
                      <w:color w:val="auto"/>
                    </w:rPr>
                  </w:pPr>
                  <w:r>
                    <w:rPr>
                      <w:color w:val="auto"/>
                    </w:rPr>
                    <w:t>100°26′39.757″</w:t>
                  </w:r>
                </w:p>
              </w:tc>
              <w:tc>
                <w:tcPr>
                  <w:tcW w:w="642" w:type="pct"/>
                  <w:tcBorders>
                    <w:top w:val="nil"/>
                    <w:left w:val="nil"/>
                    <w:bottom w:val="single" w:color="auto" w:sz="4" w:space="0"/>
                    <w:right w:val="single" w:color="auto" w:sz="4" w:space="0"/>
                  </w:tcBorders>
                  <w:noWrap/>
                  <w:vAlign w:val="center"/>
                </w:tcPr>
                <w:p w14:paraId="085FB365">
                  <w:pPr>
                    <w:pStyle w:val="65"/>
                    <w:rPr>
                      <w:color w:val="auto"/>
                    </w:rPr>
                  </w:pPr>
                  <w:r>
                    <w:rPr>
                      <w:color w:val="auto"/>
                    </w:rPr>
                    <w:t>24°46′32.807″</w:t>
                  </w:r>
                </w:p>
              </w:tc>
              <w:tc>
                <w:tcPr>
                  <w:tcW w:w="688" w:type="pct"/>
                  <w:tcBorders>
                    <w:top w:val="nil"/>
                    <w:left w:val="nil"/>
                    <w:bottom w:val="single" w:color="auto" w:sz="4" w:space="0"/>
                    <w:right w:val="single" w:color="auto" w:sz="4" w:space="0"/>
                  </w:tcBorders>
                  <w:noWrap/>
                  <w:vAlign w:val="center"/>
                </w:tcPr>
                <w:p w14:paraId="5A71CCFB">
                  <w:pPr>
                    <w:pStyle w:val="65"/>
                    <w:rPr>
                      <w:color w:val="auto"/>
                    </w:rPr>
                  </w:pPr>
                  <w:r>
                    <w:rPr>
                      <w:color w:val="auto"/>
                    </w:rPr>
                    <w:t>61户275人</w:t>
                  </w:r>
                </w:p>
              </w:tc>
              <w:tc>
                <w:tcPr>
                  <w:tcW w:w="691" w:type="pct"/>
                  <w:tcBorders>
                    <w:top w:val="nil"/>
                    <w:left w:val="nil"/>
                    <w:bottom w:val="single" w:color="auto" w:sz="4" w:space="0"/>
                    <w:right w:val="single" w:color="auto" w:sz="4" w:space="0"/>
                  </w:tcBorders>
                  <w:noWrap/>
                  <w:vAlign w:val="center"/>
                </w:tcPr>
                <w:p w14:paraId="5AD1A83A">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382F9A41">
                  <w:pPr>
                    <w:pStyle w:val="65"/>
                    <w:jc w:val="both"/>
                    <w:rPr>
                      <w:color w:val="auto"/>
                    </w:rPr>
                  </w:pPr>
                  <w:r>
                    <w:rPr>
                      <w:color w:val="auto"/>
                    </w:rPr>
                    <w:t>方阵S04北侧424米，距箱变最近距离350m，距改扩建道路约345m</w:t>
                  </w:r>
                </w:p>
              </w:tc>
              <w:tc>
                <w:tcPr>
                  <w:tcW w:w="367" w:type="pct"/>
                  <w:vMerge w:val="continue"/>
                  <w:tcBorders>
                    <w:top w:val="nil"/>
                    <w:left w:val="single" w:color="auto" w:sz="4" w:space="0"/>
                    <w:bottom w:val="single" w:color="auto" w:sz="4" w:space="0"/>
                    <w:right w:val="single" w:color="auto" w:sz="4" w:space="0"/>
                  </w:tcBorders>
                  <w:vAlign w:val="center"/>
                </w:tcPr>
                <w:p w14:paraId="153D79A5">
                  <w:pPr>
                    <w:pStyle w:val="65"/>
                    <w:rPr>
                      <w:color w:val="auto"/>
                    </w:rPr>
                  </w:pPr>
                </w:p>
              </w:tc>
            </w:tr>
            <w:tr w14:paraId="3ABF12C5">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5F22D605">
                  <w:pPr>
                    <w:pStyle w:val="65"/>
                    <w:rPr>
                      <w:color w:val="auto"/>
                    </w:rPr>
                  </w:pPr>
                </w:p>
              </w:tc>
              <w:tc>
                <w:tcPr>
                  <w:tcW w:w="486" w:type="pct"/>
                  <w:tcBorders>
                    <w:top w:val="nil"/>
                    <w:left w:val="nil"/>
                    <w:bottom w:val="single" w:color="auto" w:sz="4" w:space="0"/>
                    <w:right w:val="single" w:color="auto" w:sz="4" w:space="0"/>
                  </w:tcBorders>
                  <w:noWrap/>
                  <w:vAlign w:val="center"/>
                </w:tcPr>
                <w:p w14:paraId="5679703B">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0BD36F4A">
                  <w:pPr>
                    <w:pStyle w:val="65"/>
                    <w:rPr>
                      <w:color w:val="auto"/>
                    </w:rPr>
                  </w:pPr>
                  <w:r>
                    <w:rPr>
                      <w:color w:val="auto"/>
                    </w:rPr>
                    <w:t>官地村</w:t>
                  </w:r>
                </w:p>
              </w:tc>
              <w:tc>
                <w:tcPr>
                  <w:tcW w:w="642" w:type="pct"/>
                  <w:tcBorders>
                    <w:top w:val="nil"/>
                    <w:left w:val="nil"/>
                    <w:bottom w:val="single" w:color="auto" w:sz="4" w:space="0"/>
                    <w:right w:val="single" w:color="auto" w:sz="4" w:space="0"/>
                  </w:tcBorders>
                  <w:noWrap/>
                  <w:vAlign w:val="center"/>
                </w:tcPr>
                <w:p w14:paraId="496113EB">
                  <w:pPr>
                    <w:pStyle w:val="65"/>
                    <w:rPr>
                      <w:color w:val="auto"/>
                    </w:rPr>
                  </w:pPr>
                  <w:r>
                    <w:rPr>
                      <w:color w:val="auto"/>
                    </w:rPr>
                    <w:t>100°28′26.822″</w:t>
                  </w:r>
                </w:p>
              </w:tc>
              <w:tc>
                <w:tcPr>
                  <w:tcW w:w="642" w:type="pct"/>
                  <w:tcBorders>
                    <w:top w:val="nil"/>
                    <w:left w:val="nil"/>
                    <w:bottom w:val="single" w:color="auto" w:sz="4" w:space="0"/>
                    <w:right w:val="single" w:color="auto" w:sz="4" w:space="0"/>
                  </w:tcBorders>
                  <w:noWrap/>
                  <w:vAlign w:val="center"/>
                </w:tcPr>
                <w:p w14:paraId="2C45F464">
                  <w:pPr>
                    <w:pStyle w:val="65"/>
                    <w:rPr>
                      <w:color w:val="auto"/>
                    </w:rPr>
                  </w:pPr>
                  <w:r>
                    <w:rPr>
                      <w:color w:val="auto"/>
                    </w:rPr>
                    <w:t>24°44′39.949″</w:t>
                  </w:r>
                </w:p>
              </w:tc>
              <w:tc>
                <w:tcPr>
                  <w:tcW w:w="688" w:type="pct"/>
                  <w:tcBorders>
                    <w:top w:val="nil"/>
                    <w:left w:val="nil"/>
                    <w:bottom w:val="single" w:color="auto" w:sz="4" w:space="0"/>
                    <w:right w:val="single" w:color="auto" w:sz="4" w:space="0"/>
                  </w:tcBorders>
                  <w:noWrap/>
                  <w:vAlign w:val="center"/>
                </w:tcPr>
                <w:p w14:paraId="12BD67E3">
                  <w:pPr>
                    <w:pStyle w:val="65"/>
                    <w:rPr>
                      <w:color w:val="auto"/>
                    </w:rPr>
                  </w:pPr>
                  <w:r>
                    <w:rPr>
                      <w:color w:val="auto"/>
                    </w:rPr>
                    <w:t>38户196人</w:t>
                  </w:r>
                </w:p>
              </w:tc>
              <w:tc>
                <w:tcPr>
                  <w:tcW w:w="691" w:type="pct"/>
                  <w:tcBorders>
                    <w:top w:val="nil"/>
                    <w:left w:val="nil"/>
                    <w:bottom w:val="single" w:color="auto" w:sz="4" w:space="0"/>
                    <w:right w:val="single" w:color="auto" w:sz="4" w:space="0"/>
                  </w:tcBorders>
                  <w:noWrap/>
                  <w:vAlign w:val="center"/>
                </w:tcPr>
                <w:p w14:paraId="074734DA">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51C34A50">
                  <w:pPr>
                    <w:pStyle w:val="65"/>
                    <w:jc w:val="both"/>
                    <w:rPr>
                      <w:color w:val="auto"/>
                    </w:rPr>
                  </w:pPr>
                  <w:r>
                    <w:rPr>
                      <w:color w:val="auto"/>
                    </w:rPr>
                    <w:t>方阵S01南侧364米，距新建道路约202m</w:t>
                  </w:r>
                </w:p>
              </w:tc>
              <w:tc>
                <w:tcPr>
                  <w:tcW w:w="367" w:type="pct"/>
                  <w:vMerge w:val="continue"/>
                  <w:tcBorders>
                    <w:top w:val="nil"/>
                    <w:left w:val="single" w:color="auto" w:sz="4" w:space="0"/>
                    <w:bottom w:val="single" w:color="auto" w:sz="4" w:space="0"/>
                    <w:right w:val="single" w:color="auto" w:sz="4" w:space="0"/>
                  </w:tcBorders>
                  <w:vAlign w:val="center"/>
                </w:tcPr>
                <w:p w14:paraId="4C06C4F7">
                  <w:pPr>
                    <w:pStyle w:val="65"/>
                    <w:rPr>
                      <w:color w:val="auto"/>
                    </w:rPr>
                  </w:pPr>
                </w:p>
              </w:tc>
            </w:tr>
            <w:tr w14:paraId="129785B1">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4F3FDDA4">
                  <w:pPr>
                    <w:pStyle w:val="65"/>
                    <w:rPr>
                      <w:color w:val="auto"/>
                    </w:rPr>
                  </w:pPr>
                </w:p>
              </w:tc>
              <w:tc>
                <w:tcPr>
                  <w:tcW w:w="486" w:type="pct"/>
                  <w:tcBorders>
                    <w:top w:val="nil"/>
                    <w:left w:val="nil"/>
                    <w:bottom w:val="single" w:color="auto" w:sz="4" w:space="0"/>
                    <w:right w:val="single" w:color="auto" w:sz="4" w:space="0"/>
                  </w:tcBorders>
                  <w:noWrap/>
                  <w:vAlign w:val="center"/>
                </w:tcPr>
                <w:p w14:paraId="6026C0C1">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49BDA6B2">
                  <w:pPr>
                    <w:pStyle w:val="65"/>
                    <w:rPr>
                      <w:color w:val="auto"/>
                    </w:rPr>
                  </w:pPr>
                  <w:r>
                    <w:rPr>
                      <w:color w:val="auto"/>
                    </w:rPr>
                    <w:t>龙潭</w:t>
                  </w:r>
                </w:p>
              </w:tc>
              <w:tc>
                <w:tcPr>
                  <w:tcW w:w="642" w:type="pct"/>
                  <w:tcBorders>
                    <w:top w:val="nil"/>
                    <w:left w:val="nil"/>
                    <w:bottom w:val="single" w:color="auto" w:sz="4" w:space="0"/>
                    <w:right w:val="single" w:color="auto" w:sz="4" w:space="0"/>
                  </w:tcBorders>
                  <w:noWrap/>
                  <w:vAlign w:val="center"/>
                </w:tcPr>
                <w:p w14:paraId="0BB0DACD">
                  <w:pPr>
                    <w:pStyle w:val="65"/>
                    <w:rPr>
                      <w:color w:val="auto"/>
                    </w:rPr>
                  </w:pPr>
                  <w:r>
                    <w:rPr>
                      <w:color w:val="auto"/>
                    </w:rPr>
                    <w:t>100°29′13.480″</w:t>
                  </w:r>
                </w:p>
              </w:tc>
              <w:tc>
                <w:tcPr>
                  <w:tcW w:w="642" w:type="pct"/>
                  <w:tcBorders>
                    <w:top w:val="nil"/>
                    <w:left w:val="nil"/>
                    <w:bottom w:val="single" w:color="auto" w:sz="4" w:space="0"/>
                    <w:right w:val="single" w:color="auto" w:sz="4" w:space="0"/>
                  </w:tcBorders>
                  <w:noWrap/>
                  <w:vAlign w:val="center"/>
                </w:tcPr>
                <w:p w14:paraId="1AC69FAD">
                  <w:pPr>
                    <w:pStyle w:val="65"/>
                    <w:rPr>
                      <w:color w:val="auto"/>
                    </w:rPr>
                  </w:pPr>
                  <w:r>
                    <w:rPr>
                      <w:color w:val="auto"/>
                    </w:rPr>
                    <w:t>24°44′50.763″</w:t>
                  </w:r>
                </w:p>
              </w:tc>
              <w:tc>
                <w:tcPr>
                  <w:tcW w:w="688" w:type="pct"/>
                  <w:tcBorders>
                    <w:top w:val="nil"/>
                    <w:left w:val="nil"/>
                    <w:bottom w:val="single" w:color="auto" w:sz="4" w:space="0"/>
                    <w:right w:val="single" w:color="auto" w:sz="4" w:space="0"/>
                  </w:tcBorders>
                  <w:noWrap/>
                  <w:vAlign w:val="center"/>
                </w:tcPr>
                <w:p w14:paraId="50E861F9">
                  <w:pPr>
                    <w:pStyle w:val="65"/>
                    <w:rPr>
                      <w:color w:val="auto"/>
                    </w:rPr>
                  </w:pPr>
                  <w:r>
                    <w:rPr>
                      <w:color w:val="auto"/>
                    </w:rPr>
                    <w:t>21户61人</w:t>
                  </w:r>
                </w:p>
              </w:tc>
              <w:tc>
                <w:tcPr>
                  <w:tcW w:w="691" w:type="pct"/>
                  <w:tcBorders>
                    <w:top w:val="nil"/>
                    <w:left w:val="nil"/>
                    <w:bottom w:val="single" w:color="auto" w:sz="4" w:space="0"/>
                    <w:right w:val="single" w:color="auto" w:sz="4" w:space="0"/>
                  </w:tcBorders>
                  <w:noWrap/>
                  <w:vAlign w:val="center"/>
                </w:tcPr>
                <w:p w14:paraId="7E037B26">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66985E02">
                  <w:pPr>
                    <w:pStyle w:val="65"/>
                    <w:jc w:val="both"/>
                    <w:rPr>
                      <w:color w:val="auto"/>
                    </w:rPr>
                  </w:pPr>
                  <w:r>
                    <w:rPr>
                      <w:color w:val="auto"/>
                    </w:rPr>
                    <w:t>方阵S02南侧383米</w:t>
                  </w:r>
                </w:p>
              </w:tc>
              <w:tc>
                <w:tcPr>
                  <w:tcW w:w="367" w:type="pct"/>
                  <w:vMerge w:val="continue"/>
                  <w:tcBorders>
                    <w:top w:val="nil"/>
                    <w:left w:val="single" w:color="auto" w:sz="4" w:space="0"/>
                    <w:bottom w:val="single" w:color="auto" w:sz="4" w:space="0"/>
                    <w:right w:val="single" w:color="auto" w:sz="4" w:space="0"/>
                  </w:tcBorders>
                  <w:vAlign w:val="center"/>
                </w:tcPr>
                <w:p w14:paraId="7E5B60A5">
                  <w:pPr>
                    <w:pStyle w:val="65"/>
                    <w:rPr>
                      <w:color w:val="auto"/>
                    </w:rPr>
                  </w:pPr>
                </w:p>
              </w:tc>
            </w:tr>
            <w:tr w14:paraId="43B7CB89">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59F09291">
                  <w:pPr>
                    <w:pStyle w:val="65"/>
                    <w:rPr>
                      <w:color w:val="auto"/>
                    </w:rPr>
                  </w:pPr>
                </w:p>
              </w:tc>
              <w:tc>
                <w:tcPr>
                  <w:tcW w:w="486" w:type="pct"/>
                  <w:tcBorders>
                    <w:top w:val="nil"/>
                    <w:left w:val="nil"/>
                    <w:bottom w:val="single" w:color="auto" w:sz="4" w:space="0"/>
                    <w:right w:val="single" w:color="auto" w:sz="4" w:space="0"/>
                  </w:tcBorders>
                  <w:noWrap/>
                  <w:vAlign w:val="center"/>
                </w:tcPr>
                <w:p w14:paraId="7D33B883">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443A72C0">
                  <w:pPr>
                    <w:pStyle w:val="65"/>
                    <w:rPr>
                      <w:color w:val="auto"/>
                    </w:rPr>
                  </w:pPr>
                  <w:r>
                    <w:rPr>
                      <w:color w:val="auto"/>
                    </w:rPr>
                    <w:t>茶花树</w:t>
                  </w:r>
                </w:p>
              </w:tc>
              <w:tc>
                <w:tcPr>
                  <w:tcW w:w="642" w:type="pct"/>
                  <w:tcBorders>
                    <w:top w:val="nil"/>
                    <w:left w:val="nil"/>
                    <w:bottom w:val="single" w:color="auto" w:sz="4" w:space="0"/>
                    <w:right w:val="single" w:color="auto" w:sz="4" w:space="0"/>
                  </w:tcBorders>
                  <w:noWrap/>
                  <w:vAlign w:val="center"/>
                </w:tcPr>
                <w:p w14:paraId="1150FEA7">
                  <w:pPr>
                    <w:pStyle w:val="65"/>
                    <w:rPr>
                      <w:color w:val="auto"/>
                    </w:rPr>
                  </w:pPr>
                  <w:r>
                    <w:rPr>
                      <w:color w:val="auto"/>
                    </w:rPr>
                    <w:t>100°29′52.219″</w:t>
                  </w:r>
                </w:p>
              </w:tc>
              <w:tc>
                <w:tcPr>
                  <w:tcW w:w="642" w:type="pct"/>
                  <w:tcBorders>
                    <w:top w:val="nil"/>
                    <w:left w:val="nil"/>
                    <w:bottom w:val="single" w:color="auto" w:sz="4" w:space="0"/>
                    <w:right w:val="single" w:color="auto" w:sz="4" w:space="0"/>
                  </w:tcBorders>
                  <w:noWrap/>
                  <w:vAlign w:val="center"/>
                </w:tcPr>
                <w:p w14:paraId="6B460A68">
                  <w:pPr>
                    <w:pStyle w:val="65"/>
                    <w:rPr>
                      <w:color w:val="auto"/>
                    </w:rPr>
                  </w:pPr>
                  <w:r>
                    <w:rPr>
                      <w:color w:val="auto"/>
                    </w:rPr>
                    <w:t>24°44′29.288″</w:t>
                  </w:r>
                </w:p>
              </w:tc>
              <w:tc>
                <w:tcPr>
                  <w:tcW w:w="688" w:type="pct"/>
                  <w:tcBorders>
                    <w:top w:val="nil"/>
                    <w:left w:val="nil"/>
                    <w:bottom w:val="single" w:color="auto" w:sz="4" w:space="0"/>
                    <w:right w:val="single" w:color="auto" w:sz="4" w:space="0"/>
                  </w:tcBorders>
                  <w:noWrap/>
                  <w:vAlign w:val="center"/>
                </w:tcPr>
                <w:p w14:paraId="790A2B64">
                  <w:pPr>
                    <w:pStyle w:val="65"/>
                    <w:rPr>
                      <w:color w:val="auto"/>
                    </w:rPr>
                  </w:pPr>
                  <w:r>
                    <w:rPr>
                      <w:color w:val="auto"/>
                    </w:rPr>
                    <w:t>45户180人</w:t>
                  </w:r>
                </w:p>
              </w:tc>
              <w:tc>
                <w:tcPr>
                  <w:tcW w:w="691" w:type="pct"/>
                  <w:tcBorders>
                    <w:top w:val="nil"/>
                    <w:left w:val="nil"/>
                    <w:bottom w:val="single" w:color="auto" w:sz="4" w:space="0"/>
                    <w:right w:val="single" w:color="auto" w:sz="4" w:space="0"/>
                  </w:tcBorders>
                  <w:noWrap/>
                  <w:vAlign w:val="center"/>
                </w:tcPr>
                <w:p w14:paraId="162FA606">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3D00F00C">
                  <w:pPr>
                    <w:pStyle w:val="65"/>
                    <w:jc w:val="both"/>
                    <w:rPr>
                      <w:color w:val="auto"/>
                    </w:rPr>
                  </w:pPr>
                  <w:r>
                    <w:rPr>
                      <w:color w:val="auto"/>
                    </w:rPr>
                    <w:t>方阵S11西南侧348米，距箱变最近距离376m，距改扩建道路约291m</w:t>
                  </w:r>
                </w:p>
              </w:tc>
              <w:tc>
                <w:tcPr>
                  <w:tcW w:w="367" w:type="pct"/>
                  <w:vMerge w:val="continue"/>
                  <w:tcBorders>
                    <w:top w:val="nil"/>
                    <w:left w:val="single" w:color="auto" w:sz="4" w:space="0"/>
                    <w:bottom w:val="single" w:color="auto" w:sz="4" w:space="0"/>
                    <w:right w:val="single" w:color="auto" w:sz="4" w:space="0"/>
                  </w:tcBorders>
                  <w:vAlign w:val="center"/>
                </w:tcPr>
                <w:p w14:paraId="6805DB37">
                  <w:pPr>
                    <w:pStyle w:val="65"/>
                    <w:rPr>
                      <w:color w:val="auto"/>
                    </w:rPr>
                  </w:pPr>
                </w:p>
              </w:tc>
            </w:tr>
            <w:tr w14:paraId="7AF8EE45">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7D081896">
                  <w:pPr>
                    <w:pStyle w:val="65"/>
                    <w:rPr>
                      <w:color w:val="auto"/>
                    </w:rPr>
                  </w:pPr>
                </w:p>
              </w:tc>
              <w:tc>
                <w:tcPr>
                  <w:tcW w:w="486" w:type="pct"/>
                  <w:tcBorders>
                    <w:top w:val="nil"/>
                    <w:left w:val="nil"/>
                    <w:bottom w:val="single" w:color="auto" w:sz="4" w:space="0"/>
                    <w:right w:val="single" w:color="auto" w:sz="4" w:space="0"/>
                  </w:tcBorders>
                  <w:noWrap/>
                  <w:vAlign w:val="center"/>
                </w:tcPr>
                <w:p w14:paraId="3AA4402F">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4A3F1122">
                  <w:pPr>
                    <w:pStyle w:val="65"/>
                    <w:rPr>
                      <w:color w:val="auto"/>
                    </w:rPr>
                  </w:pPr>
                  <w:r>
                    <w:rPr>
                      <w:color w:val="auto"/>
                    </w:rPr>
                    <w:t>空心树</w:t>
                  </w:r>
                </w:p>
              </w:tc>
              <w:tc>
                <w:tcPr>
                  <w:tcW w:w="642" w:type="pct"/>
                  <w:tcBorders>
                    <w:top w:val="nil"/>
                    <w:left w:val="nil"/>
                    <w:bottom w:val="single" w:color="auto" w:sz="4" w:space="0"/>
                    <w:right w:val="single" w:color="auto" w:sz="4" w:space="0"/>
                  </w:tcBorders>
                  <w:noWrap/>
                  <w:vAlign w:val="center"/>
                </w:tcPr>
                <w:p w14:paraId="708118D2">
                  <w:pPr>
                    <w:pStyle w:val="65"/>
                    <w:rPr>
                      <w:color w:val="auto"/>
                    </w:rPr>
                  </w:pPr>
                  <w:r>
                    <w:rPr>
                      <w:color w:val="auto"/>
                    </w:rPr>
                    <w:t>100°29′54.692″</w:t>
                  </w:r>
                </w:p>
              </w:tc>
              <w:tc>
                <w:tcPr>
                  <w:tcW w:w="642" w:type="pct"/>
                  <w:tcBorders>
                    <w:top w:val="nil"/>
                    <w:left w:val="nil"/>
                    <w:bottom w:val="single" w:color="auto" w:sz="4" w:space="0"/>
                    <w:right w:val="single" w:color="auto" w:sz="4" w:space="0"/>
                  </w:tcBorders>
                  <w:noWrap/>
                  <w:vAlign w:val="center"/>
                </w:tcPr>
                <w:p w14:paraId="23A21778">
                  <w:pPr>
                    <w:pStyle w:val="65"/>
                    <w:rPr>
                      <w:color w:val="auto"/>
                    </w:rPr>
                  </w:pPr>
                  <w:r>
                    <w:rPr>
                      <w:color w:val="auto"/>
                    </w:rPr>
                    <w:t>24°44′22.838″</w:t>
                  </w:r>
                </w:p>
              </w:tc>
              <w:tc>
                <w:tcPr>
                  <w:tcW w:w="688" w:type="pct"/>
                  <w:tcBorders>
                    <w:top w:val="nil"/>
                    <w:left w:val="nil"/>
                    <w:bottom w:val="single" w:color="auto" w:sz="4" w:space="0"/>
                    <w:right w:val="single" w:color="auto" w:sz="4" w:space="0"/>
                  </w:tcBorders>
                  <w:noWrap/>
                  <w:vAlign w:val="center"/>
                </w:tcPr>
                <w:p w14:paraId="1C6B0EB8">
                  <w:pPr>
                    <w:pStyle w:val="65"/>
                    <w:rPr>
                      <w:color w:val="auto"/>
                    </w:rPr>
                  </w:pPr>
                  <w:r>
                    <w:rPr>
                      <w:color w:val="auto"/>
                    </w:rPr>
                    <w:t>45户181人</w:t>
                  </w:r>
                </w:p>
              </w:tc>
              <w:tc>
                <w:tcPr>
                  <w:tcW w:w="691" w:type="pct"/>
                  <w:tcBorders>
                    <w:top w:val="nil"/>
                    <w:left w:val="nil"/>
                    <w:bottom w:val="single" w:color="auto" w:sz="4" w:space="0"/>
                    <w:right w:val="single" w:color="auto" w:sz="4" w:space="0"/>
                  </w:tcBorders>
                  <w:noWrap/>
                  <w:vAlign w:val="center"/>
                </w:tcPr>
                <w:p w14:paraId="52205E31">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3ECA643A">
                  <w:pPr>
                    <w:pStyle w:val="65"/>
                    <w:jc w:val="both"/>
                    <w:rPr>
                      <w:color w:val="auto"/>
                    </w:rPr>
                  </w:pPr>
                  <w:r>
                    <w:rPr>
                      <w:color w:val="auto"/>
                    </w:rPr>
                    <w:t>方阵S11南侧463米，距箱变最近距离478m，距改扩建道路约9m</w:t>
                  </w:r>
                </w:p>
              </w:tc>
              <w:tc>
                <w:tcPr>
                  <w:tcW w:w="367" w:type="pct"/>
                  <w:vMerge w:val="continue"/>
                  <w:tcBorders>
                    <w:top w:val="nil"/>
                    <w:left w:val="single" w:color="auto" w:sz="4" w:space="0"/>
                    <w:bottom w:val="single" w:color="auto" w:sz="4" w:space="0"/>
                    <w:right w:val="single" w:color="auto" w:sz="4" w:space="0"/>
                  </w:tcBorders>
                  <w:vAlign w:val="center"/>
                </w:tcPr>
                <w:p w14:paraId="7573EA85">
                  <w:pPr>
                    <w:pStyle w:val="65"/>
                    <w:rPr>
                      <w:color w:val="auto"/>
                    </w:rPr>
                  </w:pPr>
                </w:p>
              </w:tc>
            </w:tr>
            <w:tr w14:paraId="1F3874A1">
              <w:tblPrEx>
                <w:tblCellMar>
                  <w:top w:w="0" w:type="dxa"/>
                  <w:left w:w="108" w:type="dxa"/>
                  <w:bottom w:w="0" w:type="dxa"/>
                  <w:right w:w="108" w:type="dxa"/>
                </w:tblCellMar>
              </w:tblPrEx>
              <w:trPr>
                <w:trHeight w:val="454" w:hRule="atLeast"/>
              </w:trPr>
              <w:tc>
                <w:tcPr>
                  <w:tcW w:w="413" w:type="pct"/>
                  <w:vMerge w:val="restart"/>
                  <w:tcBorders>
                    <w:top w:val="nil"/>
                    <w:left w:val="single" w:color="auto" w:sz="4" w:space="0"/>
                    <w:bottom w:val="single" w:color="auto" w:sz="4" w:space="0"/>
                    <w:right w:val="single" w:color="auto" w:sz="4" w:space="0"/>
                  </w:tcBorders>
                  <w:noWrap/>
                  <w:vAlign w:val="center"/>
                </w:tcPr>
                <w:p w14:paraId="3AD9B3F2">
                  <w:pPr>
                    <w:pStyle w:val="65"/>
                    <w:rPr>
                      <w:color w:val="auto"/>
                    </w:rPr>
                  </w:pPr>
                  <w:r>
                    <w:rPr>
                      <w:color w:val="auto"/>
                    </w:rPr>
                    <w:t>水</w:t>
                  </w:r>
                </w:p>
              </w:tc>
              <w:tc>
                <w:tcPr>
                  <w:tcW w:w="486" w:type="pct"/>
                  <w:tcBorders>
                    <w:top w:val="nil"/>
                    <w:left w:val="nil"/>
                    <w:bottom w:val="single" w:color="auto" w:sz="4" w:space="0"/>
                    <w:right w:val="single" w:color="auto" w:sz="4" w:space="0"/>
                  </w:tcBorders>
                  <w:vAlign w:val="center"/>
                </w:tcPr>
                <w:p w14:paraId="4CD90D86">
                  <w:pPr>
                    <w:pStyle w:val="65"/>
                    <w:rPr>
                      <w:color w:val="auto"/>
                    </w:rPr>
                  </w:pPr>
                  <w:r>
                    <w:rPr>
                      <w:color w:val="auto"/>
                    </w:rPr>
                    <w:t>沙乐河支流</w:t>
                  </w:r>
                </w:p>
              </w:tc>
              <w:tc>
                <w:tcPr>
                  <w:tcW w:w="430" w:type="pct"/>
                  <w:tcBorders>
                    <w:top w:val="nil"/>
                    <w:left w:val="nil"/>
                    <w:bottom w:val="single" w:color="auto" w:sz="4" w:space="0"/>
                    <w:right w:val="single" w:color="auto" w:sz="4" w:space="0"/>
                  </w:tcBorders>
                  <w:vAlign w:val="center"/>
                </w:tcPr>
                <w:p w14:paraId="3DE8B9E0">
                  <w:pPr>
                    <w:pStyle w:val="65"/>
                    <w:rPr>
                      <w:color w:val="auto"/>
                    </w:rPr>
                  </w:pPr>
                  <w:r>
                    <w:rPr>
                      <w:color w:val="auto"/>
                    </w:rPr>
                    <w:t>/</w:t>
                  </w:r>
                </w:p>
              </w:tc>
              <w:tc>
                <w:tcPr>
                  <w:tcW w:w="642" w:type="pct"/>
                  <w:tcBorders>
                    <w:top w:val="nil"/>
                    <w:left w:val="nil"/>
                    <w:bottom w:val="single" w:color="auto" w:sz="4" w:space="0"/>
                    <w:right w:val="single" w:color="auto" w:sz="4" w:space="0"/>
                  </w:tcBorders>
                  <w:noWrap/>
                  <w:vAlign w:val="center"/>
                </w:tcPr>
                <w:p w14:paraId="242FAB4E">
                  <w:pPr>
                    <w:pStyle w:val="65"/>
                    <w:rPr>
                      <w:color w:val="auto"/>
                    </w:rPr>
                  </w:pPr>
                  <w:r>
                    <w:rPr>
                      <w:color w:val="auto"/>
                    </w:rPr>
                    <w:t>/</w:t>
                  </w:r>
                </w:p>
              </w:tc>
              <w:tc>
                <w:tcPr>
                  <w:tcW w:w="642" w:type="pct"/>
                  <w:tcBorders>
                    <w:top w:val="nil"/>
                    <w:left w:val="nil"/>
                    <w:bottom w:val="single" w:color="auto" w:sz="4" w:space="0"/>
                    <w:right w:val="single" w:color="auto" w:sz="4" w:space="0"/>
                  </w:tcBorders>
                  <w:noWrap/>
                  <w:vAlign w:val="center"/>
                </w:tcPr>
                <w:p w14:paraId="53CB9C83">
                  <w:pPr>
                    <w:pStyle w:val="65"/>
                    <w:rPr>
                      <w:color w:val="auto"/>
                    </w:rPr>
                  </w:pPr>
                  <w:r>
                    <w:rPr>
                      <w:color w:val="auto"/>
                    </w:rPr>
                    <w:t>/</w:t>
                  </w:r>
                </w:p>
              </w:tc>
              <w:tc>
                <w:tcPr>
                  <w:tcW w:w="688" w:type="pct"/>
                  <w:tcBorders>
                    <w:top w:val="nil"/>
                    <w:left w:val="nil"/>
                    <w:bottom w:val="single" w:color="auto" w:sz="4" w:space="0"/>
                    <w:right w:val="single" w:color="auto" w:sz="4" w:space="0"/>
                  </w:tcBorders>
                  <w:noWrap/>
                  <w:vAlign w:val="center"/>
                </w:tcPr>
                <w:p w14:paraId="45402AE0">
                  <w:pPr>
                    <w:pStyle w:val="65"/>
                    <w:rPr>
                      <w:color w:val="auto"/>
                    </w:rPr>
                  </w:pPr>
                  <w:r>
                    <w:rPr>
                      <w:color w:val="auto"/>
                    </w:rPr>
                    <w:t>/</w:t>
                  </w:r>
                </w:p>
              </w:tc>
              <w:tc>
                <w:tcPr>
                  <w:tcW w:w="691" w:type="pct"/>
                  <w:tcBorders>
                    <w:top w:val="nil"/>
                    <w:left w:val="nil"/>
                    <w:bottom w:val="single" w:color="auto" w:sz="4" w:space="0"/>
                    <w:right w:val="single" w:color="auto" w:sz="4" w:space="0"/>
                  </w:tcBorders>
                  <w:vAlign w:val="center"/>
                </w:tcPr>
                <w:p w14:paraId="49B9B2AF">
                  <w:pPr>
                    <w:pStyle w:val="65"/>
                    <w:rPr>
                      <w:color w:val="auto"/>
                    </w:rPr>
                  </w:pPr>
                  <w:r>
                    <w:rPr>
                      <w:color w:val="auto"/>
                    </w:rPr>
                    <w:t>距离16#方阵东侧约12m</w:t>
                  </w:r>
                </w:p>
              </w:tc>
              <w:tc>
                <w:tcPr>
                  <w:tcW w:w="641" w:type="pct"/>
                  <w:tcBorders>
                    <w:top w:val="nil"/>
                    <w:left w:val="nil"/>
                    <w:bottom w:val="single" w:color="auto" w:sz="4" w:space="0"/>
                    <w:right w:val="single" w:color="auto" w:sz="4" w:space="0"/>
                  </w:tcBorders>
                  <w:noWrap/>
                  <w:vAlign w:val="center"/>
                </w:tcPr>
                <w:p w14:paraId="7408BF35">
                  <w:pPr>
                    <w:pStyle w:val="65"/>
                    <w:rPr>
                      <w:color w:val="auto"/>
                    </w:rPr>
                  </w:pPr>
                  <w:r>
                    <w:rPr>
                      <w:color w:val="auto"/>
                    </w:rPr>
                    <w:t>/</w:t>
                  </w:r>
                </w:p>
              </w:tc>
              <w:tc>
                <w:tcPr>
                  <w:tcW w:w="367" w:type="pct"/>
                  <w:tcBorders>
                    <w:top w:val="nil"/>
                    <w:left w:val="nil"/>
                    <w:bottom w:val="single" w:color="auto" w:sz="4" w:space="0"/>
                    <w:right w:val="single" w:color="auto" w:sz="4" w:space="0"/>
                  </w:tcBorders>
                  <w:noWrap/>
                  <w:vAlign w:val="center"/>
                </w:tcPr>
                <w:p w14:paraId="0E9C5A14">
                  <w:pPr>
                    <w:pStyle w:val="65"/>
                    <w:rPr>
                      <w:color w:val="auto"/>
                    </w:rPr>
                  </w:pPr>
                  <w:r>
                    <w:rPr>
                      <w:color w:val="auto"/>
                    </w:rPr>
                    <w:t>取消</w:t>
                  </w:r>
                </w:p>
              </w:tc>
            </w:tr>
            <w:tr w14:paraId="4BBAAC11">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53DF0347">
                  <w:pPr>
                    <w:pStyle w:val="65"/>
                    <w:rPr>
                      <w:color w:val="auto"/>
                    </w:rPr>
                  </w:pPr>
                </w:p>
              </w:tc>
              <w:tc>
                <w:tcPr>
                  <w:tcW w:w="486" w:type="pct"/>
                  <w:tcBorders>
                    <w:top w:val="nil"/>
                    <w:left w:val="nil"/>
                    <w:bottom w:val="single" w:color="auto" w:sz="4" w:space="0"/>
                    <w:right w:val="single" w:color="auto" w:sz="4" w:space="0"/>
                  </w:tcBorders>
                  <w:vAlign w:val="center"/>
                </w:tcPr>
                <w:p w14:paraId="2D8D9CE0">
                  <w:pPr>
                    <w:pStyle w:val="65"/>
                    <w:rPr>
                      <w:color w:val="auto"/>
                    </w:rPr>
                  </w:pPr>
                  <w:r>
                    <w:rPr>
                      <w:color w:val="auto"/>
                    </w:rPr>
                    <w:t>沙乐河</w:t>
                  </w:r>
                </w:p>
              </w:tc>
              <w:tc>
                <w:tcPr>
                  <w:tcW w:w="430" w:type="pct"/>
                  <w:tcBorders>
                    <w:top w:val="nil"/>
                    <w:left w:val="nil"/>
                    <w:bottom w:val="single" w:color="auto" w:sz="4" w:space="0"/>
                    <w:right w:val="single" w:color="auto" w:sz="4" w:space="0"/>
                  </w:tcBorders>
                  <w:vAlign w:val="center"/>
                </w:tcPr>
                <w:p w14:paraId="2CC80E4D">
                  <w:pPr>
                    <w:pStyle w:val="65"/>
                    <w:rPr>
                      <w:color w:val="auto"/>
                    </w:rPr>
                  </w:pPr>
                  <w:r>
                    <w:rPr>
                      <w:color w:val="auto"/>
                    </w:rPr>
                    <w:t>沙乐河</w:t>
                  </w:r>
                </w:p>
              </w:tc>
              <w:tc>
                <w:tcPr>
                  <w:tcW w:w="642" w:type="pct"/>
                  <w:tcBorders>
                    <w:top w:val="nil"/>
                    <w:left w:val="nil"/>
                    <w:bottom w:val="single" w:color="auto" w:sz="4" w:space="0"/>
                    <w:right w:val="single" w:color="auto" w:sz="4" w:space="0"/>
                  </w:tcBorders>
                  <w:noWrap/>
                  <w:vAlign w:val="center"/>
                </w:tcPr>
                <w:p w14:paraId="11D95A0C">
                  <w:pPr>
                    <w:pStyle w:val="65"/>
                    <w:rPr>
                      <w:color w:val="auto"/>
                    </w:rPr>
                  </w:pPr>
                  <w:r>
                    <w:rPr>
                      <w:color w:val="auto"/>
                    </w:rPr>
                    <w:t>/</w:t>
                  </w:r>
                </w:p>
              </w:tc>
              <w:tc>
                <w:tcPr>
                  <w:tcW w:w="642" w:type="pct"/>
                  <w:tcBorders>
                    <w:top w:val="nil"/>
                    <w:left w:val="nil"/>
                    <w:bottom w:val="single" w:color="auto" w:sz="4" w:space="0"/>
                    <w:right w:val="single" w:color="auto" w:sz="4" w:space="0"/>
                  </w:tcBorders>
                  <w:noWrap/>
                  <w:vAlign w:val="center"/>
                </w:tcPr>
                <w:p w14:paraId="5A602911">
                  <w:pPr>
                    <w:pStyle w:val="65"/>
                    <w:rPr>
                      <w:color w:val="auto"/>
                    </w:rPr>
                  </w:pPr>
                  <w:r>
                    <w:rPr>
                      <w:color w:val="auto"/>
                    </w:rPr>
                    <w:t>/</w:t>
                  </w:r>
                </w:p>
              </w:tc>
              <w:tc>
                <w:tcPr>
                  <w:tcW w:w="688" w:type="pct"/>
                  <w:tcBorders>
                    <w:top w:val="nil"/>
                    <w:left w:val="nil"/>
                    <w:bottom w:val="single" w:color="auto" w:sz="4" w:space="0"/>
                    <w:right w:val="single" w:color="auto" w:sz="4" w:space="0"/>
                  </w:tcBorders>
                  <w:noWrap/>
                  <w:vAlign w:val="center"/>
                </w:tcPr>
                <w:p w14:paraId="36145F8C">
                  <w:pPr>
                    <w:pStyle w:val="65"/>
                    <w:rPr>
                      <w:color w:val="auto"/>
                    </w:rPr>
                  </w:pPr>
                  <w:r>
                    <w:rPr>
                      <w:color w:val="auto"/>
                    </w:rPr>
                    <w:t>/</w:t>
                  </w:r>
                </w:p>
              </w:tc>
              <w:tc>
                <w:tcPr>
                  <w:tcW w:w="691" w:type="pct"/>
                  <w:tcBorders>
                    <w:top w:val="nil"/>
                    <w:left w:val="nil"/>
                    <w:bottom w:val="single" w:color="auto" w:sz="4" w:space="0"/>
                    <w:right w:val="single" w:color="auto" w:sz="4" w:space="0"/>
                  </w:tcBorders>
                  <w:vAlign w:val="center"/>
                </w:tcPr>
                <w:p w14:paraId="46A246B1">
                  <w:pPr>
                    <w:pStyle w:val="65"/>
                    <w:rPr>
                      <w:color w:val="auto"/>
                    </w:rPr>
                  </w:pPr>
                  <w:r>
                    <w:rPr>
                      <w:color w:val="auto"/>
                    </w:rPr>
                    <w:t>距离22#方阵东南侧约454m；5#方阵653m</w:t>
                  </w:r>
                </w:p>
              </w:tc>
              <w:tc>
                <w:tcPr>
                  <w:tcW w:w="641" w:type="pct"/>
                  <w:tcBorders>
                    <w:top w:val="nil"/>
                    <w:left w:val="nil"/>
                    <w:bottom w:val="single" w:color="auto" w:sz="4" w:space="0"/>
                    <w:right w:val="single" w:color="auto" w:sz="4" w:space="0"/>
                  </w:tcBorders>
                  <w:vAlign w:val="center"/>
                </w:tcPr>
                <w:p w14:paraId="5A7EBD0E">
                  <w:pPr>
                    <w:pStyle w:val="65"/>
                    <w:jc w:val="both"/>
                    <w:rPr>
                      <w:color w:val="auto"/>
                    </w:rPr>
                  </w:pPr>
                  <w:r>
                    <w:rPr>
                      <w:color w:val="auto"/>
                    </w:rPr>
                    <w:t>S10方阵用地红线东南侧距离约1.24km</w:t>
                  </w:r>
                </w:p>
              </w:tc>
              <w:tc>
                <w:tcPr>
                  <w:tcW w:w="367" w:type="pct"/>
                  <w:tcBorders>
                    <w:top w:val="nil"/>
                    <w:left w:val="nil"/>
                    <w:bottom w:val="single" w:color="auto" w:sz="4" w:space="0"/>
                    <w:right w:val="single" w:color="auto" w:sz="4" w:space="0"/>
                  </w:tcBorders>
                  <w:vAlign w:val="center"/>
                </w:tcPr>
                <w:p w14:paraId="4B27AA3C">
                  <w:pPr>
                    <w:pStyle w:val="65"/>
                    <w:rPr>
                      <w:color w:val="auto"/>
                    </w:rPr>
                  </w:pPr>
                  <w:r>
                    <w:rPr>
                      <w:color w:val="auto"/>
                    </w:rPr>
                    <w:t>保护目标一致，位置发生变化</w:t>
                  </w:r>
                </w:p>
              </w:tc>
            </w:tr>
            <w:tr w14:paraId="75218F33">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5367F412">
                  <w:pPr>
                    <w:pStyle w:val="65"/>
                    <w:rPr>
                      <w:color w:val="auto"/>
                    </w:rPr>
                  </w:pPr>
                </w:p>
              </w:tc>
              <w:tc>
                <w:tcPr>
                  <w:tcW w:w="486" w:type="pct"/>
                  <w:tcBorders>
                    <w:top w:val="nil"/>
                    <w:left w:val="nil"/>
                    <w:bottom w:val="single" w:color="auto" w:sz="4" w:space="0"/>
                    <w:right w:val="single" w:color="auto" w:sz="4" w:space="0"/>
                  </w:tcBorders>
                  <w:noWrap/>
                  <w:vAlign w:val="center"/>
                </w:tcPr>
                <w:p w14:paraId="560B45F5">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0987A5AB">
                  <w:pPr>
                    <w:pStyle w:val="65"/>
                    <w:rPr>
                      <w:color w:val="auto"/>
                    </w:rPr>
                  </w:pPr>
                  <w:r>
                    <w:rPr>
                      <w:color w:val="auto"/>
                    </w:rPr>
                    <w:t>磨房河</w:t>
                  </w:r>
                </w:p>
              </w:tc>
              <w:tc>
                <w:tcPr>
                  <w:tcW w:w="642" w:type="pct"/>
                  <w:tcBorders>
                    <w:top w:val="nil"/>
                    <w:left w:val="nil"/>
                    <w:bottom w:val="single" w:color="auto" w:sz="4" w:space="0"/>
                    <w:right w:val="single" w:color="auto" w:sz="4" w:space="0"/>
                  </w:tcBorders>
                  <w:noWrap/>
                  <w:vAlign w:val="center"/>
                </w:tcPr>
                <w:p w14:paraId="33EB468C">
                  <w:pPr>
                    <w:pStyle w:val="65"/>
                    <w:rPr>
                      <w:color w:val="auto"/>
                    </w:rPr>
                  </w:pPr>
                  <w:r>
                    <w:rPr>
                      <w:color w:val="auto"/>
                    </w:rPr>
                    <w:t>/</w:t>
                  </w:r>
                </w:p>
              </w:tc>
              <w:tc>
                <w:tcPr>
                  <w:tcW w:w="642" w:type="pct"/>
                  <w:tcBorders>
                    <w:top w:val="nil"/>
                    <w:left w:val="nil"/>
                    <w:bottom w:val="single" w:color="auto" w:sz="4" w:space="0"/>
                    <w:right w:val="single" w:color="auto" w:sz="4" w:space="0"/>
                  </w:tcBorders>
                  <w:noWrap/>
                  <w:vAlign w:val="center"/>
                </w:tcPr>
                <w:p w14:paraId="63FE2FE4">
                  <w:pPr>
                    <w:pStyle w:val="65"/>
                    <w:rPr>
                      <w:color w:val="auto"/>
                    </w:rPr>
                  </w:pPr>
                  <w:r>
                    <w:rPr>
                      <w:color w:val="auto"/>
                    </w:rPr>
                    <w:t>/</w:t>
                  </w:r>
                </w:p>
              </w:tc>
              <w:tc>
                <w:tcPr>
                  <w:tcW w:w="688" w:type="pct"/>
                  <w:tcBorders>
                    <w:top w:val="nil"/>
                    <w:left w:val="nil"/>
                    <w:bottom w:val="single" w:color="auto" w:sz="4" w:space="0"/>
                    <w:right w:val="single" w:color="auto" w:sz="4" w:space="0"/>
                  </w:tcBorders>
                  <w:noWrap/>
                  <w:vAlign w:val="center"/>
                </w:tcPr>
                <w:p w14:paraId="29801F29">
                  <w:pPr>
                    <w:pStyle w:val="65"/>
                    <w:rPr>
                      <w:color w:val="auto"/>
                    </w:rPr>
                  </w:pPr>
                  <w:r>
                    <w:rPr>
                      <w:color w:val="auto"/>
                    </w:rPr>
                    <w:t>/</w:t>
                  </w:r>
                </w:p>
              </w:tc>
              <w:tc>
                <w:tcPr>
                  <w:tcW w:w="691" w:type="pct"/>
                  <w:tcBorders>
                    <w:top w:val="nil"/>
                    <w:left w:val="nil"/>
                    <w:bottom w:val="single" w:color="auto" w:sz="4" w:space="0"/>
                    <w:right w:val="single" w:color="auto" w:sz="4" w:space="0"/>
                  </w:tcBorders>
                  <w:noWrap/>
                  <w:vAlign w:val="center"/>
                </w:tcPr>
                <w:p w14:paraId="33383FDD">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0FF6BE35">
                  <w:pPr>
                    <w:pStyle w:val="65"/>
                    <w:jc w:val="both"/>
                    <w:rPr>
                      <w:color w:val="auto"/>
                    </w:rPr>
                  </w:pPr>
                  <w:r>
                    <w:rPr>
                      <w:color w:val="auto"/>
                    </w:rPr>
                    <w:t>S12方阵用地红线南侧距离约43m，S18方阵用地红线南侧距离约307m</w:t>
                  </w:r>
                </w:p>
              </w:tc>
              <w:tc>
                <w:tcPr>
                  <w:tcW w:w="367" w:type="pct"/>
                  <w:vMerge w:val="restart"/>
                  <w:tcBorders>
                    <w:top w:val="nil"/>
                    <w:left w:val="single" w:color="auto" w:sz="4" w:space="0"/>
                    <w:bottom w:val="single" w:color="auto" w:sz="4" w:space="0"/>
                    <w:right w:val="single" w:color="auto" w:sz="4" w:space="0"/>
                  </w:tcBorders>
                  <w:noWrap/>
                  <w:vAlign w:val="center"/>
                </w:tcPr>
                <w:p w14:paraId="07EB9E38">
                  <w:pPr>
                    <w:pStyle w:val="65"/>
                    <w:rPr>
                      <w:color w:val="auto"/>
                    </w:rPr>
                  </w:pPr>
                  <w:r>
                    <w:rPr>
                      <w:color w:val="auto"/>
                    </w:rPr>
                    <w:t>新增</w:t>
                  </w:r>
                </w:p>
              </w:tc>
            </w:tr>
            <w:tr w14:paraId="1BBB93C4">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237F94F6">
                  <w:pPr>
                    <w:pStyle w:val="65"/>
                    <w:rPr>
                      <w:color w:val="auto"/>
                    </w:rPr>
                  </w:pPr>
                </w:p>
              </w:tc>
              <w:tc>
                <w:tcPr>
                  <w:tcW w:w="486" w:type="pct"/>
                  <w:tcBorders>
                    <w:top w:val="nil"/>
                    <w:left w:val="nil"/>
                    <w:bottom w:val="single" w:color="auto" w:sz="4" w:space="0"/>
                    <w:right w:val="single" w:color="auto" w:sz="4" w:space="0"/>
                  </w:tcBorders>
                  <w:noWrap/>
                  <w:vAlign w:val="center"/>
                </w:tcPr>
                <w:p w14:paraId="7082578A">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53652F7C">
                  <w:pPr>
                    <w:pStyle w:val="65"/>
                    <w:rPr>
                      <w:color w:val="auto"/>
                    </w:rPr>
                  </w:pPr>
                  <w:r>
                    <w:rPr>
                      <w:color w:val="auto"/>
                    </w:rPr>
                    <w:t>安照河</w:t>
                  </w:r>
                </w:p>
              </w:tc>
              <w:tc>
                <w:tcPr>
                  <w:tcW w:w="642" w:type="pct"/>
                  <w:tcBorders>
                    <w:top w:val="nil"/>
                    <w:left w:val="nil"/>
                    <w:bottom w:val="single" w:color="auto" w:sz="4" w:space="0"/>
                    <w:right w:val="single" w:color="auto" w:sz="4" w:space="0"/>
                  </w:tcBorders>
                  <w:noWrap/>
                  <w:vAlign w:val="center"/>
                </w:tcPr>
                <w:p w14:paraId="6BDB86AE">
                  <w:pPr>
                    <w:pStyle w:val="65"/>
                    <w:rPr>
                      <w:color w:val="auto"/>
                    </w:rPr>
                  </w:pPr>
                  <w:r>
                    <w:rPr>
                      <w:color w:val="auto"/>
                    </w:rPr>
                    <w:t>/</w:t>
                  </w:r>
                </w:p>
              </w:tc>
              <w:tc>
                <w:tcPr>
                  <w:tcW w:w="642" w:type="pct"/>
                  <w:tcBorders>
                    <w:top w:val="nil"/>
                    <w:left w:val="nil"/>
                    <w:bottom w:val="single" w:color="auto" w:sz="4" w:space="0"/>
                    <w:right w:val="single" w:color="auto" w:sz="4" w:space="0"/>
                  </w:tcBorders>
                  <w:noWrap/>
                  <w:vAlign w:val="center"/>
                </w:tcPr>
                <w:p w14:paraId="5FCAAADC">
                  <w:pPr>
                    <w:pStyle w:val="65"/>
                    <w:rPr>
                      <w:color w:val="auto"/>
                    </w:rPr>
                  </w:pPr>
                  <w:r>
                    <w:rPr>
                      <w:color w:val="auto"/>
                    </w:rPr>
                    <w:t>/</w:t>
                  </w:r>
                </w:p>
              </w:tc>
              <w:tc>
                <w:tcPr>
                  <w:tcW w:w="688" w:type="pct"/>
                  <w:tcBorders>
                    <w:top w:val="nil"/>
                    <w:left w:val="nil"/>
                    <w:bottom w:val="single" w:color="auto" w:sz="4" w:space="0"/>
                    <w:right w:val="single" w:color="auto" w:sz="4" w:space="0"/>
                  </w:tcBorders>
                  <w:noWrap/>
                  <w:vAlign w:val="center"/>
                </w:tcPr>
                <w:p w14:paraId="7D099841">
                  <w:pPr>
                    <w:pStyle w:val="65"/>
                    <w:rPr>
                      <w:color w:val="auto"/>
                    </w:rPr>
                  </w:pPr>
                  <w:r>
                    <w:rPr>
                      <w:color w:val="auto"/>
                    </w:rPr>
                    <w:t>/</w:t>
                  </w:r>
                </w:p>
              </w:tc>
              <w:tc>
                <w:tcPr>
                  <w:tcW w:w="691" w:type="pct"/>
                  <w:tcBorders>
                    <w:top w:val="nil"/>
                    <w:left w:val="nil"/>
                    <w:bottom w:val="single" w:color="auto" w:sz="4" w:space="0"/>
                    <w:right w:val="single" w:color="auto" w:sz="4" w:space="0"/>
                  </w:tcBorders>
                  <w:noWrap/>
                  <w:vAlign w:val="center"/>
                </w:tcPr>
                <w:p w14:paraId="7422E9C0">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7A6E5991">
                  <w:pPr>
                    <w:pStyle w:val="65"/>
                    <w:jc w:val="both"/>
                    <w:rPr>
                      <w:color w:val="auto"/>
                    </w:rPr>
                  </w:pPr>
                  <w:r>
                    <w:rPr>
                      <w:color w:val="auto"/>
                    </w:rPr>
                    <w:t>S11方阵用地红线西南侧距离约43m</w:t>
                  </w:r>
                </w:p>
              </w:tc>
              <w:tc>
                <w:tcPr>
                  <w:tcW w:w="367" w:type="pct"/>
                  <w:vMerge w:val="continue"/>
                  <w:tcBorders>
                    <w:top w:val="nil"/>
                    <w:left w:val="single" w:color="auto" w:sz="4" w:space="0"/>
                    <w:bottom w:val="single" w:color="auto" w:sz="4" w:space="0"/>
                    <w:right w:val="single" w:color="auto" w:sz="4" w:space="0"/>
                  </w:tcBorders>
                  <w:vAlign w:val="center"/>
                </w:tcPr>
                <w:p w14:paraId="766F0263">
                  <w:pPr>
                    <w:pStyle w:val="65"/>
                    <w:rPr>
                      <w:color w:val="auto"/>
                    </w:rPr>
                  </w:pPr>
                </w:p>
              </w:tc>
            </w:tr>
            <w:tr w14:paraId="1A6EBA3F">
              <w:tblPrEx>
                <w:tblCellMar>
                  <w:top w:w="0" w:type="dxa"/>
                  <w:left w:w="108" w:type="dxa"/>
                  <w:bottom w:w="0" w:type="dxa"/>
                  <w:right w:w="108" w:type="dxa"/>
                </w:tblCellMar>
              </w:tblPrEx>
              <w:trPr>
                <w:trHeight w:val="454" w:hRule="atLeast"/>
              </w:trPr>
              <w:tc>
                <w:tcPr>
                  <w:tcW w:w="413" w:type="pct"/>
                  <w:vMerge w:val="continue"/>
                  <w:tcBorders>
                    <w:top w:val="nil"/>
                    <w:left w:val="single" w:color="auto" w:sz="4" w:space="0"/>
                    <w:bottom w:val="single" w:color="auto" w:sz="4" w:space="0"/>
                    <w:right w:val="single" w:color="auto" w:sz="4" w:space="0"/>
                  </w:tcBorders>
                  <w:vAlign w:val="center"/>
                </w:tcPr>
                <w:p w14:paraId="06208D2A">
                  <w:pPr>
                    <w:pStyle w:val="65"/>
                    <w:rPr>
                      <w:color w:val="auto"/>
                    </w:rPr>
                  </w:pPr>
                </w:p>
              </w:tc>
              <w:tc>
                <w:tcPr>
                  <w:tcW w:w="486" w:type="pct"/>
                  <w:tcBorders>
                    <w:top w:val="nil"/>
                    <w:left w:val="nil"/>
                    <w:bottom w:val="single" w:color="auto" w:sz="4" w:space="0"/>
                    <w:right w:val="single" w:color="auto" w:sz="4" w:space="0"/>
                  </w:tcBorders>
                  <w:noWrap/>
                  <w:vAlign w:val="center"/>
                </w:tcPr>
                <w:p w14:paraId="29D43842">
                  <w:pPr>
                    <w:pStyle w:val="65"/>
                    <w:rPr>
                      <w:color w:val="auto"/>
                    </w:rPr>
                  </w:pPr>
                  <w:r>
                    <w:rPr>
                      <w:color w:val="auto"/>
                    </w:rPr>
                    <w:t>/</w:t>
                  </w:r>
                </w:p>
              </w:tc>
              <w:tc>
                <w:tcPr>
                  <w:tcW w:w="430" w:type="pct"/>
                  <w:tcBorders>
                    <w:top w:val="nil"/>
                    <w:left w:val="nil"/>
                    <w:bottom w:val="single" w:color="auto" w:sz="4" w:space="0"/>
                    <w:right w:val="single" w:color="auto" w:sz="4" w:space="0"/>
                  </w:tcBorders>
                  <w:vAlign w:val="center"/>
                </w:tcPr>
                <w:p w14:paraId="4D7F1810">
                  <w:pPr>
                    <w:pStyle w:val="65"/>
                    <w:rPr>
                      <w:color w:val="auto"/>
                    </w:rPr>
                  </w:pPr>
                  <w:r>
                    <w:rPr>
                      <w:color w:val="auto"/>
                    </w:rPr>
                    <w:t>澜沧江</w:t>
                  </w:r>
                </w:p>
              </w:tc>
              <w:tc>
                <w:tcPr>
                  <w:tcW w:w="642" w:type="pct"/>
                  <w:tcBorders>
                    <w:top w:val="nil"/>
                    <w:left w:val="nil"/>
                    <w:bottom w:val="single" w:color="auto" w:sz="4" w:space="0"/>
                    <w:right w:val="single" w:color="auto" w:sz="4" w:space="0"/>
                  </w:tcBorders>
                  <w:noWrap/>
                  <w:vAlign w:val="center"/>
                </w:tcPr>
                <w:p w14:paraId="1FCB00B8">
                  <w:pPr>
                    <w:pStyle w:val="65"/>
                    <w:rPr>
                      <w:color w:val="auto"/>
                    </w:rPr>
                  </w:pPr>
                  <w:r>
                    <w:rPr>
                      <w:color w:val="auto"/>
                    </w:rPr>
                    <w:t>/</w:t>
                  </w:r>
                </w:p>
              </w:tc>
              <w:tc>
                <w:tcPr>
                  <w:tcW w:w="642" w:type="pct"/>
                  <w:tcBorders>
                    <w:top w:val="nil"/>
                    <w:left w:val="nil"/>
                    <w:bottom w:val="single" w:color="auto" w:sz="4" w:space="0"/>
                    <w:right w:val="single" w:color="auto" w:sz="4" w:space="0"/>
                  </w:tcBorders>
                  <w:noWrap/>
                  <w:vAlign w:val="center"/>
                </w:tcPr>
                <w:p w14:paraId="49E763B1">
                  <w:pPr>
                    <w:pStyle w:val="65"/>
                    <w:rPr>
                      <w:color w:val="auto"/>
                    </w:rPr>
                  </w:pPr>
                  <w:r>
                    <w:rPr>
                      <w:color w:val="auto"/>
                    </w:rPr>
                    <w:t>/</w:t>
                  </w:r>
                </w:p>
              </w:tc>
              <w:tc>
                <w:tcPr>
                  <w:tcW w:w="688" w:type="pct"/>
                  <w:tcBorders>
                    <w:top w:val="nil"/>
                    <w:left w:val="nil"/>
                    <w:bottom w:val="single" w:color="auto" w:sz="4" w:space="0"/>
                    <w:right w:val="single" w:color="auto" w:sz="4" w:space="0"/>
                  </w:tcBorders>
                  <w:noWrap/>
                  <w:vAlign w:val="center"/>
                </w:tcPr>
                <w:p w14:paraId="4CE856C4">
                  <w:pPr>
                    <w:pStyle w:val="65"/>
                    <w:rPr>
                      <w:color w:val="auto"/>
                    </w:rPr>
                  </w:pPr>
                  <w:r>
                    <w:rPr>
                      <w:color w:val="auto"/>
                    </w:rPr>
                    <w:t>/</w:t>
                  </w:r>
                </w:p>
              </w:tc>
              <w:tc>
                <w:tcPr>
                  <w:tcW w:w="691" w:type="pct"/>
                  <w:tcBorders>
                    <w:top w:val="nil"/>
                    <w:left w:val="nil"/>
                    <w:bottom w:val="single" w:color="auto" w:sz="4" w:space="0"/>
                    <w:right w:val="single" w:color="auto" w:sz="4" w:space="0"/>
                  </w:tcBorders>
                  <w:noWrap/>
                  <w:vAlign w:val="center"/>
                </w:tcPr>
                <w:p w14:paraId="08557266">
                  <w:pPr>
                    <w:pStyle w:val="65"/>
                    <w:rPr>
                      <w:color w:val="auto"/>
                    </w:rPr>
                  </w:pPr>
                  <w:r>
                    <w:rPr>
                      <w:color w:val="auto"/>
                    </w:rPr>
                    <w:t>/</w:t>
                  </w:r>
                </w:p>
              </w:tc>
              <w:tc>
                <w:tcPr>
                  <w:tcW w:w="641" w:type="pct"/>
                  <w:tcBorders>
                    <w:top w:val="nil"/>
                    <w:left w:val="nil"/>
                    <w:bottom w:val="single" w:color="auto" w:sz="4" w:space="0"/>
                    <w:right w:val="single" w:color="auto" w:sz="4" w:space="0"/>
                  </w:tcBorders>
                  <w:vAlign w:val="center"/>
                </w:tcPr>
                <w:p w14:paraId="51127AAF">
                  <w:pPr>
                    <w:pStyle w:val="65"/>
                    <w:jc w:val="both"/>
                    <w:rPr>
                      <w:color w:val="auto"/>
                    </w:rPr>
                  </w:pPr>
                  <w:r>
                    <w:rPr>
                      <w:color w:val="auto"/>
                    </w:rPr>
                    <w:t>S21方阵用地红线西南侧距离约4.7km</w:t>
                  </w:r>
                </w:p>
              </w:tc>
              <w:tc>
                <w:tcPr>
                  <w:tcW w:w="367" w:type="pct"/>
                  <w:vMerge w:val="continue"/>
                  <w:tcBorders>
                    <w:top w:val="nil"/>
                    <w:left w:val="single" w:color="auto" w:sz="4" w:space="0"/>
                    <w:bottom w:val="single" w:color="auto" w:sz="4" w:space="0"/>
                    <w:right w:val="single" w:color="auto" w:sz="4" w:space="0"/>
                  </w:tcBorders>
                  <w:vAlign w:val="center"/>
                </w:tcPr>
                <w:p w14:paraId="4CF97E4A">
                  <w:pPr>
                    <w:pStyle w:val="65"/>
                    <w:rPr>
                      <w:color w:val="auto"/>
                    </w:rPr>
                  </w:pPr>
                </w:p>
              </w:tc>
            </w:tr>
          </w:tbl>
          <w:p w14:paraId="2090654C">
            <w:pPr>
              <w:ind w:firstLine="480"/>
              <w:rPr>
                <w:rFonts w:cs="Times New Roman"/>
                <w:color w:val="auto"/>
                <w:kern w:val="0"/>
                <w:szCs w:val="20"/>
              </w:rPr>
            </w:pPr>
            <w:r>
              <w:rPr>
                <w:rFonts w:hint="eastAsia" w:cs="Times New Roman"/>
                <w:color w:val="auto"/>
                <w:kern w:val="0"/>
                <w:szCs w:val="20"/>
              </w:rPr>
              <w:t>根据上表，变更前后生态保护目标一致，光伏用地红线与生态保护目标相对位置发生改变；项目新选址声环境评价范围内的敏感目标有11个，新增的声环境敏感目标数量为1个，未超过原数量（10个）的30%；环境空气环境评价范围内的敏感目标有19个，新增的环境空气环境敏感目标数量为6个，超过原数量（13个）的30%；水环境评价范围内的敏感目标有4个，新增的声环境敏感目标数量为2个，超过原数量（2个）的30%。因此本项目需要进行重大变更，需重新环评。</w:t>
            </w:r>
          </w:p>
        </w:tc>
      </w:tr>
    </w:tbl>
    <w:p w14:paraId="5906EF24">
      <w:pPr>
        <w:ind w:firstLine="480"/>
        <w:rPr>
          <w:color w:val="auto"/>
        </w:rPr>
        <w:sectPr>
          <w:pgSz w:w="16838" w:h="11906" w:orient="landscape"/>
          <w:pgMar w:top="1797" w:right="1440" w:bottom="1797" w:left="1440" w:header="737" w:footer="1134" w:gutter="0"/>
          <w:cols w:space="425" w:num="1"/>
          <w:docGrid w:linePitch="326" w:charSpace="0"/>
        </w:sectPr>
      </w:pP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9"/>
        <w:gridCol w:w="8119"/>
      </w:tblGrid>
      <w:tr w14:paraId="2C7B3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16" w:hRule="atLeast"/>
          <w:jc w:val="center"/>
        </w:trPr>
        <w:tc>
          <w:tcPr>
            <w:tcW w:w="198" w:type="pct"/>
            <w:vAlign w:val="center"/>
          </w:tcPr>
          <w:p w14:paraId="17987727">
            <w:pPr>
              <w:adjustRightInd w:val="0"/>
              <w:snapToGrid w:val="0"/>
              <w:spacing w:line="240" w:lineRule="auto"/>
              <w:ind w:firstLine="0" w:firstLineChars="0"/>
              <w:jc w:val="center"/>
              <w:rPr>
                <w:color w:val="auto"/>
                <w:kern w:val="0"/>
                <w:szCs w:val="21"/>
              </w:rPr>
            </w:pPr>
            <w:bookmarkStart w:id="320" w:name="OLE_LINK35"/>
            <w:r>
              <w:rPr>
                <w:color w:val="auto"/>
                <w:kern w:val="0"/>
                <w:szCs w:val="21"/>
              </w:rPr>
              <w:t>项目组成及规模</w:t>
            </w:r>
            <w:bookmarkEnd w:id="320"/>
          </w:p>
        </w:tc>
        <w:tc>
          <w:tcPr>
            <w:tcW w:w="4802" w:type="pct"/>
            <w:vAlign w:val="center"/>
          </w:tcPr>
          <w:p w14:paraId="76FBFE1C">
            <w:pPr>
              <w:pStyle w:val="3"/>
              <w:spacing w:before="72" w:after="72"/>
              <w:rPr>
                <w:color w:val="auto"/>
              </w:rPr>
            </w:pPr>
            <w:r>
              <w:rPr>
                <w:color w:val="auto"/>
              </w:rPr>
              <w:t>项目由来</w:t>
            </w:r>
          </w:p>
          <w:p w14:paraId="35D36FDF">
            <w:pPr>
              <w:ind w:firstLine="480"/>
              <w:rPr>
                <w:color w:val="auto"/>
                <w:szCs w:val="21"/>
              </w:rPr>
            </w:pPr>
            <w:r>
              <w:rPr>
                <w:color w:val="auto"/>
                <w:szCs w:val="21"/>
              </w:rPr>
              <w:t>本项目建设地点、面积发生改变，且因建设地点改变导致环境保护目标增多，导致生态环境影响较原环评有显著变化，属于重大变动，原环评占地范围与本次评价范围对比情况见</w:t>
            </w:r>
            <w:r>
              <w:rPr>
                <w:color w:val="auto"/>
                <w:szCs w:val="21"/>
              </w:rPr>
              <w:fldChar w:fldCharType="begin"/>
            </w:r>
            <w:r>
              <w:rPr>
                <w:color w:val="auto"/>
                <w:szCs w:val="21"/>
              </w:rPr>
              <w:instrText xml:space="preserve"> REF _Ref214449884 \h </w:instrText>
            </w:r>
            <w:r>
              <w:rPr>
                <w:color w:val="auto"/>
                <w:szCs w:val="21"/>
              </w:rPr>
              <w:fldChar w:fldCharType="separate"/>
            </w:r>
            <w:r>
              <w:rPr>
                <w:color w:val="auto"/>
              </w:rPr>
              <w:t>图 2.3</w:t>
            </w:r>
            <w:r>
              <w:rPr>
                <w:color w:val="auto"/>
              </w:rPr>
              <w:noBreakHyphen/>
            </w:r>
            <w:r>
              <w:rPr>
                <w:color w:val="auto"/>
              </w:rPr>
              <w:t>1</w:t>
            </w:r>
            <w:r>
              <w:rPr>
                <w:color w:val="auto"/>
                <w:szCs w:val="21"/>
              </w:rPr>
              <w:fldChar w:fldCharType="end"/>
            </w:r>
            <w:r>
              <w:rPr>
                <w:rFonts w:hint="eastAsia"/>
                <w:color w:val="auto"/>
                <w:szCs w:val="21"/>
              </w:rPr>
              <w:t>、</w:t>
            </w:r>
            <w:r>
              <w:rPr>
                <w:color w:val="auto"/>
                <w:szCs w:val="21"/>
              </w:rPr>
              <w:fldChar w:fldCharType="begin"/>
            </w:r>
            <w:r>
              <w:rPr>
                <w:color w:val="auto"/>
                <w:szCs w:val="21"/>
              </w:rPr>
              <w:instrText xml:space="preserve"> </w:instrText>
            </w:r>
            <w:r>
              <w:rPr>
                <w:rFonts w:hint="eastAsia"/>
                <w:color w:val="auto"/>
                <w:szCs w:val="21"/>
              </w:rPr>
              <w:instrText xml:space="preserve">REF _Ref218689851 \h</w:instrText>
            </w:r>
            <w:r>
              <w:rPr>
                <w:color w:val="auto"/>
                <w:szCs w:val="21"/>
              </w:rPr>
              <w:instrText xml:space="preserve"> </w:instrText>
            </w:r>
            <w:r>
              <w:rPr>
                <w:color w:val="auto"/>
                <w:szCs w:val="21"/>
              </w:rPr>
              <w:fldChar w:fldCharType="separate"/>
            </w:r>
            <w:r>
              <w:rPr>
                <w:color w:val="auto"/>
              </w:rPr>
              <w:t>表 2.4</w:t>
            </w:r>
            <w:r>
              <w:rPr>
                <w:color w:val="auto"/>
              </w:rPr>
              <w:noBreakHyphen/>
            </w:r>
            <w:r>
              <w:rPr>
                <w:color w:val="auto"/>
              </w:rPr>
              <w:t>1</w:t>
            </w:r>
            <w:r>
              <w:rPr>
                <w:color w:val="auto"/>
                <w:szCs w:val="21"/>
              </w:rPr>
              <w:fldChar w:fldCharType="end"/>
            </w:r>
            <w:r>
              <w:rPr>
                <w:color w:val="auto"/>
                <w:szCs w:val="21"/>
              </w:rPr>
              <w:t>。</w:t>
            </w:r>
            <w:r>
              <w:rPr>
                <w:rFonts w:hint="eastAsia"/>
                <w:color w:val="auto"/>
                <w:szCs w:val="21"/>
              </w:rPr>
              <w:t>根据《关于印发环评管理中部分行业建设项目重大变动清单的通知》（环办</w:t>
            </w:r>
            <w:r>
              <w:rPr>
                <w:rFonts w:hint="eastAsia" w:ascii="宋体" w:hAnsi="宋体"/>
                <w:color w:val="auto"/>
                <w:szCs w:val="21"/>
              </w:rPr>
              <w:t>〔</w:t>
            </w:r>
            <w:r>
              <w:rPr>
                <w:rFonts w:hint="eastAsia"/>
                <w:color w:val="auto"/>
                <w:szCs w:val="21"/>
              </w:rPr>
              <w:t>2015</w:t>
            </w:r>
            <w:r>
              <w:rPr>
                <w:rFonts w:hint="eastAsia" w:ascii="宋体" w:hAnsi="宋体"/>
                <w:color w:val="auto"/>
                <w:szCs w:val="21"/>
              </w:rPr>
              <w:t>〕</w:t>
            </w:r>
            <w:r>
              <w:rPr>
                <w:rFonts w:hint="eastAsia"/>
                <w:color w:val="auto"/>
                <w:szCs w:val="21"/>
              </w:rPr>
              <w:t>52号）：“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14:paraId="5ECB31EC">
            <w:pPr>
              <w:ind w:firstLine="480"/>
              <w:rPr>
                <w:color w:val="auto"/>
                <w:szCs w:val="21"/>
              </w:rPr>
            </w:pPr>
            <w:r>
              <w:rPr>
                <w:color w:val="auto"/>
                <w:szCs w:val="21"/>
              </w:rPr>
              <w:t>对照《关于印发环评管理中部分行业建设项目重大变动清单的通知》（环办〔2015〕52号），本项目变动内容清单见下表。</w:t>
            </w:r>
          </w:p>
          <w:p w14:paraId="50843A89">
            <w:pPr>
              <w:pStyle w:val="63"/>
              <w:rPr>
                <w:color w:val="auto"/>
                <w:szCs w:val="21"/>
              </w:rPr>
            </w:pPr>
            <w:r>
              <w:rPr>
                <w:color w:val="auto"/>
              </w:rPr>
              <w:t xml:space="preserve">表 </w:t>
            </w:r>
            <w:r>
              <w:rPr>
                <w:color w:val="auto"/>
              </w:rPr>
              <w:fldChar w:fldCharType="begin"/>
            </w:r>
            <w:r>
              <w:rPr>
                <w:color w:val="auto"/>
              </w:rPr>
              <w:instrText xml:space="preserve"> STYLEREF 2 \s </w:instrText>
            </w:r>
            <w:r>
              <w:rPr>
                <w:color w:val="auto"/>
              </w:rPr>
              <w:fldChar w:fldCharType="separate"/>
            </w:r>
            <w:r>
              <w:rPr>
                <w:color w:val="auto"/>
              </w:rPr>
              <w:t>2.5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color w:val="auto"/>
                <w:szCs w:val="21"/>
              </w:rPr>
              <w:t>建设项目变动情况一览表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0"/>
              <w:gridCol w:w="3082"/>
              <w:gridCol w:w="2960"/>
              <w:gridCol w:w="1090"/>
              <w:gridCol w:w="381"/>
            </w:tblGrid>
            <w:tr w14:paraId="2565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vAlign w:val="center"/>
                </w:tcPr>
                <w:p w14:paraId="266941AC">
                  <w:pPr>
                    <w:pStyle w:val="65"/>
                    <w:rPr>
                      <w:rFonts w:cs="Times New Roman"/>
                      <w:b/>
                      <w:bCs/>
                      <w:color w:val="auto"/>
                      <w:kern w:val="0"/>
                      <w:szCs w:val="20"/>
                    </w:rPr>
                  </w:pPr>
                  <w:r>
                    <w:rPr>
                      <w:rFonts w:hint="eastAsia" w:cs="Times New Roman"/>
                      <w:b/>
                      <w:bCs/>
                      <w:color w:val="auto"/>
                      <w:kern w:val="0"/>
                      <w:szCs w:val="20"/>
                    </w:rPr>
                    <w:t>内容</w:t>
                  </w:r>
                </w:p>
              </w:tc>
              <w:tc>
                <w:tcPr>
                  <w:tcW w:w="1210" w:type="pct"/>
                  <w:vAlign w:val="center"/>
                </w:tcPr>
                <w:p w14:paraId="2F093CBA">
                  <w:pPr>
                    <w:pStyle w:val="65"/>
                    <w:rPr>
                      <w:rFonts w:cs="Times New Roman"/>
                      <w:b/>
                      <w:bCs/>
                      <w:color w:val="auto"/>
                      <w:kern w:val="0"/>
                      <w:szCs w:val="20"/>
                    </w:rPr>
                  </w:pPr>
                  <w:r>
                    <w:rPr>
                      <w:rFonts w:hint="eastAsia" w:cs="Times New Roman"/>
                      <w:b/>
                      <w:bCs/>
                      <w:color w:val="auto"/>
                      <w:kern w:val="0"/>
                      <w:szCs w:val="20"/>
                    </w:rPr>
                    <w:t>变更前</w:t>
                  </w:r>
                </w:p>
              </w:tc>
              <w:tc>
                <w:tcPr>
                  <w:tcW w:w="1117" w:type="pct"/>
                  <w:vAlign w:val="center"/>
                </w:tcPr>
                <w:p w14:paraId="106B6BDD">
                  <w:pPr>
                    <w:pStyle w:val="65"/>
                    <w:rPr>
                      <w:rFonts w:cs="Times New Roman"/>
                      <w:b/>
                      <w:bCs/>
                      <w:color w:val="auto"/>
                      <w:kern w:val="0"/>
                      <w:szCs w:val="20"/>
                    </w:rPr>
                  </w:pPr>
                  <w:r>
                    <w:rPr>
                      <w:rFonts w:hint="eastAsia" w:cs="Times New Roman"/>
                      <w:b/>
                      <w:bCs/>
                      <w:color w:val="auto"/>
                      <w:kern w:val="0"/>
                      <w:szCs w:val="20"/>
                    </w:rPr>
                    <w:t>变更后</w:t>
                  </w:r>
                </w:p>
              </w:tc>
              <w:tc>
                <w:tcPr>
                  <w:tcW w:w="1396" w:type="pct"/>
                  <w:vAlign w:val="center"/>
                </w:tcPr>
                <w:p w14:paraId="0415AAEC">
                  <w:pPr>
                    <w:pStyle w:val="65"/>
                    <w:rPr>
                      <w:rFonts w:cs="Times New Roman"/>
                      <w:b/>
                      <w:bCs/>
                      <w:color w:val="auto"/>
                      <w:kern w:val="0"/>
                      <w:szCs w:val="20"/>
                    </w:rPr>
                  </w:pPr>
                  <w:r>
                    <w:rPr>
                      <w:rFonts w:hint="eastAsia" w:cs="Times New Roman"/>
                      <w:b/>
                      <w:bCs/>
                      <w:color w:val="auto"/>
                      <w:kern w:val="0"/>
                      <w:szCs w:val="20"/>
                    </w:rPr>
                    <w:t>变化情况</w:t>
                  </w:r>
                </w:p>
              </w:tc>
              <w:tc>
                <w:tcPr>
                  <w:tcW w:w="723" w:type="pct"/>
                  <w:vAlign w:val="center"/>
                </w:tcPr>
                <w:p w14:paraId="4E4AC499">
                  <w:pPr>
                    <w:pStyle w:val="65"/>
                    <w:rPr>
                      <w:rFonts w:cs="Times New Roman"/>
                      <w:b/>
                      <w:bCs/>
                      <w:color w:val="auto"/>
                      <w:kern w:val="0"/>
                      <w:szCs w:val="20"/>
                    </w:rPr>
                  </w:pPr>
                  <w:r>
                    <w:rPr>
                      <w:rFonts w:hint="eastAsia" w:cs="Times New Roman"/>
                      <w:b/>
                      <w:bCs/>
                      <w:color w:val="auto"/>
                      <w:kern w:val="0"/>
                      <w:szCs w:val="20"/>
                    </w:rPr>
                    <w:t>是否为重大变动</w:t>
                  </w:r>
                </w:p>
              </w:tc>
            </w:tr>
            <w:tr w14:paraId="7150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vAlign w:val="center"/>
                </w:tcPr>
                <w:p w14:paraId="302A9798">
                  <w:pPr>
                    <w:pStyle w:val="65"/>
                    <w:rPr>
                      <w:rFonts w:cs="Times New Roman"/>
                      <w:color w:val="auto"/>
                      <w:kern w:val="0"/>
                      <w:szCs w:val="20"/>
                    </w:rPr>
                  </w:pPr>
                  <w:r>
                    <w:rPr>
                      <w:rFonts w:hint="eastAsia" w:cs="Times New Roman"/>
                      <w:color w:val="auto"/>
                      <w:kern w:val="0"/>
                      <w:szCs w:val="20"/>
                    </w:rPr>
                    <w:t>性质</w:t>
                  </w:r>
                </w:p>
              </w:tc>
              <w:tc>
                <w:tcPr>
                  <w:tcW w:w="1210" w:type="pct"/>
                  <w:vAlign w:val="center"/>
                </w:tcPr>
                <w:p w14:paraId="6D06741D">
                  <w:pPr>
                    <w:pStyle w:val="65"/>
                    <w:rPr>
                      <w:rFonts w:cs="Times New Roman"/>
                      <w:color w:val="auto"/>
                      <w:kern w:val="0"/>
                      <w:szCs w:val="20"/>
                    </w:rPr>
                  </w:pPr>
                  <w:r>
                    <w:rPr>
                      <w:rFonts w:hint="eastAsia" w:cs="Times New Roman"/>
                      <w:color w:val="auto"/>
                      <w:kern w:val="0"/>
                      <w:szCs w:val="20"/>
                    </w:rPr>
                    <w:t>光伏发电项目</w:t>
                  </w:r>
                </w:p>
              </w:tc>
              <w:tc>
                <w:tcPr>
                  <w:tcW w:w="1117" w:type="pct"/>
                  <w:vAlign w:val="center"/>
                </w:tcPr>
                <w:p w14:paraId="2BA16AD5">
                  <w:pPr>
                    <w:pStyle w:val="65"/>
                    <w:rPr>
                      <w:rFonts w:cs="Times New Roman"/>
                      <w:color w:val="auto"/>
                      <w:kern w:val="0"/>
                      <w:szCs w:val="20"/>
                    </w:rPr>
                  </w:pPr>
                  <w:r>
                    <w:rPr>
                      <w:rFonts w:hint="eastAsia" w:cs="Times New Roman"/>
                      <w:color w:val="auto"/>
                      <w:kern w:val="0"/>
                      <w:szCs w:val="20"/>
                    </w:rPr>
                    <w:t>光伏发电项目</w:t>
                  </w:r>
                </w:p>
              </w:tc>
              <w:tc>
                <w:tcPr>
                  <w:tcW w:w="1396" w:type="pct"/>
                  <w:vAlign w:val="center"/>
                </w:tcPr>
                <w:p w14:paraId="6A8C2F3D">
                  <w:pPr>
                    <w:pStyle w:val="65"/>
                    <w:rPr>
                      <w:rFonts w:cs="Times New Roman"/>
                      <w:color w:val="auto"/>
                      <w:kern w:val="0"/>
                      <w:szCs w:val="20"/>
                    </w:rPr>
                  </w:pPr>
                  <w:r>
                    <w:rPr>
                      <w:rFonts w:hint="eastAsia" w:cs="Times New Roman"/>
                      <w:color w:val="auto"/>
                      <w:kern w:val="0"/>
                      <w:szCs w:val="20"/>
                    </w:rPr>
                    <w:t>无变化</w:t>
                  </w:r>
                </w:p>
              </w:tc>
              <w:tc>
                <w:tcPr>
                  <w:tcW w:w="723" w:type="pct"/>
                  <w:vAlign w:val="center"/>
                </w:tcPr>
                <w:p w14:paraId="1EFD2A67">
                  <w:pPr>
                    <w:pStyle w:val="65"/>
                    <w:rPr>
                      <w:rFonts w:cs="Times New Roman"/>
                      <w:color w:val="auto"/>
                      <w:kern w:val="0"/>
                      <w:szCs w:val="20"/>
                    </w:rPr>
                  </w:pPr>
                  <w:r>
                    <w:rPr>
                      <w:rFonts w:hint="eastAsia" w:cs="Times New Roman"/>
                      <w:color w:val="auto"/>
                      <w:kern w:val="0"/>
                      <w:szCs w:val="20"/>
                    </w:rPr>
                    <w:t>否</w:t>
                  </w:r>
                </w:p>
              </w:tc>
            </w:tr>
            <w:tr w14:paraId="62B3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vAlign w:val="center"/>
                </w:tcPr>
                <w:p w14:paraId="36521ECF">
                  <w:pPr>
                    <w:pStyle w:val="65"/>
                    <w:rPr>
                      <w:rFonts w:cs="Times New Roman"/>
                      <w:color w:val="auto"/>
                      <w:kern w:val="0"/>
                      <w:szCs w:val="20"/>
                    </w:rPr>
                  </w:pPr>
                  <w:r>
                    <w:rPr>
                      <w:rFonts w:hint="eastAsia" w:cs="Times New Roman"/>
                      <w:color w:val="auto"/>
                      <w:kern w:val="0"/>
                      <w:szCs w:val="20"/>
                    </w:rPr>
                    <w:t>规模</w:t>
                  </w:r>
                </w:p>
              </w:tc>
              <w:tc>
                <w:tcPr>
                  <w:tcW w:w="1210" w:type="pct"/>
                  <w:vAlign w:val="center"/>
                </w:tcPr>
                <w:p w14:paraId="0774C557">
                  <w:pPr>
                    <w:pStyle w:val="65"/>
                    <w:rPr>
                      <w:rFonts w:cs="Times New Roman"/>
                      <w:color w:val="auto"/>
                      <w:kern w:val="0"/>
                      <w:szCs w:val="20"/>
                    </w:rPr>
                  </w:pPr>
                  <w:r>
                    <w:rPr>
                      <w:rFonts w:hint="eastAsia" w:cs="Times New Roman"/>
                      <w:color w:val="auto"/>
                      <w:kern w:val="0"/>
                      <w:szCs w:val="20"/>
                    </w:rPr>
                    <w:t>60MW</w:t>
                  </w:r>
                </w:p>
              </w:tc>
              <w:tc>
                <w:tcPr>
                  <w:tcW w:w="1117" w:type="pct"/>
                  <w:vAlign w:val="center"/>
                </w:tcPr>
                <w:p w14:paraId="25C361CA">
                  <w:pPr>
                    <w:pStyle w:val="65"/>
                    <w:rPr>
                      <w:rFonts w:cs="Times New Roman"/>
                      <w:color w:val="auto"/>
                      <w:kern w:val="0"/>
                      <w:szCs w:val="20"/>
                    </w:rPr>
                  </w:pPr>
                  <w:r>
                    <w:rPr>
                      <w:rFonts w:hint="eastAsia" w:cs="Times New Roman"/>
                      <w:color w:val="auto"/>
                      <w:kern w:val="0"/>
                      <w:szCs w:val="20"/>
                    </w:rPr>
                    <w:t>60MW</w:t>
                  </w:r>
                </w:p>
              </w:tc>
              <w:tc>
                <w:tcPr>
                  <w:tcW w:w="1396" w:type="pct"/>
                  <w:vAlign w:val="center"/>
                </w:tcPr>
                <w:p w14:paraId="538B4B4A">
                  <w:pPr>
                    <w:pStyle w:val="65"/>
                    <w:rPr>
                      <w:rFonts w:cs="Times New Roman"/>
                      <w:color w:val="auto"/>
                      <w:kern w:val="0"/>
                      <w:szCs w:val="20"/>
                    </w:rPr>
                  </w:pPr>
                  <w:r>
                    <w:rPr>
                      <w:rFonts w:hint="eastAsia" w:cs="Times New Roman"/>
                      <w:color w:val="auto"/>
                      <w:kern w:val="0"/>
                      <w:szCs w:val="20"/>
                    </w:rPr>
                    <w:t>无变化</w:t>
                  </w:r>
                </w:p>
              </w:tc>
              <w:tc>
                <w:tcPr>
                  <w:tcW w:w="723" w:type="pct"/>
                  <w:vAlign w:val="center"/>
                </w:tcPr>
                <w:p w14:paraId="21D4259C">
                  <w:pPr>
                    <w:pStyle w:val="65"/>
                    <w:rPr>
                      <w:rFonts w:cs="Times New Roman"/>
                      <w:color w:val="auto"/>
                      <w:kern w:val="0"/>
                      <w:szCs w:val="20"/>
                    </w:rPr>
                  </w:pPr>
                  <w:r>
                    <w:rPr>
                      <w:rFonts w:hint="eastAsia" w:cs="Times New Roman"/>
                      <w:color w:val="auto"/>
                      <w:kern w:val="0"/>
                      <w:szCs w:val="20"/>
                    </w:rPr>
                    <w:t>否</w:t>
                  </w:r>
                </w:p>
              </w:tc>
            </w:tr>
            <w:tr w14:paraId="034D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vAlign w:val="center"/>
                </w:tcPr>
                <w:p w14:paraId="1D8EC2E4">
                  <w:pPr>
                    <w:pStyle w:val="65"/>
                    <w:rPr>
                      <w:rFonts w:cs="Times New Roman"/>
                      <w:color w:val="auto"/>
                      <w:kern w:val="0"/>
                      <w:szCs w:val="20"/>
                    </w:rPr>
                  </w:pPr>
                  <w:r>
                    <w:rPr>
                      <w:rFonts w:hint="eastAsia" w:cs="Times New Roman"/>
                      <w:color w:val="auto"/>
                      <w:kern w:val="0"/>
                      <w:szCs w:val="20"/>
                    </w:rPr>
                    <w:t>建设地点</w:t>
                  </w:r>
                </w:p>
              </w:tc>
              <w:tc>
                <w:tcPr>
                  <w:tcW w:w="1210" w:type="pct"/>
                  <w:vAlign w:val="center"/>
                </w:tcPr>
                <w:p w14:paraId="6F3049BF">
                  <w:pPr>
                    <w:pStyle w:val="65"/>
                    <w:jc w:val="both"/>
                    <w:rPr>
                      <w:rFonts w:cs="Times New Roman"/>
                      <w:color w:val="auto"/>
                      <w:kern w:val="0"/>
                      <w:szCs w:val="20"/>
                    </w:rPr>
                  </w:pPr>
                  <w:r>
                    <w:rPr>
                      <w:rFonts w:hint="eastAsia" w:cs="Times New Roman"/>
                      <w:color w:val="auto"/>
                      <w:kern w:val="0"/>
                      <w:szCs w:val="20"/>
                    </w:rPr>
                    <w:t>南涧县公郎镇大平掌村、六保村、旧村、蚂蝗箐附近</w:t>
                  </w:r>
                </w:p>
                <w:p w14:paraId="08D766D8">
                  <w:pPr>
                    <w:pStyle w:val="65"/>
                    <w:jc w:val="both"/>
                    <w:rPr>
                      <w:rFonts w:cs="Times New Roman"/>
                      <w:color w:val="auto"/>
                      <w:kern w:val="0"/>
                      <w:szCs w:val="20"/>
                    </w:rPr>
                  </w:pPr>
                  <w:r>
                    <w:rPr>
                      <w:rFonts w:hint="eastAsia" w:cs="Times New Roman"/>
                      <w:color w:val="auto"/>
                      <w:kern w:val="0"/>
                      <w:szCs w:val="20"/>
                    </w:rPr>
                    <w:t>光伏场址范围：东经100°25′8.735″~100°26′50.547″，北纬24°46′26.227″~24°44′53.337″</w:t>
                  </w:r>
                </w:p>
              </w:tc>
              <w:tc>
                <w:tcPr>
                  <w:tcW w:w="1117" w:type="pct"/>
                  <w:vAlign w:val="center"/>
                </w:tcPr>
                <w:p w14:paraId="0A2FD09E">
                  <w:pPr>
                    <w:pStyle w:val="65"/>
                    <w:jc w:val="both"/>
                    <w:rPr>
                      <w:rFonts w:cs="Times New Roman"/>
                      <w:color w:val="auto"/>
                      <w:kern w:val="0"/>
                      <w:szCs w:val="20"/>
                    </w:rPr>
                  </w:pPr>
                  <w:r>
                    <w:rPr>
                      <w:rFonts w:hint="eastAsia" w:cs="Times New Roman"/>
                      <w:color w:val="auto"/>
                      <w:kern w:val="0"/>
                      <w:szCs w:val="20"/>
                    </w:rPr>
                    <w:t>南涧县公郎镇旧村、蚂蝗箐、大平掌、包茂村、大歇场、下朵么、安召附近山坡地带</w:t>
                  </w:r>
                </w:p>
                <w:p w14:paraId="4A9120EB">
                  <w:pPr>
                    <w:pStyle w:val="65"/>
                    <w:jc w:val="both"/>
                    <w:rPr>
                      <w:rFonts w:cs="Times New Roman"/>
                      <w:color w:val="auto"/>
                      <w:kern w:val="0"/>
                      <w:szCs w:val="20"/>
                    </w:rPr>
                  </w:pPr>
                  <w:r>
                    <w:rPr>
                      <w:rFonts w:hint="eastAsia" w:cs="Times New Roman"/>
                      <w:color w:val="auto"/>
                      <w:kern w:val="0"/>
                      <w:szCs w:val="20"/>
                    </w:rPr>
                    <w:t>光伏场址范围：</w:t>
                  </w:r>
                  <w:bookmarkStart w:id="321" w:name="OLE_LINK37"/>
                  <w:r>
                    <w:rPr>
                      <w:rFonts w:hint="eastAsia" w:cs="Times New Roman"/>
                      <w:color w:val="auto"/>
                      <w:kern w:val="0"/>
                      <w:szCs w:val="20"/>
                    </w:rPr>
                    <w:t>东经100°25′9.764″~100°30′10.721″,北纬24°46′26.624″~24°44′37.242</w:t>
                  </w:r>
                  <w:bookmarkEnd w:id="321"/>
                  <w:r>
                    <w:rPr>
                      <w:rFonts w:hint="eastAsia" w:cs="Times New Roman"/>
                      <w:color w:val="auto"/>
                      <w:kern w:val="0"/>
                      <w:szCs w:val="20"/>
                    </w:rPr>
                    <w:t>″</w:t>
                  </w:r>
                </w:p>
              </w:tc>
              <w:tc>
                <w:tcPr>
                  <w:tcW w:w="1396" w:type="pct"/>
                  <w:vAlign w:val="center"/>
                </w:tcPr>
                <w:p w14:paraId="3CA8B6E8">
                  <w:pPr>
                    <w:pStyle w:val="65"/>
                    <w:jc w:val="both"/>
                    <w:rPr>
                      <w:rFonts w:cs="Times New Roman"/>
                      <w:color w:val="auto"/>
                      <w:kern w:val="0"/>
                      <w:szCs w:val="20"/>
                    </w:rPr>
                  </w:pPr>
                  <w:r>
                    <w:rPr>
                      <w:rFonts w:cs="Times New Roman"/>
                      <w:color w:val="auto"/>
                      <w:kern w:val="0"/>
                      <w:szCs w:val="20"/>
                    </w:rPr>
                    <w:t>本项目太阳能方阵、逆变器、箱变</w:t>
                  </w:r>
                  <w:r>
                    <w:rPr>
                      <w:rFonts w:hint="eastAsia" w:cs="Times New Roman"/>
                      <w:color w:val="auto"/>
                      <w:kern w:val="0"/>
                      <w:szCs w:val="20"/>
                    </w:rPr>
                    <w:t>规模</w:t>
                  </w:r>
                  <w:r>
                    <w:rPr>
                      <w:rFonts w:cs="Times New Roman"/>
                      <w:color w:val="auto"/>
                      <w:kern w:val="0"/>
                      <w:szCs w:val="20"/>
                    </w:rPr>
                    <w:t>不</w:t>
                  </w:r>
                  <w:r>
                    <w:rPr>
                      <w:rFonts w:hint="eastAsia" w:cs="Times New Roman"/>
                      <w:color w:val="auto"/>
                      <w:kern w:val="0"/>
                      <w:szCs w:val="20"/>
                    </w:rPr>
                    <w:t>发生</w:t>
                  </w:r>
                  <w:r>
                    <w:rPr>
                      <w:rFonts w:cs="Times New Roman"/>
                      <w:color w:val="auto"/>
                      <w:kern w:val="0"/>
                      <w:szCs w:val="20"/>
                    </w:rPr>
                    <w:t>变动。</w:t>
                  </w:r>
                  <w:r>
                    <w:rPr>
                      <w:rFonts w:hint="eastAsia" w:cs="Times New Roman"/>
                      <w:color w:val="auto"/>
                      <w:kern w:val="0"/>
                      <w:szCs w:val="20"/>
                    </w:rPr>
                    <w:t>原环评批复的占地面积为83.69hm</w:t>
                  </w:r>
                  <w:r>
                    <w:rPr>
                      <w:rFonts w:hint="eastAsia" w:cs="Times New Roman"/>
                      <w:color w:val="auto"/>
                      <w:kern w:val="0"/>
                      <w:szCs w:val="20"/>
                      <w:vertAlign w:val="superscript"/>
                    </w:rPr>
                    <w:t>2</w:t>
                  </w:r>
                  <w:r>
                    <w:rPr>
                      <w:rFonts w:hint="eastAsia" w:cs="Times New Roman"/>
                      <w:color w:val="auto"/>
                      <w:kern w:val="0"/>
                      <w:szCs w:val="20"/>
                    </w:rPr>
                    <w:t>，工程变更后占地面积为117.06hm</w:t>
                  </w:r>
                  <w:r>
                    <w:rPr>
                      <w:rFonts w:hint="eastAsia" w:cs="Times New Roman"/>
                      <w:color w:val="auto"/>
                      <w:kern w:val="0"/>
                      <w:szCs w:val="20"/>
                      <w:vertAlign w:val="superscript"/>
                    </w:rPr>
                    <w:t>2</w:t>
                  </w:r>
                  <w:r>
                    <w:rPr>
                      <w:rFonts w:hint="eastAsia" w:cs="Times New Roman"/>
                      <w:color w:val="auto"/>
                      <w:kern w:val="0"/>
                      <w:szCs w:val="20"/>
                    </w:rPr>
                    <w:t>，在原环评批复的范围内52.41hm</w:t>
                  </w:r>
                  <w:r>
                    <w:rPr>
                      <w:rFonts w:hint="eastAsia" w:cs="Times New Roman"/>
                      <w:color w:val="auto"/>
                      <w:kern w:val="0"/>
                      <w:szCs w:val="20"/>
                      <w:vertAlign w:val="superscript"/>
                    </w:rPr>
                    <w:t>2</w:t>
                  </w:r>
                  <w:r>
                    <w:rPr>
                      <w:rFonts w:hint="eastAsia" w:cs="Times New Roman"/>
                      <w:color w:val="auto"/>
                      <w:kern w:val="0"/>
                      <w:szCs w:val="20"/>
                    </w:rPr>
                    <w:t>，范围外64.65hm</w:t>
                  </w:r>
                  <w:r>
                    <w:rPr>
                      <w:rFonts w:hint="eastAsia" w:cs="Times New Roman"/>
                      <w:color w:val="auto"/>
                      <w:kern w:val="0"/>
                      <w:szCs w:val="20"/>
                      <w:vertAlign w:val="superscript"/>
                    </w:rPr>
                    <w:t>2</w:t>
                  </w:r>
                  <w:r>
                    <w:rPr>
                      <w:rFonts w:hint="eastAsia" w:cs="Times New Roman"/>
                      <w:color w:val="auto"/>
                      <w:kern w:val="0"/>
                      <w:szCs w:val="20"/>
                    </w:rPr>
                    <w:t>，新增面积占原占地面积77.24%；环境空气和水环境保护目标较原环评增加超过30%。</w:t>
                  </w:r>
                </w:p>
              </w:tc>
              <w:tc>
                <w:tcPr>
                  <w:tcW w:w="723" w:type="pct"/>
                  <w:vAlign w:val="center"/>
                </w:tcPr>
                <w:p w14:paraId="2F7DAC76">
                  <w:pPr>
                    <w:pStyle w:val="65"/>
                    <w:rPr>
                      <w:rFonts w:cs="Times New Roman"/>
                      <w:color w:val="auto"/>
                      <w:kern w:val="0"/>
                      <w:szCs w:val="20"/>
                    </w:rPr>
                  </w:pPr>
                  <w:r>
                    <w:rPr>
                      <w:rFonts w:hint="eastAsia" w:cs="Times New Roman"/>
                      <w:color w:val="auto"/>
                      <w:kern w:val="0"/>
                      <w:szCs w:val="20"/>
                    </w:rPr>
                    <w:t>是</w:t>
                  </w:r>
                </w:p>
              </w:tc>
            </w:tr>
            <w:tr w14:paraId="3F86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vAlign w:val="center"/>
                </w:tcPr>
                <w:p w14:paraId="6214B110">
                  <w:pPr>
                    <w:pStyle w:val="65"/>
                    <w:rPr>
                      <w:rFonts w:cs="Times New Roman"/>
                      <w:color w:val="auto"/>
                      <w:kern w:val="0"/>
                      <w:szCs w:val="20"/>
                    </w:rPr>
                  </w:pPr>
                  <w:r>
                    <w:rPr>
                      <w:rFonts w:hint="eastAsia" w:cs="Times New Roman"/>
                      <w:color w:val="auto"/>
                      <w:kern w:val="0"/>
                      <w:szCs w:val="20"/>
                    </w:rPr>
                    <w:t>生产工艺</w:t>
                  </w:r>
                </w:p>
              </w:tc>
              <w:tc>
                <w:tcPr>
                  <w:tcW w:w="1210" w:type="pct"/>
                  <w:vAlign w:val="center"/>
                </w:tcPr>
                <w:p w14:paraId="4ED9A5D4">
                  <w:pPr>
                    <w:pStyle w:val="65"/>
                    <w:jc w:val="both"/>
                    <w:rPr>
                      <w:rFonts w:cs="Times New Roman"/>
                      <w:color w:val="auto"/>
                      <w:kern w:val="0"/>
                      <w:szCs w:val="20"/>
                    </w:rPr>
                  </w:pPr>
                  <w:r>
                    <w:rPr>
                      <w:rFonts w:cs="Times New Roman"/>
                      <w:color w:val="auto"/>
                      <w:kern w:val="0"/>
                      <w:szCs w:val="20"/>
                    </w:rPr>
                    <w:t>太阳能→光伏电池阵列→逆变器→35kV箱式变压器→</w:t>
                  </w:r>
                  <w:r>
                    <w:rPr>
                      <w:rFonts w:hint="eastAsia" w:cs="Times New Roman"/>
                      <w:color w:val="auto"/>
                      <w:kern w:val="0"/>
                      <w:szCs w:val="20"/>
                    </w:rPr>
                    <w:t>德安光伏</w:t>
                  </w:r>
                  <w:r>
                    <w:rPr>
                      <w:rFonts w:cs="Times New Roman"/>
                      <w:color w:val="auto"/>
                      <w:kern w:val="0"/>
                      <w:szCs w:val="20"/>
                    </w:rPr>
                    <w:t>项目升压站</w:t>
                  </w:r>
                </w:p>
              </w:tc>
              <w:tc>
                <w:tcPr>
                  <w:tcW w:w="1117" w:type="pct"/>
                  <w:vAlign w:val="center"/>
                </w:tcPr>
                <w:p w14:paraId="0EBB9FE5">
                  <w:pPr>
                    <w:pStyle w:val="65"/>
                    <w:jc w:val="both"/>
                    <w:rPr>
                      <w:rFonts w:cs="Times New Roman"/>
                      <w:color w:val="auto"/>
                      <w:kern w:val="0"/>
                      <w:szCs w:val="20"/>
                    </w:rPr>
                  </w:pPr>
                  <w:r>
                    <w:rPr>
                      <w:rFonts w:cs="Times New Roman"/>
                      <w:color w:val="auto"/>
                      <w:kern w:val="0"/>
                      <w:szCs w:val="20"/>
                    </w:rPr>
                    <w:t>太阳能→光伏电池阵列→逆变器→35kV箱式变压器→</w:t>
                  </w:r>
                  <w:r>
                    <w:rPr>
                      <w:rFonts w:hint="eastAsia" w:cs="Times New Roman"/>
                      <w:color w:val="auto"/>
                      <w:kern w:val="0"/>
                      <w:szCs w:val="20"/>
                    </w:rPr>
                    <w:t>德安光伏</w:t>
                  </w:r>
                  <w:r>
                    <w:rPr>
                      <w:rFonts w:cs="Times New Roman"/>
                      <w:color w:val="auto"/>
                      <w:kern w:val="0"/>
                      <w:szCs w:val="20"/>
                    </w:rPr>
                    <w:t>项目升压站</w:t>
                  </w:r>
                </w:p>
              </w:tc>
              <w:tc>
                <w:tcPr>
                  <w:tcW w:w="1396" w:type="pct"/>
                  <w:vAlign w:val="center"/>
                </w:tcPr>
                <w:p w14:paraId="4EF1BA8E">
                  <w:pPr>
                    <w:pStyle w:val="65"/>
                    <w:rPr>
                      <w:rFonts w:cs="Times New Roman"/>
                      <w:color w:val="auto"/>
                      <w:kern w:val="0"/>
                      <w:szCs w:val="20"/>
                    </w:rPr>
                  </w:pPr>
                  <w:r>
                    <w:rPr>
                      <w:rFonts w:hint="eastAsia" w:cs="Times New Roman"/>
                      <w:color w:val="auto"/>
                      <w:kern w:val="0"/>
                      <w:szCs w:val="20"/>
                    </w:rPr>
                    <w:t>无变化</w:t>
                  </w:r>
                </w:p>
              </w:tc>
              <w:tc>
                <w:tcPr>
                  <w:tcW w:w="723" w:type="pct"/>
                  <w:vAlign w:val="center"/>
                </w:tcPr>
                <w:p w14:paraId="2A8EB36D">
                  <w:pPr>
                    <w:pStyle w:val="65"/>
                    <w:rPr>
                      <w:rFonts w:cs="Times New Roman"/>
                      <w:color w:val="auto"/>
                      <w:kern w:val="0"/>
                      <w:szCs w:val="20"/>
                    </w:rPr>
                  </w:pPr>
                  <w:r>
                    <w:rPr>
                      <w:rFonts w:hint="eastAsia" w:cs="Times New Roman"/>
                      <w:color w:val="auto"/>
                      <w:kern w:val="0"/>
                      <w:szCs w:val="20"/>
                    </w:rPr>
                    <w:t>否</w:t>
                  </w:r>
                </w:p>
              </w:tc>
            </w:tr>
          </w:tbl>
          <w:p w14:paraId="50B8B248">
            <w:pPr>
              <w:pStyle w:val="36"/>
              <w:widowControl/>
              <w:ind w:firstLine="480"/>
              <w:rPr>
                <w:color w:val="auto"/>
                <w:szCs w:val="21"/>
              </w:rPr>
            </w:pPr>
            <w:r>
              <w:rPr>
                <w:color w:val="auto"/>
              </w:rPr>
              <w:t>经以上分析，“</w:t>
            </w:r>
            <w:r>
              <w:rPr>
                <w:rFonts w:hint="eastAsia"/>
                <w:color w:val="auto"/>
              </w:rPr>
              <w:t>沙乐光伏发电建设项目</w:t>
            </w:r>
            <w:r>
              <w:rPr>
                <w:color w:val="auto"/>
              </w:rPr>
              <w:t>”存在《关于印发环评管理中部分行业建设项目重大变动清单的通知》（环办〔2015〕52号）中所提重大变动情况。</w:t>
            </w:r>
            <w:r>
              <w:rPr>
                <w:rFonts w:hint="eastAsia"/>
                <w:color w:val="auto"/>
                <w:szCs w:val="21"/>
              </w:rPr>
              <w:t>本项目属于重大变动，需重新办理环评手续。</w:t>
            </w:r>
          </w:p>
          <w:p w14:paraId="145EB3B9">
            <w:pPr>
              <w:pStyle w:val="3"/>
              <w:spacing w:before="72" w:after="72"/>
              <w:rPr>
                <w:color w:val="auto"/>
              </w:rPr>
            </w:pPr>
            <w:bookmarkStart w:id="322" w:name="_Toc19163"/>
            <w:bookmarkStart w:id="323" w:name="_Toc32704"/>
            <w:bookmarkStart w:id="324" w:name="_Toc136794299"/>
            <w:bookmarkStart w:id="325" w:name="_Toc112424246"/>
            <w:bookmarkStart w:id="326" w:name="_Toc177488200"/>
            <w:bookmarkStart w:id="327" w:name="_Toc160730860"/>
            <w:bookmarkStart w:id="328" w:name="_Toc112165609"/>
            <w:bookmarkStart w:id="329" w:name="_Toc177072816"/>
            <w:bookmarkStart w:id="330" w:name="_Toc156137822"/>
            <w:bookmarkStart w:id="331" w:name="_Toc161415538"/>
            <w:bookmarkStart w:id="332" w:name="_Toc177482888"/>
            <w:bookmarkStart w:id="333" w:name="_Toc181293523"/>
            <w:bookmarkStart w:id="334" w:name="_Toc177072388"/>
            <w:bookmarkStart w:id="335" w:name="_Toc112173904"/>
            <w:bookmarkStart w:id="336" w:name="_Toc159349011"/>
            <w:bookmarkStart w:id="337" w:name="_Toc158491243"/>
            <w:bookmarkStart w:id="338" w:name="_Toc181732801"/>
            <w:bookmarkStart w:id="339" w:name="_Toc156144136"/>
            <w:bookmarkStart w:id="340" w:name="_Toc181738208"/>
            <w:bookmarkStart w:id="341" w:name="_Toc136794174"/>
            <w:bookmarkStart w:id="342" w:name="_Toc160473784"/>
            <w:r>
              <w:rPr>
                <w:color w:val="auto"/>
              </w:rPr>
              <w:t>项目规模和建设内容</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10218764">
            <w:pPr>
              <w:pStyle w:val="4"/>
              <w:spacing w:before="48" w:after="48"/>
              <w:rPr>
                <w:color w:val="auto"/>
              </w:rPr>
            </w:pPr>
            <w:bookmarkStart w:id="343" w:name="_Toc112173905"/>
            <w:bookmarkStart w:id="344" w:name="_Toc112424247"/>
            <w:bookmarkStart w:id="345" w:name="_Toc112165610"/>
            <w:bookmarkStart w:id="346" w:name="_Toc136794300"/>
            <w:bookmarkStart w:id="347" w:name="_Toc4013"/>
            <w:bookmarkStart w:id="348" w:name="_Toc159349012"/>
            <w:bookmarkStart w:id="349" w:name="_Toc136794175"/>
            <w:bookmarkStart w:id="350" w:name="_Toc161415539"/>
            <w:bookmarkStart w:id="351" w:name="_Toc177072389"/>
            <w:bookmarkStart w:id="352" w:name="_Toc158491244"/>
            <w:bookmarkStart w:id="353" w:name="_Toc177482889"/>
            <w:bookmarkStart w:id="354" w:name="_Toc177488201"/>
            <w:bookmarkStart w:id="355" w:name="_Toc181293524"/>
            <w:bookmarkStart w:id="356" w:name="_Toc160473785"/>
            <w:bookmarkStart w:id="357" w:name="_Toc181732802"/>
            <w:bookmarkStart w:id="358" w:name="_Toc156144137"/>
            <w:bookmarkStart w:id="359" w:name="_Toc177072817"/>
            <w:bookmarkStart w:id="360" w:name="_Toc156137823"/>
            <w:bookmarkStart w:id="361" w:name="_Toc5806"/>
            <w:bookmarkStart w:id="362" w:name="_Toc181738209"/>
            <w:bookmarkStart w:id="363" w:name="_Toc160730861"/>
            <w:r>
              <w:rPr>
                <w:color w:val="auto"/>
              </w:rPr>
              <w:t>工程</w:t>
            </w:r>
            <w:bookmarkEnd w:id="343"/>
            <w:bookmarkEnd w:id="344"/>
            <w:bookmarkEnd w:id="345"/>
            <w:r>
              <w:rPr>
                <w:color w:val="auto"/>
              </w:rPr>
              <w:t>基本情况</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7153D03B">
            <w:pPr>
              <w:ind w:firstLine="480"/>
              <w:rPr>
                <w:color w:val="auto"/>
                <w:szCs w:val="21"/>
              </w:rPr>
            </w:pPr>
            <w:r>
              <w:rPr>
                <w:color w:val="auto"/>
                <w:szCs w:val="21"/>
              </w:rPr>
              <w:t>项目名称：</w:t>
            </w:r>
            <w:r>
              <w:rPr>
                <w:rFonts w:hint="eastAsia"/>
                <w:color w:val="auto"/>
                <w:szCs w:val="21"/>
              </w:rPr>
              <w:t>沙乐光伏发电项目（重大变动）</w:t>
            </w:r>
          </w:p>
          <w:p w14:paraId="37685D85">
            <w:pPr>
              <w:ind w:firstLine="480"/>
              <w:rPr>
                <w:color w:val="auto"/>
                <w:szCs w:val="21"/>
              </w:rPr>
            </w:pPr>
            <w:r>
              <w:rPr>
                <w:color w:val="auto"/>
                <w:szCs w:val="21"/>
              </w:rPr>
              <w:t>建设单位：</w:t>
            </w:r>
            <w:r>
              <w:rPr>
                <w:rFonts w:hint="eastAsia"/>
                <w:color w:val="auto"/>
                <w:szCs w:val="21"/>
              </w:rPr>
              <w:t>华能澜沧江（南涧）新能源有限公司</w:t>
            </w:r>
          </w:p>
          <w:p w14:paraId="39D89B59">
            <w:pPr>
              <w:ind w:firstLine="480"/>
              <w:rPr>
                <w:color w:val="auto"/>
                <w:szCs w:val="21"/>
              </w:rPr>
            </w:pPr>
            <w:r>
              <w:rPr>
                <w:color w:val="auto"/>
                <w:szCs w:val="21"/>
              </w:rPr>
              <w:t>建设性质：新建</w:t>
            </w:r>
            <w:r>
              <w:rPr>
                <w:rFonts w:hint="eastAsia"/>
                <w:color w:val="auto"/>
                <w:szCs w:val="21"/>
              </w:rPr>
              <w:t>（重新报批）</w:t>
            </w:r>
          </w:p>
          <w:p w14:paraId="45CC6B9D">
            <w:pPr>
              <w:ind w:firstLine="480"/>
              <w:rPr>
                <w:color w:val="auto"/>
              </w:rPr>
            </w:pPr>
            <w:r>
              <w:rPr>
                <w:color w:val="auto"/>
              </w:rPr>
              <w:t>建设地点：</w:t>
            </w:r>
            <w:r>
              <w:rPr>
                <w:rFonts w:hint="eastAsia"/>
                <w:color w:val="auto"/>
              </w:rPr>
              <w:t>南涧县公郎镇旧村、蚂蝗箐、大平掌、包茂村、大歇场、下朵么、安召附近山坡地带</w:t>
            </w:r>
          </w:p>
          <w:p w14:paraId="0E078F18">
            <w:pPr>
              <w:ind w:firstLine="480"/>
              <w:rPr>
                <w:color w:val="auto"/>
              </w:rPr>
            </w:pPr>
            <w:r>
              <w:rPr>
                <w:color w:val="auto"/>
              </w:rPr>
              <w:t>建设规模：</w:t>
            </w:r>
            <w:bookmarkStart w:id="364" w:name="_Hlk181624395"/>
            <w:r>
              <w:rPr>
                <w:color w:val="auto"/>
              </w:rPr>
              <w:t>项目规划</w:t>
            </w:r>
            <w:r>
              <w:rPr>
                <w:rFonts w:hint="eastAsia"/>
                <w:color w:val="auto"/>
              </w:rPr>
              <w:t>交流侧</w:t>
            </w:r>
            <w:r>
              <w:rPr>
                <w:color w:val="auto"/>
              </w:rPr>
              <w:t>装机容量</w:t>
            </w:r>
            <w:r>
              <w:rPr>
                <w:rFonts w:hint="eastAsia"/>
                <w:color w:val="auto"/>
              </w:rPr>
              <w:t>60MW，直流侧</w:t>
            </w:r>
            <w:r>
              <w:rPr>
                <w:color w:val="auto"/>
              </w:rPr>
              <w:t>装机容量74.1524MWp，规划</w:t>
            </w:r>
            <w:r>
              <w:rPr>
                <w:rFonts w:hint="eastAsia"/>
                <w:color w:val="auto"/>
              </w:rPr>
              <w:t>22</w:t>
            </w:r>
            <w:r>
              <w:rPr>
                <w:color w:val="auto"/>
              </w:rPr>
              <w:t>个子方阵，采用峰值功率为</w:t>
            </w:r>
            <w:r>
              <w:rPr>
                <w:rFonts w:hint="eastAsia"/>
                <w:color w:val="auto"/>
              </w:rPr>
              <w:t>71</w:t>
            </w:r>
            <w:r>
              <w:rPr>
                <w:color w:val="auto"/>
              </w:rPr>
              <w:t>0Wp的光伏组件104440块，</w:t>
            </w:r>
            <w:r>
              <w:rPr>
                <w:rFonts w:hint="eastAsia"/>
                <w:color w:val="auto"/>
              </w:rPr>
              <w:t>188</w:t>
            </w:r>
            <w:r>
              <w:rPr>
                <w:color w:val="auto"/>
              </w:rPr>
              <w:t>台320kW组串式逆变器，</w:t>
            </w:r>
            <w:r>
              <w:rPr>
                <w:rFonts w:hint="eastAsia"/>
                <w:color w:val="auto"/>
              </w:rPr>
              <w:t>22</w:t>
            </w:r>
            <w:r>
              <w:rPr>
                <w:color w:val="auto"/>
              </w:rPr>
              <w:t>台箱式变压器</w:t>
            </w:r>
            <w:r>
              <w:rPr>
                <w:rFonts w:hint="eastAsia"/>
                <w:color w:val="auto"/>
              </w:rPr>
              <w:t>，</w:t>
            </w:r>
            <w:r>
              <w:rPr>
                <w:color w:val="auto"/>
              </w:rPr>
              <w:t>建设</w:t>
            </w:r>
            <w:r>
              <w:rPr>
                <w:rFonts w:hint="eastAsia"/>
                <w:color w:val="auto"/>
              </w:rPr>
              <w:t>集电线路路径总长为22.03km，其中，架空集电线路路径总长约为14.06km（单回线路路径长度3.2km，双回线路路径长度10.86km，立塔44</w:t>
            </w:r>
            <w:r>
              <w:rPr>
                <w:color w:val="auto"/>
              </w:rPr>
              <w:t>基，</w:t>
            </w:r>
            <w:r>
              <w:rPr>
                <w:rFonts w:hint="eastAsia"/>
                <w:color w:val="auto"/>
              </w:rPr>
              <w:t>塔基占地0.22hm</w:t>
            </w:r>
            <w:r>
              <w:rPr>
                <w:rFonts w:hint="eastAsia"/>
                <w:color w:val="auto"/>
                <w:vertAlign w:val="superscript"/>
              </w:rPr>
              <w:t>2</w:t>
            </w:r>
            <w:r>
              <w:rPr>
                <w:rFonts w:hint="eastAsia"/>
                <w:color w:val="auto"/>
              </w:rPr>
              <w:t>），直埋电缆沟全长约7.97km。</w:t>
            </w:r>
            <w:r>
              <w:rPr>
                <w:color w:val="auto"/>
              </w:rPr>
              <w:t>配套建设相应的辅助工程、公用工程、环保工程等</w:t>
            </w:r>
            <w:r>
              <w:rPr>
                <w:rFonts w:hint="eastAsia"/>
                <w:color w:val="auto"/>
              </w:rPr>
              <w:t>；本项目与德安光伏发电项目共用一座220kV升压站，升压站在德安光伏发电项目内建设，环评批复已取得，</w:t>
            </w:r>
            <w:r>
              <w:rPr>
                <w:color w:val="auto"/>
              </w:rPr>
              <w:t>目前</w:t>
            </w:r>
            <w:r>
              <w:rPr>
                <w:rFonts w:hint="eastAsia"/>
                <w:color w:val="auto"/>
              </w:rPr>
              <w:t>正在施工建设，</w:t>
            </w:r>
            <w:r>
              <w:rPr>
                <w:color w:val="auto"/>
              </w:rPr>
              <w:t>还未投运</w:t>
            </w:r>
            <w:r>
              <w:rPr>
                <w:rFonts w:hint="eastAsia"/>
                <w:color w:val="auto"/>
              </w:rPr>
              <w:t>。</w:t>
            </w:r>
          </w:p>
          <w:bookmarkEnd w:id="364"/>
          <w:p w14:paraId="6D51ECF5">
            <w:pPr>
              <w:ind w:firstLine="480"/>
              <w:rPr>
                <w:color w:val="auto"/>
              </w:rPr>
            </w:pPr>
            <w:r>
              <w:rPr>
                <w:color w:val="auto"/>
              </w:rPr>
              <w:t>工程等级：</w:t>
            </w:r>
            <w:r>
              <w:rPr>
                <w:rFonts w:hint="eastAsia"/>
                <w:color w:val="auto"/>
              </w:rPr>
              <w:t>本项目额定容量60MW（AC），为大型光伏发电项目，建筑结构安全等级为二级，建筑抗震设防类别为丙类，地基基础设计等级为丙级，建筑结构设计使用年限为50年，防洪标准为50年一遇，排水设计标准为山洪频率2%，光伏支架结构安全等级为三级，光伏支架设计使用年限为25年。</w:t>
            </w:r>
          </w:p>
          <w:p w14:paraId="7AFC5289">
            <w:pPr>
              <w:ind w:firstLine="480"/>
              <w:rPr>
                <w:color w:val="auto"/>
              </w:rPr>
            </w:pPr>
            <w:r>
              <w:rPr>
                <w:color w:val="auto"/>
              </w:rPr>
              <w:t>工程总工期：</w:t>
            </w:r>
            <w:r>
              <w:rPr>
                <w:rFonts w:hint="eastAsia"/>
                <w:color w:val="auto"/>
              </w:rPr>
              <w:t>6</w:t>
            </w:r>
            <w:r>
              <w:rPr>
                <w:color w:val="auto"/>
              </w:rPr>
              <w:t>个月</w:t>
            </w:r>
          </w:p>
          <w:p w14:paraId="3CF74263">
            <w:pPr>
              <w:ind w:firstLine="480"/>
              <w:rPr>
                <w:color w:val="auto"/>
              </w:rPr>
            </w:pPr>
            <w:r>
              <w:rPr>
                <w:color w:val="auto"/>
              </w:rPr>
              <w:t>项目投资：</w:t>
            </w:r>
            <w:r>
              <w:rPr>
                <w:rFonts w:hint="eastAsia"/>
                <w:color w:val="auto"/>
              </w:rPr>
              <w:t>本项目总投资为23948.55万元，项目环保投资约</w:t>
            </w:r>
            <w:r>
              <w:rPr>
                <w:color w:val="auto"/>
              </w:rPr>
              <w:t>18</w:t>
            </w:r>
            <w:r>
              <w:rPr>
                <w:rFonts w:hint="eastAsia"/>
                <w:color w:val="auto"/>
              </w:rPr>
              <w:t>0</w:t>
            </w:r>
            <w:r>
              <w:rPr>
                <w:color w:val="auto"/>
              </w:rPr>
              <w:t>.1</w:t>
            </w:r>
            <w:r>
              <w:rPr>
                <w:rFonts w:hint="eastAsia"/>
                <w:color w:val="auto"/>
              </w:rPr>
              <w:t>万元，占总投资的</w:t>
            </w:r>
            <w:r>
              <w:rPr>
                <w:color w:val="auto"/>
              </w:rPr>
              <w:t>0.</w:t>
            </w:r>
            <w:r>
              <w:rPr>
                <w:rFonts w:hint="eastAsia"/>
                <w:color w:val="auto"/>
              </w:rPr>
              <w:t>75</w:t>
            </w:r>
            <w:r>
              <w:rPr>
                <w:color w:val="auto"/>
              </w:rPr>
              <w:t>%</w:t>
            </w:r>
            <w:r>
              <w:rPr>
                <w:rFonts w:hint="eastAsia"/>
                <w:color w:val="auto"/>
              </w:rPr>
              <w:t>。</w:t>
            </w:r>
          </w:p>
          <w:p w14:paraId="74BAAA1A">
            <w:pPr>
              <w:ind w:firstLine="480"/>
              <w:rPr>
                <w:color w:val="auto"/>
              </w:rPr>
            </w:pPr>
            <w:r>
              <w:rPr>
                <w:color w:val="auto"/>
              </w:rPr>
              <w:t>运行年限：25年</w:t>
            </w:r>
          </w:p>
          <w:p w14:paraId="723756CB">
            <w:pPr>
              <w:pStyle w:val="4"/>
              <w:spacing w:before="48" w:after="48"/>
              <w:rPr>
                <w:color w:val="auto"/>
              </w:rPr>
            </w:pPr>
            <w:bookmarkStart w:id="365" w:name="_Toc136794301"/>
            <w:bookmarkStart w:id="366" w:name="_Toc21228"/>
            <w:bookmarkStart w:id="367" w:name="_Toc177072390"/>
            <w:bookmarkStart w:id="368" w:name="_Toc177488202"/>
            <w:bookmarkStart w:id="369" w:name="_Toc181732803"/>
            <w:bookmarkStart w:id="370" w:name="_Toc112424248"/>
            <w:bookmarkStart w:id="371" w:name="_Toc30773"/>
            <w:bookmarkStart w:id="372" w:name="_Toc177072818"/>
            <w:bookmarkStart w:id="373" w:name="_Toc159349013"/>
            <w:bookmarkStart w:id="374" w:name="_Toc136794176"/>
            <w:bookmarkStart w:id="375" w:name="_Toc156137824"/>
            <w:bookmarkStart w:id="376" w:name="_Toc160730862"/>
            <w:bookmarkStart w:id="377" w:name="_Toc181738210"/>
            <w:bookmarkStart w:id="378" w:name="_Toc158491245"/>
            <w:bookmarkStart w:id="379" w:name="_Toc156144138"/>
            <w:bookmarkStart w:id="380" w:name="_Toc112173906"/>
            <w:bookmarkStart w:id="381" w:name="_Toc161415540"/>
            <w:bookmarkStart w:id="382" w:name="_Toc181293525"/>
            <w:bookmarkStart w:id="383" w:name="_Toc112165611"/>
            <w:bookmarkStart w:id="384" w:name="_Toc177482890"/>
            <w:bookmarkStart w:id="385" w:name="_Toc160473786"/>
            <w:r>
              <w:rPr>
                <w:color w:val="auto"/>
              </w:rPr>
              <w:t>项目组成</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500995F1">
            <w:pPr>
              <w:ind w:firstLine="480"/>
              <w:rPr>
                <w:color w:val="auto"/>
                <w:szCs w:val="21"/>
              </w:rPr>
            </w:pPr>
            <w:r>
              <w:rPr>
                <w:color w:val="auto"/>
                <w:szCs w:val="21"/>
              </w:rPr>
              <w:t>项目工程由主体工程、辅助工程、公用工程、临时工程和环保工程组成。</w:t>
            </w:r>
          </w:p>
          <w:p w14:paraId="1ACA237B">
            <w:pPr>
              <w:ind w:firstLine="480"/>
              <w:rPr>
                <w:color w:val="auto"/>
                <w:szCs w:val="21"/>
              </w:rPr>
            </w:pPr>
            <w:r>
              <w:rPr>
                <w:color w:val="auto"/>
                <w:szCs w:val="21"/>
              </w:rPr>
              <w:t>本项目工程组成情况详见</w:t>
            </w:r>
            <w:r>
              <w:rPr>
                <w:rFonts w:hint="eastAsia"/>
                <w:color w:val="auto"/>
                <w:szCs w:val="21"/>
              </w:rPr>
              <w:t>下</w:t>
            </w:r>
            <w:r>
              <w:rPr>
                <w:color w:val="auto"/>
                <w:szCs w:val="21"/>
              </w:rPr>
              <w:t>表。</w:t>
            </w:r>
          </w:p>
          <w:p w14:paraId="57BFF2DC">
            <w:pPr>
              <w:pStyle w:val="63"/>
              <w:ind w:firstLine="482"/>
              <w:rPr>
                <w:color w:val="auto"/>
                <w:szCs w:val="21"/>
              </w:rPr>
            </w:pPr>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2.6</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1</w:t>
            </w:r>
            <w:r>
              <w:rPr>
                <w:color w:val="auto"/>
                <w:szCs w:val="24"/>
              </w:rPr>
              <w:fldChar w:fldCharType="end"/>
            </w:r>
            <w:r>
              <w:rPr>
                <w:color w:val="auto"/>
                <w:szCs w:val="24"/>
              </w:rPr>
              <w:t xml:space="preserve">  </w:t>
            </w:r>
            <w:r>
              <w:rPr>
                <w:color w:val="auto"/>
                <w:szCs w:val="21"/>
              </w:rPr>
              <w:t>项目组成一览表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426"/>
              <w:gridCol w:w="2955"/>
              <w:gridCol w:w="2440"/>
              <w:gridCol w:w="1220"/>
            </w:tblGrid>
            <w:tr w14:paraId="0DC8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9" w:type="pct"/>
                  <w:gridSpan w:val="3"/>
                  <w:vAlign w:val="center"/>
                </w:tcPr>
                <w:p w14:paraId="2D2C1BAD">
                  <w:pPr>
                    <w:pStyle w:val="65"/>
                    <w:rPr>
                      <w:b/>
                      <w:bCs/>
                      <w:color w:val="auto"/>
                    </w:rPr>
                  </w:pPr>
                  <w:r>
                    <w:rPr>
                      <w:rFonts w:hint="eastAsia"/>
                      <w:b/>
                      <w:bCs/>
                      <w:color w:val="auto"/>
                    </w:rPr>
                    <w:t>工程名称</w:t>
                  </w:r>
                </w:p>
              </w:tc>
              <w:tc>
                <w:tcPr>
                  <w:tcW w:w="1984" w:type="pct"/>
                  <w:vAlign w:val="center"/>
                </w:tcPr>
                <w:p w14:paraId="102E9218">
                  <w:pPr>
                    <w:pStyle w:val="65"/>
                    <w:rPr>
                      <w:b/>
                      <w:bCs/>
                      <w:color w:val="auto"/>
                    </w:rPr>
                  </w:pPr>
                  <w:r>
                    <w:rPr>
                      <w:rFonts w:hint="eastAsia"/>
                      <w:b/>
                      <w:bCs/>
                      <w:color w:val="auto"/>
                    </w:rPr>
                    <w:t>原环评建设内容</w:t>
                  </w:r>
                </w:p>
              </w:tc>
              <w:tc>
                <w:tcPr>
                  <w:tcW w:w="1582" w:type="pct"/>
                  <w:vAlign w:val="center"/>
                </w:tcPr>
                <w:p w14:paraId="65A758D1">
                  <w:pPr>
                    <w:pStyle w:val="65"/>
                    <w:rPr>
                      <w:b/>
                      <w:bCs/>
                      <w:color w:val="auto"/>
                    </w:rPr>
                  </w:pPr>
                  <w:r>
                    <w:rPr>
                      <w:rFonts w:hint="eastAsia"/>
                      <w:b/>
                      <w:bCs/>
                      <w:color w:val="auto"/>
                    </w:rPr>
                    <w:t>变更后主要内容</w:t>
                  </w:r>
                </w:p>
              </w:tc>
              <w:tc>
                <w:tcPr>
                  <w:tcW w:w="594" w:type="pct"/>
                  <w:vAlign w:val="center"/>
                </w:tcPr>
                <w:p w14:paraId="6007294F">
                  <w:pPr>
                    <w:pStyle w:val="65"/>
                    <w:rPr>
                      <w:b/>
                      <w:bCs/>
                      <w:color w:val="auto"/>
                    </w:rPr>
                  </w:pPr>
                  <w:r>
                    <w:rPr>
                      <w:rFonts w:hint="eastAsia"/>
                      <w:b/>
                      <w:bCs/>
                      <w:color w:val="auto"/>
                    </w:rPr>
                    <w:t>备注</w:t>
                  </w:r>
                </w:p>
              </w:tc>
            </w:tr>
            <w:tr w14:paraId="6717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restart"/>
                  <w:vAlign w:val="center"/>
                </w:tcPr>
                <w:p w14:paraId="646DF1AC">
                  <w:pPr>
                    <w:pStyle w:val="65"/>
                    <w:rPr>
                      <w:color w:val="auto"/>
                    </w:rPr>
                  </w:pPr>
                  <w:r>
                    <w:rPr>
                      <w:rFonts w:hint="eastAsia"/>
                      <w:color w:val="auto"/>
                    </w:rPr>
                    <w:t>主体工程</w:t>
                  </w:r>
                </w:p>
              </w:tc>
              <w:tc>
                <w:tcPr>
                  <w:tcW w:w="559" w:type="pct"/>
                  <w:gridSpan w:val="2"/>
                  <w:vAlign w:val="center"/>
                </w:tcPr>
                <w:p w14:paraId="68DD3D6E">
                  <w:pPr>
                    <w:pStyle w:val="65"/>
                    <w:rPr>
                      <w:color w:val="auto"/>
                    </w:rPr>
                  </w:pPr>
                  <w:r>
                    <w:rPr>
                      <w:rFonts w:hint="eastAsia"/>
                      <w:color w:val="auto"/>
                    </w:rPr>
                    <w:t>光伏阵列区</w:t>
                  </w:r>
                </w:p>
              </w:tc>
              <w:tc>
                <w:tcPr>
                  <w:tcW w:w="1984" w:type="pct"/>
                  <w:vAlign w:val="center"/>
                </w:tcPr>
                <w:p w14:paraId="0A8A9F06">
                  <w:pPr>
                    <w:pStyle w:val="65"/>
                    <w:jc w:val="both"/>
                    <w:rPr>
                      <w:color w:val="auto"/>
                    </w:rPr>
                  </w:pPr>
                  <w:r>
                    <w:rPr>
                      <w:rFonts w:hint="eastAsia"/>
                      <w:color w:val="auto"/>
                    </w:rPr>
                    <w:t>本光伏电站额定容量为60MW，安装容量为74.1524MWp，共装设104440块710Wp异质结光伏组件，每28（2×14）块光伏组件串联形成1个光伏组串，共3730个组串；每19/20个光伏组串接入1台320kW组串逆变器，需配置188台320kW组串逆变器；每6/8/10台320kW组串逆变器与1台双绕组箱变连接，构成一个光伏子阵列。本项目共设置22个光伏阵列（其中11个3.2MWac的方阵，6个2.56MWac的方阵，5个1.92MWac方阵），光伏组件最低沿应高于地面2.5m、桩基间列间距大于4m、行间距应大于6.5m建设。</w:t>
                  </w:r>
                </w:p>
              </w:tc>
              <w:tc>
                <w:tcPr>
                  <w:tcW w:w="1582" w:type="pct"/>
                  <w:vAlign w:val="center"/>
                </w:tcPr>
                <w:p w14:paraId="0303588A">
                  <w:pPr>
                    <w:pStyle w:val="65"/>
                    <w:jc w:val="both"/>
                    <w:rPr>
                      <w:color w:val="auto"/>
                    </w:rPr>
                  </w:pPr>
                  <w:r>
                    <w:rPr>
                      <w:rFonts w:hint="eastAsia"/>
                      <w:color w:val="auto"/>
                    </w:rPr>
                    <w:t>本项目规划交流侧装机容量</w:t>
                  </w:r>
                  <w:r>
                    <w:rPr>
                      <w:rFonts w:cs="Times New Roman"/>
                      <w:color w:val="auto"/>
                    </w:rPr>
                    <w:t>60MW</w:t>
                  </w:r>
                  <w:r>
                    <w:rPr>
                      <w:rFonts w:hint="eastAsia"/>
                      <w:color w:val="auto"/>
                    </w:rPr>
                    <w:t>，直流侧装机容量</w:t>
                  </w:r>
                  <w:r>
                    <w:rPr>
                      <w:rFonts w:cs="Times New Roman"/>
                      <w:color w:val="auto"/>
                    </w:rPr>
                    <w:t>74.1524MWp</w:t>
                  </w:r>
                  <w:r>
                    <w:rPr>
                      <w:rFonts w:hint="eastAsia"/>
                      <w:color w:val="auto"/>
                    </w:rPr>
                    <w:t>，共装设</w:t>
                  </w:r>
                  <w:r>
                    <w:rPr>
                      <w:rFonts w:cs="Times New Roman"/>
                      <w:color w:val="auto"/>
                    </w:rPr>
                    <w:t>104440</w:t>
                  </w:r>
                  <w:r>
                    <w:rPr>
                      <w:rFonts w:hint="eastAsia"/>
                      <w:color w:val="auto"/>
                    </w:rPr>
                    <w:t>块</w:t>
                  </w:r>
                  <w:r>
                    <w:rPr>
                      <w:rFonts w:cs="Times New Roman"/>
                      <w:color w:val="auto"/>
                    </w:rPr>
                    <w:t>710Wp</w:t>
                  </w:r>
                  <w:r>
                    <w:rPr>
                      <w:rFonts w:hint="eastAsia"/>
                      <w:color w:val="auto"/>
                    </w:rPr>
                    <w:t>异质结光伏组件，每</w:t>
                  </w:r>
                  <w:r>
                    <w:rPr>
                      <w:rFonts w:cs="Times New Roman"/>
                      <w:color w:val="auto"/>
                    </w:rPr>
                    <w:t>28</w:t>
                  </w:r>
                  <w:r>
                    <w:rPr>
                      <w:rFonts w:hint="eastAsia"/>
                      <w:color w:val="auto"/>
                    </w:rPr>
                    <w:t>（</w:t>
                  </w:r>
                  <w:r>
                    <w:rPr>
                      <w:rFonts w:cs="Times New Roman"/>
                      <w:color w:val="auto"/>
                    </w:rPr>
                    <w:t>2</w:t>
                  </w:r>
                  <w:r>
                    <w:rPr>
                      <w:rFonts w:hint="eastAsia"/>
                      <w:color w:val="auto"/>
                    </w:rPr>
                    <w:t>×</w:t>
                  </w:r>
                  <w:r>
                    <w:rPr>
                      <w:rFonts w:cs="Times New Roman"/>
                      <w:color w:val="auto"/>
                    </w:rPr>
                    <w:t>14</w:t>
                  </w:r>
                  <w:r>
                    <w:rPr>
                      <w:rFonts w:hint="eastAsia"/>
                      <w:color w:val="auto"/>
                    </w:rPr>
                    <w:t>）块光伏组件串联形成</w:t>
                  </w:r>
                  <w:r>
                    <w:rPr>
                      <w:rFonts w:cs="Times New Roman"/>
                      <w:color w:val="auto"/>
                    </w:rPr>
                    <w:t>1</w:t>
                  </w:r>
                  <w:r>
                    <w:rPr>
                      <w:rFonts w:hint="eastAsia"/>
                      <w:color w:val="auto"/>
                    </w:rPr>
                    <w:t>个光伏组串，共</w:t>
                  </w:r>
                  <w:r>
                    <w:rPr>
                      <w:rFonts w:cs="Times New Roman"/>
                      <w:color w:val="auto"/>
                    </w:rPr>
                    <w:t>3730</w:t>
                  </w:r>
                  <w:r>
                    <w:rPr>
                      <w:rFonts w:hint="eastAsia"/>
                      <w:color w:val="auto"/>
                    </w:rPr>
                    <w:t>串组串，项目共有</w:t>
                  </w:r>
                  <w:r>
                    <w:rPr>
                      <w:rFonts w:cs="Times New Roman"/>
                      <w:color w:val="auto"/>
                    </w:rPr>
                    <w:t>22</w:t>
                  </w:r>
                  <w:r>
                    <w:rPr>
                      <w:rFonts w:hint="eastAsia"/>
                      <w:color w:val="auto"/>
                    </w:rPr>
                    <w:t>个光伏方阵，光伏组件按最低沿高于地面</w:t>
                  </w:r>
                  <w:r>
                    <w:rPr>
                      <w:rFonts w:cs="Times New Roman"/>
                      <w:color w:val="auto"/>
                    </w:rPr>
                    <w:t>2.5m</w:t>
                  </w:r>
                  <w:r>
                    <w:rPr>
                      <w:rFonts w:hint="eastAsia"/>
                      <w:color w:val="auto"/>
                    </w:rPr>
                    <w:t>、桩基间列间距大于</w:t>
                  </w:r>
                  <w:r>
                    <w:rPr>
                      <w:rFonts w:cs="Times New Roman"/>
                      <w:color w:val="auto"/>
                    </w:rPr>
                    <w:t>4m</w:t>
                  </w:r>
                  <w:r>
                    <w:rPr>
                      <w:rFonts w:hint="eastAsia"/>
                      <w:color w:val="auto"/>
                    </w:rPr>
                    <w:t>、行间距大于</w:t>
                  </w:r>
                  <w:r>
                    <w:rPr>
                      <w:rFonts w:cs="Times New Roman"/>
                      <w:color w:val="auto"/>
                    </w:rPr>
                    <w:t>6.5m</w:t>
                  </w:r>
                  <w:r>
                    <w:rPr>
                      <w:rFonts w:hint="eastAsia"/>
                      <w:color w:val="auto"/>
                    </w:rPr>
                    <w:t>的架设要求执行。</w:t>
                  </w:r>
                </w:p>
              </w:tc>
              <w:tc>
                <w:tcPr>
                  <w:tcW w:w="594" w:type="pct"/>
                  <w:vAlign w:val="center"/>
                </w:tcPr>
                <w:p w14:paraId="326851D1">
                  <w:pPr>
                    <w:pStyle w:val="65"/>
                    <w:rPr>
                      <w:color w:val="auto"/>
                    </w:rPr>
                  </w:pPr>
                  <w:r>
                    <w:rPr>
                      <w:rFonts w:hint="eastAsia"/>
                      <w:color w:val="auto"/>
                    </w:rPr>
                    <w:t>一致</w:t>
                  </w:r>
                </w:p>
              </w:tc>
            </w:tr>
            <w:tr w14:paraId="4E6D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0EB426BC">
                  <w:pPr>
                    <w:pStyle w:val="65"/>
                    <w:rPr>
                      <w:color w:val="auto"/>
                    </w:rPr>
                  </w:pPr>
                </w:p>
              </w:tc>
              <w:tc>
                <w:tcPr>
                  <w:tcW w:w="559" w:type="pct"/>
                  <w:gridSpan w:val="2"/>
                  <w:vAlign w:val="center"/>
                </w:tcPr>
                <w:p w14:paraId="303EBEDC">
                  <w:pPr>
                    <w:pStyle w:val="65"/>
                    <w:rPr>
                      <w:color w:val="auto"/>
                    </w:rPr>
                  </w:pPr>
                  <w:r>
                    <w:rPr>
                      <w:rFonts w:hint="eastAsia"/>
                      <w:color w:val="auto"/>
                    </w:rPr>
                    <w:t>逆变器</w:t>
                  </w:r>
                </w:p>
              </w:tc>
              <w:tc>
                <w:tcPr>
                  <w:tcW w:w="1984" w:type="pct"/>
                  <w:vAlign w:val="center"/>
                </w:tcPr>
                <w:p w14:paraId="722CB91D">
                  <w:pPr>
                    <w:pStyle w:val="65"/>
                    <w:jc w:val="both"/>
                    <w:rPr>
                      <w:color w:val="auto"/>
                    </w:rPr>
                  </w:pPr>
                  <w:r>
                    <w:rPr>
                      <w:rFonts w:hint="eastAsia"/>
                      <w:color w:val="auto"/>
                    </w:rPr>
                    <w:t>本项目选择188台额定功率320kW组串式逆变器。</w:t>
                  </w:r>
                </w:p>
              </w:tc>
              <w:tc>
                <w:tcPr>
                  <w:tcW w:w="1582" w:type="pct"/>
                  <w:vAlign w:val="center"/>
                </w:tcPr>
                <w:p w14:paraId="38C67A68">
                  <w:pPr>
                    <w:pStyle w:val="65"/>
                    <w:jc w:val="both"/>
                    <w:rPr>
                      <w:rFonts w:eastAsia="等线" w:cs="Times New Roman"/>
                      <w:color w:val="auto"/>
                    </w:rPr>
                  </w:pPr>
                  <w:r>
                    <w:rPr>
                      <w:rFonts w:eastAsia="等线" w:cs="Times New Roman"/>
                      <w:color w:val="auto"/>
                    </w:rPr>
                    <w:t>188</w:t>
                  </w:r>
                  <w:r>
                    <w:rPr>
                      <w:rFonts w:hint="eastAsia" w:cs="Times New Roman"/>
                      <w:color w:val="auto"/>
                    </w:rPr>
                    <w:t>台单机容量为</w:t>
                  </w:r>
                  <w:r>
                    <w:rPr>
                      <w:rFonts w:eastAsia="等线" w:cs="Times New Roman"/>
                      <w:color w:val="auto"/>
                    </w:rPr>
                    <w:t>320kW</w:t>
                  </w:r>
                  <w:r>
                    <w:rPr>
                      <w:rFonts w:hint="eastAsia" w:cs="Times New Roman"/>
                      <w:color w:val="auto"/>
                    </w:rPr>
                    <w:t>组串式逆变器，逆变器通过螺栓固定于光伏支架立柱上，不单独做基础。</w:t>
                  </w:r>
                </w:p>
              </w:tc>
              <w:tc>
                <w:tcPr>
                  <w:tcW w:w="594" w:type="pct"/>
                  <w:vAlign w:val="center"/>
                </w:tcPr>
                <w:p w14:paraId="3152BEC6">
                  <w:pPr>
                    <w:pStyle w:val="65"/>
                    <w:rPr>
                      <w:color w:val="auto"/>
                    </w:rPr>
                  </w:pPr>
                  <w:r>
                    <w:rPr>
                      <w:rFonts w:hint="eastAsia"/>
                      <w:color w:val="auto"/>
                    </w:rPr>
                    <w:t>一致</w:t>
                  </w:r>
                </w:p>
              </w:tc>
            </w:tr>
            <w:tr w14:paraId="135F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5AEE3DDE">
                  <w:pPr>
                    <w:pStyle w:val="65"/>
                    <w:rPr>
                      <w:color w:val="auto"/>
                    </w:rPr>
                  </w:pPr>
                </w:p>
              </w:tc>
              <w:tc>
                <w:tcPr>
                  <w:tcW w:w="559" w:type="pct"/>
                  <w:gridSpan w:val="2"/>
                  <w:vAlign w:val="center"/>
                </w:tcPr>
                <w:p w14:paraId="00C85401">
                  <w:pPr>
                    <w:pStyle w:val="65"/>
                    <w:rPr>
                      <w:color w:val="auto"/>
                    </w:rPr>
                  </w:pPr>
                  <w:r>
                    <w:rPr>
                      <w:rFonts w:hint="eastAsia"/>
                      <w:color w:val="auto"/>
                    </w:rPr>
                    <w:t>箱式变压器</w:t>
                  </w:r>
                </w:p>
              </w:tc>
              <w:tc>
                <w:tcPr>
                  <w:tcW w:w="1984" w:type="pct"/>
                  <w:vAlign w:val="center"/>
                </w:tcPr>
                <w:p w14:paraId="204B627D">
                  <w:pPr>
                    <w:pStyle w:val="65"/>
                    <w:jc w:val="both"/>
                    <w:rPr>
                      <w:color w:val="auto"/>
                    </w:rPr>
                  </w:pPr>
                  <w:r>
                    <w:rPr>
                      <w:rFonts w:hint="eastAsia"/>
                      <w:color w:val="auto"/>
                    </w:rPr>
                    <w:t>本项目新建22台箱变（11台3200kVA油浸式箱变、6台2600kVA油浸式箱变、5台2000kVA油浸式箱变），箱变基础为框架结构独立基础，基础长约5m，宽约5.5m，箱变基础平台露出地面1.6m平台四周设置安全护栏，地面埋深0.7m。基础四周设框架柱，顶部设框架梁，每个框架柱下设置0.3m高的独立基础。箱变与基础顶部预埋钢板焊接，朝向箱变开门一侧设置钢爬梯及操作平台，侧壁架空。并在箱变基础靠油箱一侧设3m</w:t>
                  </w:r>
                  <w:r>
                    <w:rPr>
                      <w:rFonts w:hint="eastAsia"/>
                      <w:color w:val="auto"/>
                      <w:vertAlign w:val="superscript"/>
                    </w:rPr>
                    <w:t>3</w:t>
                  </w:r>
                  <w:r>
                    <w:rPr>
                      <w:rFonts w:hint="eastAsia"/>
                      <w:color w:val="auto"/>
                    </w:rPr>
                    <w:t>事故油池。</w:t>
                  </w:r>
                </w:p>
              </w:tc>
              <w:tc>
                <w:tcPr>
                  <w:tcW w:w="1582" w:type="pct"/>
                  <w:vAlign w:val="center"/>
                </w:tcPr>
                <w:p w14:paraId="070E0AC4">
                  <w:pPr>
                    <w:pStyle w:val="65"/>
                    <w:jc w:val="both"/>
                    <w:rPr>
                      <w:color w:val="auto"/>
                    </w:rPr>
                  </w:pPr>
                  <w:r>
                    <w:rPr>
                      <w:rFonts w:hint="eastAsia"/>
                      <w:color w:val="auto"/>
                    </w:rPr>
                    <w:t>本项目新建22台箱式变压器（</w:t>
                  </w:r>
                  <w:r>
                    <w:rPr>
                      <w:rFonts w:cs="Times New Roman"/>
                      <w:color w:val="auto"/>
                    </w:rPr>
                    <w:t>11</w:t>
                  </w:r>
                  <w:r>
                    <w:rPr>
                      <w:rFonts w:hint="eastAsia"/>
                      <w:color w:val="auto"/>
                    </w:rPr>
                    <w:t>台3200kVA油浸式箱变、6台2600kVA油浸式箱变、5台2000kVA油浸式箱变），箱变基础为框架结构独立基础，箱变与基础顶部预埋钢板焊接，朝向箱变开门一侧设置钢爬梯及操作平台，侧壁架空。箱变事故油池靠油箱一侧设置，每个箱变事故油池容积为</w:t>
                  </w:r>
                  <w:r>
                    <w:rPr>
                      <w:rFonts w:cs="Times New Roman"/>
                      <w:color w:val="auto"/>
                    </w:rPr>
                    <w:t>3m</w:t>
                  </w:r>
                  <w:r>
                    <w:rPr>
                      <w:rFonts w:cs="Times New Roman"/>
                      <w:color w:val="auto"/>
                      <w:vertAlign w:val="superscript"/>
                    </w:rPr>
                    <w:t>3</w:t>
                  </w:r>
                  <w:r>
                    <w:rPr>
                      <w:rFonts w:hint="eastAsia"/>
                      <w:color w:val="auto"/>
                    </w:rPr>
                    <w:t>。</w:t>
                  </w:r>
                </w:p>
              </w:tc>
              <w:tc>
                <w:tcPr>
                  <w:tcW w:w="594" w:type="pct"/>
                  <w:vAlign w:val="center"/>
                </w:tcPr>
                <w:p w14:paraId="40BFA668">
                  <w:pPr>
                    <w:pStyle w:val="65"/>
                    <w:rPr>
                      <w:color w:val="auto"/>
                    </w:rPr>
                  </w:pPr>
                  <w:r>
                    <w:rPr>
                      <w:rFonts w:hint="eastAsia"/>
                      <w:color w:val="auto"/>
                    </w:rPr>
                    <w:t>一致</w:t>
                  </w:r>
                </w:p>
              </w:tc>
            </w:tr>
            <w:tr w14:paraId="480E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592A1348">
                  <w:pPr>
                    <w:pStyle w:val="65"/>
                    <w:rPr>
                      <w:color w:val="auto"/>
                    </w:rPr>
                  </w:pPr>
                </w:p>
              </w:tc>
              <w:tc>
                <w:tcPr>
                  <w:tcW w:w="559" w:type="pct"/>
                  <w:gridSpan w:val="2"/>
                  <w:vAlign w:val="center"/>
                </w:tcPr>
                <w:p w14:paraId="3E329470">
                  <w:pPr>
                    <w:pStyle w:val="65"/>
                    <w:rPr>
                      <w:color w:val="auto"/>
                    </w:rPr>
                  </w:pPr>
                  <w:r>
                    <w:rPr>
                      <w:rFonts w:hint="eastAsia"/>
                      <w:color w:val="auto"/>
                    </w:rPr>
                    <w:t>集电线路</w:t>
                  </w:r>
                </w:p>
              </w:tc>
              <w:tc>
                <w:tcPr>
                  <w:tcW w:w="1984" w:type="pct"/>
                  <w:vAlign w:val="center"/>
                </w:tcPr>
                <w:p w14:paraId="1EC6C8B3">
                  <w:pPr>
                    <w:pStyle w:val="65"/>
                    <w:jc w:val="both"/>
                    <w:rPr>
                      <w:color w:val="auto"/>
                    </w:rPr>
                  </w:pPr>
                  <w:r>
                    <w:rPr>
                      <w:rFonts w:hint="eastAsia"/>
                      <w:color w:val="auto"/>
                    </w:rPr>
                    <w:t>光伏方阵组串的直流输出电缆铺设方式分为两种，东西方向的电缆沿光伏组件安装支架直接进入组串式逆变器，南北向电缆采用电缆槽盒方式敷设进入组串式逆变器。组串式逆变器交流输出电缆采用槽盒穿出光伏方阵的安装支架后在箱变适当位置下到户外电缆沟，并接至箱变低压母线侧，箱变输出电缆沿电缆壕沟接至集电线路。电缆槽盒可就近利用光伏方阵组串的支架、地面基础作为支撑。光伏场区均采用阻燃交联聚乙烯绝缘护套电力电缆，35kV集电线路电缆除过道路部分采用埋管敷设外，其余采用直埋敷设。</w:t>
                  </w:r>
                </w:p>
                <w:p w14:paraId="35755A04">
                  <w:pPr>
                    <w:pStyle w:val="65"/>
                    <w:jc w:val="both"/>
                    <w:rPr>
                      <w:color w:val="auto"/>
                    </w:rPr>
                  </w:pPr>
                  <w:r>
                    <w:rPr>
                      <w:rFonts w:hint="eastAsia"/>
                      <w:color w:val="auto"/>
                    </w:rPr>
                    <w:t>本次项目场内集电线路路径总长为17.5km，其中，架空集电线路路径总长约为12.5km（单回线路路径长度3.3km，线径采用JL/G1A-150/25型钢芯铝绞线，双回线路路径长度9.2km，线径采用JL/G1A-240/30型钢芯铝绞线，塔基占地0.22hm</w:t>
                  </w:r>
                  <w:r>
                    <w:rPr>
                      <w:rFonts w:hint="eastAsia"/>
                      <w:color w:val="auto"/>
                      <w:vertAlign w:val="superscript"/>
                    </w:rPr>
                    <w:t>2</w:t>
                  </w:r>
                  <w:r>
                    <w:rPr>
                      <w:rFonts w:hint="eastAsia"/>
                      <w:color w:val="auto"/>
                    </w:rPr>
                    <w:t>），直埋电缆沟全长约5km（开挖尺寸为顶宽1.6m，底宽1m，深1m）。</w:t>
                  </w:r>
                </w:p>
              </w:tc>
              <w:tc>
                <w:tcPr>
                  <w:tcW w:w="1582" w:type="pct"/>
                  <w:vAlign w:val="center"/>
                </w:tcPr>
                <w:p w14:paraId="720B104F">
                  <w:pPr>
                    <w:pStyle w:val="65"/>
                    <w:jc w:val="both"/>
                    <w:rPr>
                      <w:color w:val="auto"/>
                    </w:rPr>
                  </w:pPr>
                  <w:r>
                    <w:rPr>
                      <w:rFonts w:hint="eastAsia"/>
                      <w:color w:val="auto"/>
                    </w:rPr>
                    <w:t>光伏方阵的直流电随输出电缆接入组串式逆变器，组串式逆变器的交流输出电缆经槽盒穿出光伏方阵支架后，在箱变设备附近区域下穿至户外电缆沟，最终接入箱变低压侧母线，箱变输出电缆则沿预设电缆壕沟或采用直埋方式延伸。本项目光伏场区均采用35kV电缆串接各方阵箱变高压侧，电缆经直埋汇集后根据地形条件采用直埋+架空导线的方式接入德安220kV升压站。建设场内集电线路路径总长为22.03km，其中，架空集电线路路径总长约为14.06km（单回线路路径长度3.2km，双回线路路径长度10.86km，立塔44</w:t>
                  </w:r>
                  <w:r>
                    <w:rPr>
                      <w:color w:val="auto"/>
                    </w:rPr>
                    <w:t>基，</w:t>
                  </w:r>
                  <w:r>
                    <w:rPr>
                      <w:rFonts w:hint="eastAsia"/>
                      <w:color w:val="auto"/>
                    </w:rPr>
                    <w:t>塔基占地0.22hm</w:t>
                  </w:r>
                  <w:r>
                    <w:rPr>
                      <w:rFonts w:hint="eastAsia"/>
                      <w:color w:val="auto"/>
                      <w:vertAlign w:val="superscript"/>
                    </w:rPr>
                    <w:t>2</w:t>
                  </w:r>
                  <w:r>
                    <w:rPr>
                      <w:rFonts w:hint="eastAsia"/>
                      <w:color w:val="auto"/>
                    </w:rPr>
                    <w:t>），直埋电缆沟全长约7.97km。</w:t>
                  </w:r>
                </w:p>
              </w:tc>
              <w:tc>
                <w:tcPr>
                  <w:tcW w:w="594" w:type="pct"/>
                  <w:vAlign w:val="center"/>
                </w:tcPr>
                <w:p w14:paraId="2D7DA421">
                  <w:pPr>
                    <w:pStyle w:val="65"/>
                    <w:rPr>
                      <w:color w:val="auto"/>
                    </w:rPr>
                  </w:pPr>
                  <w:r>
                    <w:rPr>
                      <w:rFonts w:hint="eastAsia"/>
                      <w:color w:val="auto"/>
                    </w:rPr>
                    <w:t>集电线路增加4.53km，其中架空集电线路路径增加1.56km，直埋电缆沟全长约2.97km。</w:t>
                  </w:r>
                </w:p>
              </w:tc>
            </w:tr>
            <w:tr w14:paraId="6E71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6AE69508">
                  <w:pPr>
                    <w:pStyle w:val="65"/>
                    <w:rPr>
                      <w:color w:val="auto"/>
                    </w:rPr>
                  </w:pPr>
                </w:p>
              </w:tc>
              <w:tc>
                <w:tcPr>
                  <w:tcW w:w="559" w:type="pct"/>
                  <w:gridSpan w:val="2"/>
                  <w:vAlign w:val="center"/>
                </w:tcPr>
                <w:p w14:paraId="2AF03264">
                  <w:pPr>
                    <w:pStyle w:val="65"/>
                    <w:rPr>
                      <w:color w:val="auto"/>
                    </w:rPr>
                  </w:pPr>
                  <w:r>
                    <w:rPr>
                      <w:rFonts w:hint="eastAsia"/>
                      <w:color w:val="auto"/>
                    </w:rPr>
                    <w:t>储能系统</w:t>
                  </w:r>
                </w:p>
              </w:tc>
              <w:tc>
                <w:tcPr>
                  <w:tcW w:w="1984" w:type="pct"/>
                  <w:vAlign w:val="center"/>
                </w:tcPr>
                <w:p w14:paraId="5BCA021D">
                  <w:pPr>
                    <w:pStyle w:val="65"/>
                    <w:jc w:val="both"/>
                    <w:rPr>
                      <w:color w:val="auto"/>
                    </w:rPr>
                  </w:pPr>
                  <w:r>
                    <w:rPr>
                      <w:rFonts w:hint="eastAsia"/>
                      <w:color w:val="auto"/>
                    </w:rPr>
                    <w:t>为满足最终电网对本项目的储能配置要求，本项目通过购买共享储能的方式，来实现对能源电力的系统调节，不建设储能设备。</w:t>
                  </w:r>
                </w:p>
              </w:tc>
              <w:tc>
                <w:tcPr>
                  <w:tcW w:w="1582" w:type="pct"/>
                  <w:vAlign w:val="center"/>
                </w:tcPr>
                <w:p w14:paraId="6FBFFFEE">
                  <w:pPr>
                    <w:pStyle w:val="65"/>
                    <w:jc w:val="both"/>
                    <w:rPr>
                      <w:color w:val="auto"/>
                    </w:rPr>
                  </w:pPr>
                  <w:r>
                    <w:rPr>
                      <w:rFonts w:hint="eastAsia"/>
                      <w:color w:val="auto"/>
                    </w:rPr>
                    <w:t>为满足最终电网对本项目的储能配置要求，本项目通过购买共享储能的方式，来实现对能源电力的系统调节，不建设储能设备。</w:t>
                  </w:r>
                </w:p>
              </w:tc>
              <w:tc>
                <w:tcPr>
                  <w:tcW w:w="594" w:type="pct"/>
                  <w:vAlign w:val="center"/>
                </w:tcPr>
                <w:p w14:paraId="33CA2ECB">
                  <w:pPr>
                    <w:pStyle w:val="65"/>
                    <w:rPr>
                      <w:color w:val="auto"/>
                    </w:rPr>
                  </w:pPr>
                  <w:r>
                    <w:rPr>
                      <w:rFonts w:hint="eastAsia"/>
                      <w:color w:val="auto"/>
                    </w:rPr>
                    <w:t>一致</w:t>
                  </w:r>
                </w:p>
              </w:tc>
            </w:tr>
            <w:tr w14:paraId="53C4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restart"/>
                  <w:vAlign w:val="center"/>
                </w:tcPr>
                <w:p w14:paraId="25887E45">
                  <w:pPr>
                    <w:pStyle w:val="65"/>
                    <w:rPr>
                      <w:color w:val="auto"/>
                    </w:rPr>
                  </w:pPr>
                  <w:r>
                    <w:rPr>
                      <w:rFonts w:hint="eastAsia"/>
                      <w:color w:val="auto"/>
                    </w:rPr>
                    <w:t>辅助工程</w:t>
                  </w:r>
                </w:p>
              </w:tc>
              <w:tc>
                <w:tcPr>
                  <w:tcW w:w="559" w:type="pct"/>
                  <w:gridSpan w:val="2"/>
                  <w:vAlign w:val="center"/>
                </w:tcPr>
                <w:p w14:paraId="0060E66D">
                  <w:pPr>
                    <w:pStyle w:val="65"/>
                    <w:rPr>
                      <w:color w:val="auto"/>
                    </w:rPr>
                  </w:pPr>
                  <w:r>
                    <w:rPr>
                      <w:rFonts w:hint="eastAsia"/>
                      <w:color w:val="auto"/>
                    </w:rPr>
                    <w:t>交通工程</w:t>
                  </w:r>
                </w:p>
              </w:tc>
              <w:tc>
                <w:tcPr>
                  <w:tcW w:w="1984" w:type="pct"/>
                  <w:vAlign w:val="center"/>
                </w:tcPr>
                <w:p w14:paraId="59CB7D6D">
                  <w:pPr>
                    <w:pStyle w:val="65"/>
                    <w:jc w:val="both"/>
                    <w:rPr>
                      <w:color w:val="auto"/>
                    </w:rPr>
                  </w:pPr>
                  <w:r>
                    <w:rPr>
                      <w:rFonts w:hint="eastAsia"/>
                      <w:color w:val="auto"/>
                    </w:rPr>
                    <w:t>本项目对外交通运输路线：国内高速公路网→南宁高速→无量山樱花谷收费站→G214国道西景线→沙乐线→场址各片。</w:t>
                  </w:r>
                </w:p>
                <w:p w14:paraId="20749068">
                  <w:pPr>
                    <w:pStyle w:val="65"/>
                    <w:jc w:val="both"/>
                    <w:rPr>
                      <w:color w:val="auto"/>
                    </w:rPr>
                  </w:pPr>
                  <w:r>
                    <w:rPr>
                      <w:rFonts w:hint="eastAsia"/>
                      <w:color w:val="auto"/>
                    </w:rPr>
                    <w:t>场区内的道路根据地形及光伏板矩阵布置设置，尽量利用现有道路，其它道路设置满足场区交通运输需求，且坡度不宜过大。本工程改扩建进场道路9.85km，场内改扩建道路4.95km，新建场内道路1.65km，最大坡度不大于16%，平均坡度为8%～10%，道路路基宽度为4.0m，路面宽度为3.5m，转弯半径为12m，路面采用20cm山皮石面层。在较长施工道路末端设置16m×16m的调车平台，在较长且没有支线的路段设置错车道。箱变布置在场内检修道路两侧，满足检修需求。</w:t>
                  </w:r>
                  <w:r>
                    <w:rPr>
                      <w:rFonts w:hint="eastAsia"/>
                      <w:color w:val="auto"/>
                    </w:rPr>
                    <w:br w:type="textWrapping"/>
                  </w:r>
                  <w:r>
                    <w:rPr>
                      <w:rFonts w:hint="eastAsia"/>
                      <w:color w:val="auto"/>
                    </w:rPr>
                    <w:t>项目道路路径图详见附图。</w:t>
                  </w:r>
                </w:p>
              </w:tc>
              <w:tc>
                <w:tcPr>
                  <w:tcW w:w="1582" w:type="pct"/>
                  <w:vAlign w:val="center"/>
                </w:tcPr>
                <w:p w14:paraId="32D4B116">
                  <w:pPr>
                    <w:pStyle w:val="65"/>
                    <w:jc w:val="both"/>
                    <w:rPr>
                      <w:color w:val="auto"/>
                    </w:rPr>
                  </w:pPr>
                  <w:r>
                    <w:rPr>
                      <w:rFonts w:hint="eastAsia"/>
                      <w:color w:val="auto"/>
                    </w:rPr>
                    <w:t>项目改扩建场内改扩建道路4.73km，新建场内道路7.04km，最大坡度不大于16%，平均坡度为8%～10%，道路路基宽度为4.0m，路面宽度为3.5m，转弯半径为12m，路面采用20cm山皮石面层。在较长施工道路末端设置16m×16m的调车平台，在较长且没有支线的路段设置错车道。</w:t>
                  </w:r>
                </w:p>
              </w:tc>
              <w:tc>
                <w:tcPr>
                  <w:tcW w:w="594" w:type="pct"/>
                  <w:vAlign w:val="center"/>
                </w:tcPr>
                <w:p w14:paraId="249A6FE9">
                  <w:pPr>
                    <w:pStyle w:val="65"/>
                    <w:rPr>
                      <w:color w:val="auto"/>
                    </w:rPr>
                  </w:pPr>
                  <w:r>
                    <w:rPr>
                      <w:rFonts w:hint="eastAsia"/>
                      <w:color w:val="auto"/>
                    </w:rPr>
                    <w:t>用地范围变更后，取消改扩建进场道路，改扩建场内道路较原环评减少0.12km，新建场内道路增加5.39km。</w:t>
                  </w:r>
                </w:p>
              </w:tc>
            </w:tr>
            <w:tr w14:paraId="1C27F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2310D561">
                  <w:pPr>
                    <w:pStyle w:val="65"/>
                    <w:rPr>
                      <w:color w:val="auto"/>
                    </w:rPr>
                  </w:pPr>
                </w:p>
              </w:tc>
              <w:tc>
                <w:tcPr>
                  <w:tcW w:w="559" w:type="pct"/>
                  <w:gridSpan w:val="2"/>
                  <w:vAlign w:val="center"/>
                </w:tcPr>
                <w:p w14:paraId="57D6A9DA">
                  <w:pPr>
                    <w:pStyle w:val="65"/>
                    <w:rPr>
                      <w:color w:val="auto"/>
                    </w:rPr>
                  </w:pPr>
                  <w:r>
                    <w:rPr>
                      <w:rFonts w:hint="eastAsia"/>
                      <w:color w:val="auto"/>
                    </w:rPr>
                    <w:t>围栏和大门</w:t>
                  </w:r>
                </w:p>
              </w:tc>
              <w:tc>
                <w:tcPr>
                  <w:tcW w:w="1984" w:type="pct"/>
                  <w:vAlign w:val="center"/>
                </w:tcPr>
                <w:p w14:paraId="613EF233">
                  <w:pPr>
                    <w:pStyle w:val="65"/>
                    <w:jc w:val="both"/>
                    <w:rPr>
                      <w:color w:val="auto"/>
                    </w:rPr>
                  </w:pPr>
                  <w:r>
                    <w:rPr>
                      <w:rFonts w:hint="eastAsia"/>
                      <w:color w:val="auto"/>
                    </w:rPr>
                    <w:t>沿光伏发电场阵列外侧设置钢丝网围栏，围栏高度1.8m，采用直径4mm的浸塑钢丝，网片间距为150mm×75mm，立柱采用直径50mm的浸塑钢管，立柱布置间距为3m，整个场区围栏总长17.74km。在入口处（场内施工道路接入点）设置对开钢大门。</w:t>
                  </w:r>
                </w:p>
              </w:tc>
              <w:tc>
                <w:tcPr>
                  <w:tcW w:w="1582" w:type="pct"/>
                  <w:vAlign w:val="center"/>
                </w:tcPr>
                <w:p w14:paraId="46DE7ED8">
                  <w:pPr>
                    <w:pStyle w:val="65"/>
                    <w:jc w:val="both"/>
                    <w:rPr>
                      <w:color w:val="auto"/>
                    </w:rPr>
                  </w:pPr>
                  <w:r>
                    <w:rPr>
                      <w:rFonts w:hint="eastAsia"/>
                      <w:color w:val="auto"/>
                    </w:rPr>
                    <w:t>沿光伏发电场阵列外侧设置钢丝网围栏，围栏高度1.8m，采用直径4mm的浸塑钢丝，网片间距为150mm×75mm，立柱采用直径50mm的浸塑钢管，立柱布置间距为3m，整个场区围栏总长17.74km。在入口处（场内施工道路接入点）设置对开钢大门。</w:t>
                  </w:r>
                </w:p>
              </w:tc>
              <w:tc>
                <w:tcPr>
                  <w:tcW w:w="594" w:type="pct"/>
                  <w:vAlign w:val="center"/>
                </w:tcPr>
                <w:p w14:paraId="60B50905">
                  <w:pPr>
                    <w:pStyle w:val="65"/>
                    <w:rPr>
                      <w:color w:val="auto"/>
                    </w:rPr>
                  </w:pPr>
                  <w:r>
                    <w:rPr>
                      <w:rFonts w:hint="eastAsia"/>
                      <w:color w:val="auto"/>
                    </w:rPr>
                    <w:t>一致</w:t>
                  </w:r>
                </w:p>
              </w:tc>
            </w:tr>
            <w:tr w14:paraId="5F87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280" w:type="pct"/>
                  <w:vMerge w:val="restart"/>
                  <w:vAlign w:val="center"/>
                </w:tcPr>
                <w:p w14:paraId="44F6B244">
                  <w:pPr>
                    <w:pStyle w:val="65"/>
                    <w:rPr>
                      <w:color w:val="auto"/>
                    </w:rPr>
                  </w:pPr>
                  <w:r>
                    <w:rPr>
                      <w:rFonts w:hint="eastAsia"/>
                      <w:color w:val="auto"/>
                    </w:rPr>
                    <w:t>公用工程</w:t>
                  </w:r>
                </w:p>
              </w:tc>
              <w:tc>
                <w:tcPr>
                  <w:tcW w:w="559" w:type="pct"/>
                  <w:gridSpan w:val="2"/>
                  <w:vAlign w:val="center"/>
                </w:tcPr>
                <w:p w14:paraId="4721B823">
                  <w:pPr>
                    <w:pStyle w:val="65"/>
                    <w:rPr>
                      <w:color w:val="auto"/>
                    </w:rPr>
                  </w:pPr>
                  <w:r>
                    <w:rPr>
                      <w:rFonts w:hint="eastAsia"/>
                      <w:color w:val="auto"/>
                    </w:rPr>
                    <w:t>给水工程</w:t>
                  </w:r>
                </w:p>
              </w:tc>
              <w:tc>
                <w:tcPr>
                  <w:tcW w:w="1984" w:type="pct"/>
                  <w:vAlign w:val="center"/>
                </w:tcPr>
                <w:p w14:paraId="79BEF86D">
                  <w:pPr>
                    <w:pStyle w:val="65"/>
                    <w:jc w:val="both"/>
                    <w:rPr>
                      <w:color w:val="auto"/>
                    </w:rPr>
                  </w:pPr>
                  <w:r>
                    <w:rPr>
                      <w:rFonts w:hint="eastAsia"/>
                      <w:color w:val="auto"/>
                    </w:rPr>
                    <w:t>施工期根据工程施工进度安排，施工用水由建筑施工用水、施工机械用水和消防用水等组成，施工用水从场址附近的小河、小型水库取水，采用水车运水的方式供应。本工程场址附近有落底河，施工用水可以此为取水点。施工场地内设容积为50方临时水池一座，供施工用。</w:t>
                  </w:r>
                </w:p>
                <w:p w14:paraId="73A203F5">
                  <w:pPr>
                    <w:pStyle w:val="65"/>
                    <w:jc w:val="both"/>
                    <w:rPr>
                      <w:color w:val="auto"/>
                    </w:rPr>
                  </w:pPr>
                  <w:r>
                    <w:rPr>
                      <w:rFonts w:hint="eastAsia"/>
                      <w:color w:val="auto"/>
                    </w:rPr>
                    <w:t>运营期光伏板清洗用水采用水车从周边村庄和箐沟取水。</w:t>
                  </w:r>
                </w:p>
              </w:tc>
              <w:tc>
                <w:tcPr>
                  <w:tcW w:w="1582" w:type="pct"/>
                  <w:vAlign w:val="center"/>
                </w:tcPr>
                <w:p w14:paraId="50146484">
                  <w:pPr>
                    <w:pStyle w:val="65"/>
                    <w:jc w:val="both"/>
                    <w:rPr>
                      <w:color w:val="auto"/>
                    </w:rPr>
                  </w:pPr>
                  <w:r>
                    <w:rPr>
                      <w:rFonts w:hint="eastAsia"/>
                      <w:color w:val="auto"/>
                    </w:rPr>
                    <w:t>施工期：本工程施工用水由建筑施工用水、施工机械用水、生活用水和消防用水等组成，施工用水均取自站址附近的河流；施工场地内设容积为</w:t>
                  </w:r>
                  <w:r>
                    <w:rPr>
                      <w:rFonts w:cs="Times New Roman"/>
                      <w:color w:val="auto"/>
                    </w:rPr>
                    <w:t>50</w:t>
                  </w:r>
                  <w:r>
                    <w:rPr>
                      <w:rFonts w:hint="eastAsia"/>
                      <w:color w:val="auto"/>
                    </w:rPr>
                    <w:t>方临时水池一座，供施工用水。</w:t>
                  </w:r>
                </w:p>
                <w:p w14:paraId="297EC7C4">
                  <w:pPr>
                    <w:pStyle w:val="65"/>
                    <w:jc w:val="both"/>
                    <w:rPr>
                      <w:color w:val="auto"/>
                    </w:rPr>
                  </w:pPr>
                  <w:r>
                    <w:rPr>
                      <w:rFonts w:hint="eastAsia"/>
                      <w:color w:val="auto"/>
                    </w:rPr>
                    <w:t>运营期：光伏板清洗用水采用水车从周边村庄和箐沟取水。</w:t>
                  </w:r>
                </w:p>
              </w:tc>
              <w:tc>
                <w:tcPr>
                  <w:tcW w:w="594" w:type="pct"/>
                  <w:vAlign w:val="center"/>
                </w:tcPr>
                <w:p w14:paraId="7FC2641E">
                  <w:pPr>
                    <w:pStyle w:val="65"/>
                    <w:rPr>
                      <w:color w:val="auto"/>
                    </w:rPr>
                  </w:pPr>
                  <w:r>
                    <w:rPr>
                      <w:rFonts w:hint="eastAsia"/>
                      <w:color w:val="auto"/>
                    </w:rPr>
                    <w:t>一致</w:t>
                  </w:r>
                </w:p>
              </w:tc>
            </w:tr>
            <w:tr w14:paraId="40B1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9" w:hRule="atLeast"/>
              </w:trPr>
              <w:tc>
                <w:tcPr>
                  <w:tcW w:w="280" w:type="pct"/>
                  <w:vMerge w:val="continue"/>
                  <w:vAlign w:val="center"/>
                </w:tcPr>
                <w:p w14:paraId="26476035">
                  <w:pPr>
                    <w:pStyle w:val="65"/>
                    <w:rPr>
                      <w:color w:val="auto"/>
                    </w:rPr>
                  </w:pPr>
                </w:p>
              </w:tc>
              <w:tc>
                <w:tcPr>
                  <w:tcW w:w="559" w:type="pct"/>
                  <w:gridSpan w:val="2"/>
                  <w:vAlign w:val="center"/>
                </w:tcPr>
                <w:p w14:paraId="1B429956">
                  <w:pPr>
                    <w:pStyle w:val="65"/>
                    <w:rPr>
                      <w:color w:val="auto"/>
                    </w:rPr>
                  </w:pPr>
                  <w:r>
                    <w:rPr>
                      <w:rFonts w:hint="eastAsia"/>
                      <w:color w:val="auto"/>
                    </w:rPr>
                    <w:t>排水工程</w:t>
                  </w:r>
                </w:p>
              </w:tc>
              <w:tc>
                <w:tcPr>
                  <w:tcW w:w="1984" w:type="pct"/>
                  <w:vAlign w:val="center"/>
                </w:tcPr>
                <w:p w14:paraId="161DE72E">
                  <w:pPr>
                    <w:pStyle w:val="65"/>
                    <w:jc w:val="both"/>
                    <w:rPr>
                      <w:color w:val="auto"/>
                    </w:rPr>
                  </w:pPr>
                  <w:r>
                    <w:rPr>
                      <w:rFonts w:hint="eastAsia"/>
                      <w:color w:val="auto"/>
                    </w:rPr>
                    <w:t>施工期：根据水保方案，本次项目挖填方平衡，不产生永久弃渣，不设置集中表土堆场。在道路工程区设置C20混凝土排水边沟27538m³，</w:t>
                  </w:r>
                  <w:r>
                    <w:rPr>
                      <w:rFonts w:ascii="Calibri" w:hAnsi="Calibri" w:cs="Calibri"/>
                      <w:color w:val="auto"/>
                    </w:rPr>
                    <w:t>φ</w:t>
                  </w:r>
                  <w:r>
                    <w:rPr>
                      <w:rFonts w:hint="eastAsia"/>
                      <w:color w:val="auto"/>
                    </w:rPr>
                    <w:t>1000圆管涵228m，9口9m</w:t>
                  </w:r>
                  <w:r>
                    <w:rPr>
                      <w:rFonts w:hint="eastAsia"/>
                      <w:color w:val="auto"/>
                      <w:vertAlign w:val="superscript"/>
                    </w:rPr>
                    <w:t>3</w:t>
                  </w:r>
                  <w:r>
                    <w:rPr>
                      <w:rFonts w:hint="eastAsia"/>
                      <w:color w:val="auto"/>
                    </w:rPr>
                    <w:t>沉砂池；光伏方阵区设置截水沟1500.48m，7口9m</w:t>
                  </w:r>
                  <w:r>
                    <w:rPr>
                      <w:rFonts w:hint="eastAsia"/>
                      <w:color w:val="auto"/>
                      <w:vertAlign w:val="superscript"/>
                    </w:rPr>
                    <w:t>3</w:t>
                  </w:r>
                  <w:r>
                    <w:rPr>
                      <w:rFonts w:hint="eastAsia"/>
                      <w:color w:val="auto"/>
                    </w:rPr>
                    <w:t>沉砂池。施工时拟设置3个5m</w:t>
                  </w:r>
                  <w:r>
                    <w:rPr>
                      <w:rFonts w:hint="eastAsia"/>
                      <w:color w:val="auto"/>
                      <w:vertAlign w:val="superscript"/>
                    </w:rPr>
                    <w:t>3</w:t>
                  </w:r>
                  <w:r>
                    <w:rPr>
                      <w:rFonts w:hint="eastAsia"/>
                      <w:color w:val="auto"/>
                    </w:rPr>
                    <w:t>的简易沉淀池，将生活废水（洗手废水）进行沉淀处理后用于施工用水和施工场地洒水降尘。本项目业主、承包商及施工人员临时居住、办公等场地均采用租用民房解决，施工期日常生活污水依托当地民房自有处理系统。</w:t>
                  </w:r>
                </w:p>
                <w:p w14:paraId="0D1C22B4">
                  <w:pPr>
                    <w:pStyle w:val="65"/>
                    <w:jc w:val="both"/>
                    <w:rPr>
                      <w:color w:val="auto"/>
                    </w:rPr>
                  </w:pPr>
                  <w:r>
                    <w:rPr>
                      <w:rFonts w:hint="eastAsia"/>
                      <w:color w:val="auto"/>
                    </w:rPr>
                    <w:t>运营期：光伏组件清洗废水通过光伏组件落入场地土壤中，用于光伏场区植被绿化。</w:t>
                  </w:r>
                </w:p>
                <w:p w14:paraId="6501480A">
                  <w:pPr>
                    <w:pStyle w:val="65"/>
                    <w:rPr>
                      <w:color w:val="auto"/>
                    </w:rPr>
                  </w:pPr>
                </w:p>
              </w:tc>
              <w:tc>
                <w:tcPr>
                  <w:tcW w:w="1582" w:type="pct"/>
                  <w:vAlign w:val="center"/>
                </w:tcPr>
                <w:p w14:paraId="3FAB0911">
                  <w:pPr>
                    <w:pStyle w:val="65"/>
                    <w:jc w:val="both"/>
                    <w:rPr>
                      <w:color w:val="auto"/>
                    </w:rPr>
                  </w:pPr>
                  <w:r>
                    <w:rPr>
                      <w:rFonts w:hint="eastAsia"/>
                      <w:color w:val="auto"/>
                    </w:rPr>
                    <w:t>施工期：在道路工程区设置C20混凝土排水边沟2267m³；</w:t>
                  </w:r>
                  <w:r>
                    <w:rPr>
                      <w:rFonts w:ascii="Calibri" w:hAnsi="Calibri" w:cs="Calibri"/>
                      <w:color w:val="auto"/>
                    </w:rPr>
                    <w:t>φ</w:t>
                  </w:r>
                  <w:r>
                    <w:rPr>
                      <w:rFonts w:hint="eastAsia"/>
                      <w:color w:val="auto"/>
                    </w:rPr>
                    <w:t>1000圆管涵228m，9口9m</w:t>
                  </w:r>
                  <w:r>
                    <w:rPr>
                      <w:rFonts w:hint="eastAsia"/>
                      <w:color w:val="auto"/>
                      <w:vertAlign w:val="superscript"/>
                    </w:rPr>
                    <w:t>3</w:t>
                  </w:r>
                  <w:r>
                    <w:rPr>
                      <w:rFonts w:hint="eastAsia"/>
                      <w:color w:val="auto"/>
                    </w:rPr>
                    <w:t>沉砂池；光伏方阵区设置截水沟1500.48m，5口9m</w:t>
                  </w:r>
                  <w:r>
                    <w:rPr>
                      <w:rFonts w:hint="eastAsia"/>
                      <w:color w:val="auto"/>
                      <w:vertAlign w:val="superscript"/>
                    </w:rPr>
                    <w:t>3</w:t>
                  </w:r>
                  <w:r>
                    <w:rPr>
                      <w:rFonts w:hint="eastAsia"/>
                      <w:color w:val="auto"/>
                    </w:rPr>
                    <w:t>沉砂池收集施工废水，施工场地设置</w:t>
                  </w:r>
                  <w:r>
                    <w:rPr>
                      <w:rFonts w:hint="eastAsia" w:cs="Times New Roman"/>
                      <w:color w:val="auto"/>
                    </w:rPr>
                    <w:t>4</w:t>
                  </w:r>
                  <w:r>
                    <w:rPr>
                      <w:rFonts w:hint="eastAsia"/>
                      <w:color w:val="auto"/>
                    </w:rPr>
                    <w:t>个</w:t>
                  </w:r>
                  <w:r>
                    <w:rPr>
                      <w:rFonts w:cs="Times New Roman"/>
                      <w:color w:val="auto"/>
                    </w:rPr>
                    <w:t>5m</w:t>
                  </w:r>
                  <w:r>
                    <w:rPr>
                      <w:rFonts w:cs="Times New Roman"/>
                      <w:color w:val="auto"/>
                      <w:vertAlign w:val="superscript"/>
                    </w:rPr>
                    <w:t>3</w:t>
                  </w:r>
                  <w:r>
                    <w:rPr>
                      <w:rFonts w:hint="eastAsia"/>
                      <w:color w:val="auto"/>
                    </w:rPr>
                    <w:t>的临时沉淀池收集生活废水（洗手废水），废水进行沉淀处理后用于施工用水和施工场地洒水降尘。施工期日常生活污水依托租用的当地民房自有处理系统。</w:t>
                  </w:r>
                </w:p>
                <w:p w14:paraId="7D3592A1">
                  <w:pPr>
                    <w:pStyle w:val="65"/>
                    <w:jc w:val="both"/>
                    <w:rPr>
                      <w:color w:val="auto"/>
                    </w:rPr>
                  </w:pPr>
                  <w:r>
                    <w:rPr>
                      <w:rFonts w:hint="eastAsia"/>
                      <w:color w:val="auto"/>
                    </w:rPr>
                    <w:t>运营期：光伏组件清洗废水通过光伏组件落入场地土壤中，用于光伏场区植被绿化。</w:t>
                  </w:r>
                </w:p>
              </w:tc>
              <w:tc>
                <w:tcPr>
                  <w:tcW w:w="594" w:type="pct"/>
                  <w:vAlign w:val="center"/>
                </w:tcPr>
                <w:p w14:paraId="0B471304">
                  <w:pPr>
                    <w:pStyle w:val="65"/>
                    <w:rPr>
                      <w:color w:val="auto"/>
                    </w:rPr>
                  </w:pPr>
                  <w:r>
                    <w:rPr>
                      <w:rFonts w:hint="eastAsia"/>
                      <w:color w:val="auto"/>
                    </w:rPr>
                    <w:t>施工期C20混凝土排水边沟减少25271m³，增加1座4.5m</w:t>
                  </w:r>
                  <w:r>
                    <w:rPr>
                      <w:rFonts w:hint="eastAsia"/>
                      <w:color w:val="auto"/>
                      <w:vertAlign w:val="superscript"/>
                    </w:rPr>
                    <w:t>3</w:t>
                  </w:r>
                  <w:r>
                    <w:rPr>
                      <w:rFonts w:hint="eastAsia"/>
                      <w:color w:val="auto"/>
                    </w:rPr>
                    <w:t>的临时沉淀池</w:t>
                  </w:r>
                </w:p>
              </w:tc>
            </w:tr>
            <w:tr w14:paraId="5F58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1AAC2220">
                  <w:pPr>
                    <w:pStyle w:val="65"/>
                    <w:rPr>
                      <w:color w:val="auto"/>
                    </w:rPr>
                  </w:pPr>
                </w:p>
              </w:tc>
              <w:tc>
                <w:tcPr>
                  <w:tcW w:w="559" w:type="pct"/>
                  <w:gridSpan w:val="2"/>
                  <w:vAlign w:val="center"/>
                </w:tcPr>
                <w:p w14:paraId="58A5DEF2">
                  <w:pPr>
                    <w:pStyle w:val="65"/>
                    <w:rPr>
                      <w:color w:val="auto"/>
                    </w:rPr>
                  </w:pPr>
                  <w:r>
                    <w:rPr>
                      <w:rFonts w:hint="eastAsia"/>
                      <w:color w:val="auto"/>
                    </w:rPr>
                    <w:t>供电工程</w:t>
                  </w:r>
                </w:p>
              </w:tc>
              <w:tc>
                <w:tcPr>
                  <w:tcW w:w="1984" w:type="pct"/>
                  <w:vAlign w:val="center"/>
                </w:tcPr>
                <w:p w14:paraId="6E66C207">
                  <w:pPr>
                    <w:pStyle w:val="65"/>
                    <w:jc w:val="both"/>
                    <w:rPr>
                      <w:color w:val="auto"/>
                    </w:rPr>
                  </w:pPr>
                  <w:r>
                    <w:rPr>
                      <w:rFonts w:hint="eastAsia"/>
                      <w:color w:val="auto"/>
                    </w:rPr>
                    <w:t>估算本工程施工用电高峰负荷约250kW。场址附近有农网10kV线路，施工用电可由该10kV线路引接作为电源，长度约4.5km，距离较远处施工及紧急备用电源采用柴油发电机供电。</w:t>
                  </w:r>
                </w:p>
              </w:tc>
              <w:tc>
                <w:tcPr>
                  <w:tcW w:w="1582" w:type="pct"/>
                  <w:vAlign w:val="center"/>
                </w:tcPr>
                <w:p w14:paraId="772E77C2">
                  <w:pPr>
                    <w:pStyle w:val="65"/>
                    <w:jc w:val="both"/>
                    <w:rPr>
                      <w:color w:val="auto"/>
                    </w:rPr>
                  </w:pPr>
                  <w:r>
                    <w:rPr>
                      <w:rFonts w:hint="eastAsia"/>
                      <w:color w:val="auto"/>
                    </w:rPr>
                    <w:t>施工期：估算本工程施工用电高峰负荷约250kW。场址附近有农网10kV线路，施工用电可由该10kV线路引接作为电源，长度约4.5km，距离较远处施工及紧急备用电源采用柴油发电机供电。</w:t>
                  </w:r>
                </w:p>
              </w:tc>
              <w:tc>
                <w:tcPr>
                  <w:tcW w:w="594" w:type="pct"/>
                  <w:vAlign w:val="center"/>
                </w:tcPr>
                <w:p w14:paraId="4CB53900">
                  <w:pPr>
                    <w:pStyle w:val="65"/>
                    <w:rPr>
                      <w:color w:val="auto"/>
                    </w:rPr>
                  </w:pPr>
                  <w:r>
                    <w:rPr>
                      <w:rFonts w:hint="eastAsia"/>
                      <w:color w:val="auto"/>
                    </w:rPr>
                    <w:t>一致</w:t>
                  </w:r>
                </w:p>
              </w:tc>
            </w:tr>
            <w:tr w14:paraId="5AF9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6172B689">
                  <w:pPr>
                    <w:pStyle w:val="65"/>
                    <w:rPr>
                      <w:color w:val="auto"/>
                    </w:rPr>
                  </w:pPr>
                </w:p>
              </w:tc>
              <w:tc>
                <w:tcPr>
                  <w:tcW w:w="559" w:type="pct"/>
                  <w:gridSpan w:val="2"/>
                  <w:vAlign w:val="center"/>
                </w:tcPr>
                <w:p w14:paraId="08D1A1EE">
                  <w:pPr>
                    <w:pStyle w:val="65"/>
                    <w:rPr>
                      <w:color w:val="auto"/>
                    </w:rPr>
                  </w:pPr>
                  <w:r>
                    <w:rPr>
                      <w:rFonts w:hint="eastAsia"/>
                      <w:color w:val="auto"/>
                    </w:rPr>
                    <w:t>通信工程</w:t>
                  </w:r>
                </w:p>
              </w:tc>
              <w:tc>
                <w:tcPr>
                  <w:tcW w:w="1984" w:type="pct"/>
                  <w:vAlign w:val="center"/>
                </w:tcPr>
                <w:p w14:paraId="6D3DDA1C">
                  <w:pPr>
                    <w:pStyle w:val="65"/>
                    <w:jc w:val="both"/>
                    <w:rPr>
                      <w:color w:val="auto"/>
                    </w:rPr>
                  </w:pPr>
                  <w:r>
                    <w:rPr>
                      <w:rFonts w:hint="eastAsia"/>
                      <w:color w:val="auto"/>
                    </w:rPr>
                    <w:t>施工现场有中国移动、联通等信号覆盖，对外通信主要采用移动通讯方式。必要时也可采用有线方式。</w:t>
                  </w:r>
                </w:p>
              </w:tc>
              <w:tc>
                <w:tcPr>
                  <w:tcW w:w="1582" w:type="pct"/>
                  <w:vAlign w:val="center"/>
                </w:tcPr>
                <w:p w14:paraId="78E55C47">
                  <w:pPr>
                    <w:pStyle w:val="65"/>
                    <w:jc w:val="both"/>
                    <w:rPr>
                      <w:color w:val="auto"/>
                    </w:rPr>
                  </w:pPr>
                  <w:r>
                    <w:rPr>
                      <w:rFonts w:hint="eastAsia"/>
                      <w:color w:val="auto"/>
                    </w:rPr>
                    <w:t>施工现场有中国移动、联通等信号覆盖，对外通信主要采用移动通讯方式。必要时也可采用有线方式。</w:t>
                  </w:r>
                </w:p>
              </w:tc>
              <w:tc>
                <w:tcPr>
                  <w:tcW w:w="594" w:type="pct"/>
                  <w:vAlign w:val="center"/>
                </w:tcPr>
                <w:p w14:paraId="12121698">
                  <w:pPr>
                    <w:pStyle w:val="65"/>
                    <w:rPr>
                      <w:color w:val="auto"/>
                    </w:rPr>
                  </w:pPr>
                  <w:r>
                    <w:rPr>
                      <w:rFonts w:hint="eastAsia"/>
                      <w:color w:val="auto"/>
                    </w:rPr>
                    <w:t>一致</w:t>
                  </w:r>
                </w:p>
              </w:tc>
            </w:tr>
            <w:tr w14:paraId="090B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4" w:hRule="atLeast"/>
              </w:trPr>
              <w:tc>
                <w:tcPr>
                  <w:tcW w:w="280" w:type="pct"/>
                  <w:vMerge w:val="restart"/>
                  <w:vAlign w:val="center"/>
                </w:tcPr>
                <w:p w14:paraId="2E4AA557">
                  <w:pPr>
                    <w:pStyle w:val="65"/>
                    <w:rPr>
                      <w:color w:val="auto"/>
                    </w:rPr>
                  </w:pPr>
                  <w:r>
                    <w:rPr>
                      <w:rFonts w:hint="eastAsia"/>
                      <w:color w:val="auto"/>
                    </w:rPr>
                    <w:t>临时工程</w:t>
                  </w:r>
                </w:p>
              </w:tc>
              <w:tc>
                <w:tcPr>
                  <w:tcW w:w="559" w:type="pct"/>
                  <w:gridSpan w:val="2"/>
                  <w:vAlign w:val="center"/>
                </w:tcPr>
                <w:p w14:paraId="00B5BF52">
                  <w:pPr>
                    <w:pStyle w:val="65"/>
                    <w:rPr>
                      <w:color w:val="auto"/>
                    </w:rPr>
                  </w:pPr>
                  <w:r>
                    <w:rPr>
                      <w:rFonts w:hint="eastAsia"/>
                      <w:color w:val="auto"/>
                    </w:rPr>
                    <w:t>施工场地</w:t>
                  </w:r>
                </w:p>
              </w:tc>
              <w:tc>
                <w:tcPr>
                  <w:tcW w:w="1984" w:type="pct"/>
                  <w:vAlign w:val="center"/>
                </w:tcPr>
                <w:p w14:paraId="623B67B1">
                  <w:pPr>
                    <w:pStyle w:val="65"/>
                    <w:jc w:val="both"/>
                    <w:rPr>
                      <w:color w:val="auto"/>
                    </w:rPr>
                  </w:pPr>
                  <w:r>
                    <w:rPr>
                      <w:rFonts w:hint="eastAsia"/>
                      <w:color w:val="auto"/>
                    </w:rPr>
                    <w:t>根据主体设计，结合项目实际施工情况，本项目业主、承包商及施工人员临时居住、办公等场地均采用租用民房解决，在施工现场主要设置的临建设施有：施工生活区、综合加工厂、综合仓库，从安全及环保角度出发，在与光伏电池组件相邻的地势较平坦区域设置，同时生活区靠近仓库。型钢、钢筋等可露天堆放，电池板组件、缆线、主要发电和电气设备等需仓库存放。并通过提高对外运输效率以减少现场库存量，考虑现场零星的机械修配。</w:t>
                  </w:r>
                </w:p>
                <w:p w14:paraId="57794F8E">
                  <w:pPr>
                    <w:pStyle w:val="65"/>
                    <w:jc w:val="both"/>
                    <w:rPr>
                      <w:color w:val="auto"/>
                    </w:rPr>
                  </w:pPr>
                  <w:r>
                    <w:rPr>
                      <w:rFonts w:hint="eastAsia"/>
                      <w:color w:val="auto"/>
                    </w:rPr>
                    <w:t>规划布置施工场地3处，布置于场内道路一侧光伏方阵区平坦位置，以满足材料设备一次运输到位，其中1#施工营地位于3#地块西南侧、2#施工营地位于7#地块东侧和3#施工营地位于18#地块南侧，占地0.45hm</w:t>
                  </w:r>
                  <w:r>
                    <w:rPr>
                      <w:rFonts w:hint="eastAsia"/>
                      <w:color w:val="auto"/>
                      <w:vertAlign w:val="superscript"/>
                    </w:rPr>
                    <w:t>2</w:t>
                  </w:r>
                  <w:r>
                    <w:rPr>
                      <w:rFonts w:hint="eastAsia"/>
                      <w:color w:val="auto"/>
                    </w:rPr>
                    <w:t>，占地类型为园地。</w:t>
                  </w:r>
                </w:p>
              </w:tc>
              <w:tc>
                <w:tcPr>
                  <w:tcW w:w="1582" w:type="pct"/>
                  <w:vAlign w:val="center"/>
                </w:tcPr>
                <w:p w14:paraId="7CC166D9">
                  <w:pPr>
                    <w:pStyle w:val="65"/>
                    <w:jc w:val="both"/>
                    <w:rPr>
                      <w:color w:val="auto"/>
                    </w:rPr>
                  </w:pPr>
                  <w:r>
                    <w:rPr>
                      <w:rFonts w:hint="eastAsia"/>
                      <w:color w:val="auto"/>
                    </w:rPr>
                    <w:t>根据主体设计，本工程工期较短，且工程区距离公郎镇较近，交通方便，不考虑在现场设业主营地、承包商营地、机械修配间等。施工所需的这些设施，拟利用当地资源。</w:t>
                  </w:r>
                </w:p>
                <w:p w14:paraId="63EDDF37">
                  <w:pPr>
                    <w:pStyle w:val="65"/>
                    <w:jc w:val="both"/>
                    <w:rPr>
                      <w:color w:val="auto"/>
                    </w:rPr>
                  </w:pPr>
                  <w:r>
                    <w:rPr>
                      <w:rFonts w:hint="eastAsia"/>
                      <w:color w:val="auto"/>
                    </w:rPr>
                    <w:t>规划布置施工场地4处，布置于场内道路一侧光伏方阵区平坦位置，以满足材料设备一次运输到位，其中1#施工场地位于S10地块内西南侧、2#施工场地位于S20地块内西侧、3#施工场地位于S17地块内东侧和4#施工场地位于S02地块内东南侧，场地内布置综合加工厂、综合仓库等，占地</w:t>
                  </w:r>
                  <w:r>
                    <w:rPr>
                      <w:rFonts w:cs="Times New Roman"/>
                      <w:color w:val="auto"/>
                    </w:rPr>
                    <w:t>0.45hm</w:t>
                  </w:r>
                  <w:r>
                    <w:rPr>
                      <w:rFonts w:cs="Times New Roman"/>
                      <w:color w:val="auto"/>
                      <w:vertAlign w:val="superscript"/>
                    </w:rPr>
                    <w:t>2</w:t>
                  </w:r>
                  <w:r>
                    <w:rPr>
                      <w:rFonts w:hint="eastAsia"/>
                      <w:color w:val="auto"/>
                    </w:rPr>
                    <w:t>，占地类型为园地。</w:t>
                  </w:r>
                </w:p>
              </w:tc>
              <w:tc>
                <w:tcPr>
                  <w:tcW w:w="594" w:type="pct"/>
                  <w:vAlign w:val="center"/>
                </w:tcPr>
                <w:p w14:paraId="3799241D">
                  <w:pPr>
                    <w:pStyle w:val="65"/>
                    <w:jc w:val="both"/>
                    <w:rPr>
                      <w:color w:val="auto"/>
                    </w:rPr>
                  </w:pPr>
                  <w:r>
                    <w:rPr>
                      <w:rFonts w:hint="eastAsia"/>
                      <w:color w:val="auto"/>
                    </w:rPr>
                    <w:t>原项目1#施工场地和3#施工场地未发生变化，仅光伏方阵编号改变；2#施工场地因用地红线调整而取消，在新范围内新增2个施工场地，总的施工场地个数较原环评增加1处</w:t>
                  </w:r>
                </w:p>
              </w:tc>
            </w:tr>
            <w:tr w14:paraId="0973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2" w:hRule="atLeast"/>
              </w:trPr>
              <w:tc>
                <w:tcPr>
                  <w:tcW w:w="280" w:type="pct"/>
                  <w:vMerge w:val="continue"/>
                  <w:vAlign w:val="center"/>
                </w:tcPr>
                <w:p w14:paraId="21F7216D">
                  <w:pPr>
                    <w:pStyle w:val="65"/>
                    <w:rPr>
                      <w:color w:val="auto"/>
                    </w:rPr>
                  </w:pPr>
                </w:p>
              </w:tc>
              <w:tc>
                <w:tcPr>
                  <w:tcW w:w="559" w:type="pct"/>
                  <w:gridSpan w:val="2"/>
                  <w:vAlign w:val="center"/>
                </w:tcPr>
                <w:p w14:paraId="20CA282B">
                  <w:pPr>
                    <w:pStyle w:val="65"/>
                    <w:rPr>
                      <w:color w:val="auto"/>
                    </w:rPr>
                  </w:pPr>
                  <w:r>
                    <w:rPr>
                      <w:rFonts w:hint="eastAsia"/>
                      <w:color w:val="auto"/>
                    </w:rPr>
                    <w:t>施工三场</w:t>
                  </w:r>
                </w:p>
              </w:tc>
              <w:tc>
                <w:tcPr>
                  <w:tcW w:w="1984" w:type="pct"/>
                  <w:vAlign w:val="center"/>
                </w:tcPr>
                <w:p w14:paraId="02C7CE41">
                  <w:pPr>
                    <w:pStyle w:val="65"/>
                    <w:jc w:val="both"/>
                    <w:rPr>
                      <w:color w:val="auto"/>
                    </w:rPr>
                  </w:pPr>
                  <w:r>
                    <w:rPr>
                      <w:rFonts w:hint="eastAsia"/>
                      <w:color w:val="auto"/>
                    </w:rPr>
                    <w:t>①本项目所需砂石料、水泥、钢材、木材、油料和火工材料等建筑材料可就近从南涧县及附近乡镇采购，无需设置专门的采石场、料场。</w:t>
                  </w:r>
                </w:p>
                <w:p w14:paraId="156A9D54">
                  <w:pPr>
                    <w:pStyle w:val="65"/>
                    <w:jc w:val="both"/>
                    <w:rPr>
                      <w:color w:val="auto"/>
                    </w:rPr>
                  </w:pPr>
                  <w:r>
                    <w:rPr>
                      <w:rFonts w:hint="eastAsia"/>
                      <w:color w:val="auto"/>
                    </w:rPr>
                    <w:t>②根据项目水保方案，项目剥离表土1.43万m</w:t>
                  </w:r>
                  <w:r>
                    <w:rPr>
                      <w:rFonts w:hint="eastAsia"/>
                      <w:color w:val="auto"/>
                      <w:vertAlign w:val="superscript"/>
                    </w:rPr>
                    <w:t>3</w:t>
                  </w:r>
                  <w:r>
                    <w:rPr>
                      <w:rFonts w:hint="eastAsia"/>
                      <w:color w:val="auto"/>
                    </w:rPr>
                    <w:t>，集电线路直埋电缆沟表土堆放在管沟一侧，架空线路剥离表土临时堆放于各塔基用地一角，场内道路区收集表土主要用于道路填方边坡植被恢复，光伏方阵区的施工营场地区剥离的表土临时堆放于各场地一角，并采取临时防护措施。本项目场内道路区表土即挖即用，剩余表土临时堆放至弯道加宽处，施工营场地表堆放在各场地一角，直埋电缆沟表土堆放在电缆沟一侧，架空线路表土堆放在各塔基占地范围内，均不布置集中堆放场地，方案设计的临时堆土场均位于项目红线内。</w:t>
                  </w:r>
                </w:p>
                <w:p w14:paraId="6ACA0A01">
                  <w:pPr>
                    <w:pStyle w:val="65"/>
                    <w:jc w:val="both"/>
                    <w:rPr>
                      <w:color w:val="auto"/>
                    </w:rPr>
                  </w:pPr>
                  <w:r>
                    <w:rPr>
                      <w:rFonts w:hint="eastAsia"/>
                      <w:color w:val="auto"/>
                    </w:rPr>
                    <w:t>③本项目回填表土源自前期表土剥离收集，不进行外购，故不涉及取土场。</w:t>
                  </w:r>
                </w:p>
                <w:p w14:paraId="0673BDBC">
                  <w:pPr>
                    <w:pStyle w:val="65"/>
                    <w:jc w:val="both"/>
                    <w:rPr>
                      <w:color w:val="auto"/>
                    </w:rPr>
                  </w:pPr>
                  <w:r>
                    <w:rPr>
                      <w:rFonts w:hint="eastAsia"/>
                      <w:color w:val="auto"/>
                    </w:rPr>
                    <w:t>④本项目无永久弃方产生，故不涉及弃渣场。</w:t>
                  </w:r>
                </w:p>
              </w:tc>
              <w:tc>
                <w:tcPr>
                  <w:tcW w:w="1582" w:type="pct"/>
                  <w:vAlign w:val="center"/>
                </w:tcPr>
                <w:p w14:paraId="0BED94A4">
                  <w:pPr>
                    <w:pStyle w:val="65"/>
                    <w:jc w:val="both"/>
                    <w:rPr>
                      <w:color w:val="auto"/>
                    </w:rPr>
                  </w:pPr>
                  <w:r>
                    <w:rPr>
                      <w:color w:val="auto"/>
                    </w:rPr>
                    <w:t>根据水保报告，</w:t>
                  </w:r>
                  <w:r>
                    <w:rPr>
                      <w:rFonts w:hint="eastAsia"/>
                      <w:color w:val="auto"/>
                    </w:rPr>
                    <w:t>项目不设置表土集中堆场、取土场、弃渣场。</w:t>
                  </w:r>
                </w:p>
                <w:p w14:paraId="0C4B3C4F">
                  <w:pPr>
                    <w:pStyle w:val="65"/>
                    <w:jc w:val="both"/>
                    <w:rPr>
                      <w:color w:val="auto"/>
                    </w:rPr>
                  </w:pPr>
                  <w:r>
                    <w:rPr>
                      <w:rFonts w:hint="eastAsia" w:ascii="Cambria Math" w:hAnsi="Cambria Math" w:eastAsia="等线" w:cs="Cambria Math"/>
                      <w:color w:val="auto"/>
                    </w:rPr>
                    <w:t>①</w:t>
                  </w:r>
                  <w:r>
                    <w:rPr>
                      <w:rFonts w:hint="eastAsia"/>
                      <w:color w:val="auto"/>
                    </w:rPr>
                    <w:t>场根据项目水保方案，项目剥离表</w:t>
                  </w:r>
                  <w:r>
                    <w:rPr>
                      <w:rFonts w:cs="Times New Roman"/>
                      <w:color w:val="auto"/>
                    </w:rPr>
                    <w:t>土</w:t>
                  </w:r>
                  <w:r>
                    <w:rPr>
                      <w:rFonts w:eastAsia="等线" w:cs="Times New Roman"/>
                      <w:color w:val="auto"/>
                    </w:rPr>
                    <w:t>1.43</w:t>
                  </w:r>
                  <w:r>
                    <w:rPr>
                      <w:rFonts w:cs="Times New Roman"/>
                      <w:color w:val="auto"/>
                    </w:rPr>
                    <w:t>万</w:t>
                  </w:r>
                  <w:r>
                    <w:rPr>
                      <w:rFonts w:eastAsia="等线" w:cs="Times New Roman"/>
                      <w:color w:val="auto"/>
                    </w:rPr>
                    <w:t>m</w:t>
                  </w:r>
                  <w:r>
                    <w:rPr>
                      <w:rFonts w:eastAsia="等线" w:cs="Times New Roman"/>
                      <w:color w:val="auto"/>
                      <w:vertAlign w:val="superscript"/>
                    </w:rPr>
                    <w:t>3</w:t>
                  </w:r>
                  <w:r>
                    <w:rPr>
                      <w:rFonts w:cs="Times New Roman"/>
                      <w:color w:val="auto"/>
                    </w:rPr>
                    <w:t>，</w:t>
                  </w:r>
                  <w:r>
                    <w:rPr>
                      <w:rFonts w:hint="eastAsia"/>
                      <w:color w:val="auto"/>
                    </w:rPr>
                    <w:t>本项目场内道路区表土即挖即用，剩余表土临时堆放至弯道加宽处，施工场地地表堆放在各场地一角，直埋电缆沟表土堆放在电缆沟一侧，架空线路表土堆放在各塔基占地范围内，方案设计的临时堆土场均位于项目红线内，故不设置表土集中堆场。</w:t>
                  </w:r>
                </w:p>
                <w:p w14:paraId="3D555401">
                  <w:pPr>
                    <w:pStyle w:val="65"/>
                    <w:jc w:val="both"/>
                    <w:rPr>
                      <w:rFonts w:ascii="Cambria Math" w:hAnsi="Cambria Math" w:eastAsia="等线"/>
                      <w:color w:val="auto"/>
                    </w:rPr>
                  </w:pPr>
                  <w:r>
                    <w:rPr>
                      <w:rFonts w:hint="eastAsia" w:ascii="Cambria Math" w:hAnsi="Cambria Math" w:eastAsia="等线"/>
                      <w:color w:val="auto"/>
                    </w:rPr>
                    <w:t>②</w:t>
                  </w:r>
                  <w:r>
                    <w:rPr>
                      <w:rFonts w:hint="eastAsia"/>
                      <w:color w:val="auto"/>
                    </w:rPr>
                    <w:t>本项目回填表土源自前期表土剥离收集，不进行外购，故不涉及取土场。</w:t>
                  </w:r>
                </w:p>
                <w:p w14:paraId="21428D0C">
                  <w:pPr>
                    <w:pStyle w:val="65"/>
                    <w:jc w:val="both"/>
                    <w:rPr>
                      <w:color w:val="auto"/>
                    </w:rPr>
                  </w:pPr>
                  <w:r>
                    <w:rPr>
                      <w:rFonts w:hint="eastAsia" w:ascii="Cambria Math" w:hAnsi="Cambria Math" w:eastAsia="等线"/>
                      <w:color w:val="auto"/>
                    </w:rPr>
                    <w:t>③</w:t>
                  </w:r>
                  <w:r>
                    <w:rPr>
                      <w:rFonts w:hint="eastAsia"/>
                      <w:color w:val="auto"/>
                    </w:rPr>
                    <w:t>本项目无永久弃方产生，故不设置弃渣场。</w:t>
                  </w:r>
                </w:p>
              </w:tc>
              <w:tc>
                <w:tcPr>
                  <w:tcW w:w="594" w:type="pct"/>
                  <w:vAlign w:val="center"/>
                </w:tcPr>
                <w:p w14:paraId="1129BE3C">
                  <w:pPr>
                    <w:pStyle w:val="65"/>
                    <w:rPr>
                      <w:color w:val="auto"/>
                    </w:rPr>
                  </w:pPr>
                  <w:r>
                    <w:rPr>
                      <w:color w:val="auto"/>
                    </w:rPr>
                    <w:t>项目不设置取土场</w:t>
                  </w:r>
                  <w:r>
                    <w:rPr>
                      <w:rFonts w:hint="eastAsia"/>
                      <w:color w:val="auto"/>
                    </w:rPr>
                    <w:t>、</w:t>
                  </w:r>
                  <w:r>
                    <w:rPr>
                      <w:color w:val="auto"/>
                    </w:rPr>
                    <w:t>弃渣场</w:t>
                  </w:r>
                  <w:r>
                    <w:rPr>
                      <w:rFonts w:hint="eastAsia"/>
                      <w:color w:val="auto"/>
                    </w:rPr>
                    <w:t>、表土集中堆场。</w:t>
                  </w:r>
                </w:p>
              </w:tc>
            </w:tr>
            <w:tr w14:paraId="492D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5" w:hRule="atLeast"/>
              </w:trPr>
              <w:tc>
                <w:tcPr>
                  <w:tcW w:w="280" w:type="pct"/>
                  <w:vMerge w:val="restart"/>
                  <w:vAlign w:val="center"/>
                </w:tcPr>
                <w:p w14:paraId="28922D29">
                  <w:pPr>
                    <w:pStyle w:val="65"/>
                    <w:rPr>
                      <w:color w:val="auto"/>
                    </w:rPr>
                  </w:pPr>
                  <w:r>
                    <w:rPr>
                      <w:rFonts w:hint="eastAsia"/>
                      <w:color w:val="auto"/>
                    </w:rPr>
                    <w:t>环保工程</w:t>
                  </w:r>
                </w:p>
              </w:tc>
              <w:tc>
                <w:tcPr>
                  <w:tcW w:w="280" w:type="pct"/>
                  <w:vMerge w:val="restart"/>
                  <w:vAlign w:val="center"/>
                </w:tcPr>
                <w:p w14:paraId="0ADB4395">
                  <w:pPr>
                    <w:pStyle w:val="65"/>
                    <w:rPr>
                      <w:color w:val="auto"/>
                    </w:rPr>
                  </w:pPr>
                  <w:r>
                    <w:rPr>
                      <w:rFonts w:hint="eastAsia"/>
                      <w:color w:val="auto"/>
                    </w:rPr>
                    <w:t>废水</w:t>
                  </w:r>
                </w:p>
              </w:tc>
              <w:tc>
                <w:tcPr>
                  <w:tcW w:w="280" w:type="pct"/>
                  <w:vAlign w:val="center"/>
                </w:tcPr>
                <w:p w14:paraId="18BC5BC3">
                  <w:pPr>
                    <w:pStyle w:val="65"/>
                    <w:rPr>
                      <w:color w:val="auto"/>
                    </w:rPr>
                  </w:pPr>
                  <w:r>
                    <w:rPr>
                      <w:rFonts w:hint="eastAsia"/>
                      <w:color w:val="auto"/>
                    </w:rPr>
                    <w:t>施工期</w:t>
                  </w:r>
                </w:p>
              </w:tc>
              <w:tc>
                <w:tcPr>
                  <w:tcW w:w="1984" w:type="pct"/>
                  <w:vAlign w:val="center"/>
                </w:tcPr>
                <w:p w14:paraId="0D18F6E6">
                  <w:pPr>
                    <w:pStyle w:val="65"/>
                    <w:jc w:val="both"/>
                    <w:rPr>
                      <w:color w:val="auto"/>
                    </w:rPr>
                  </w:pPr>
                  <w:r>
                    <w:rPr>
                      <w:rFonts w:hint="eastAsia"/>
                      <w:color w:val="auto"/>
                    </w:rPr>
                    <w:t>根据水保方案，本次项目挖填方平衡，不产生永久弃渣，不设置集中表土堆场。在道路工程区设置C20混凝土排水边沟27538m³，</w:t>
                  </w:r>
                  <w:r>
                    <w:rPr>
                      <w:rFonts w:ascii="Calibri" w:hAnsi="Calibri" w:cs="Calibri"/>
                      <w:color w:val="auto"/>
                    </w:rPr>
                    <w:t>φ</w:t>
                  </w:r>
                  <w:r>
                    <w:rPr>
                      <w:rFonts w:hint="eastAsia"/>
                      <w:color w:val="auto"/>
                    </w:rPr>
                    <w:t>1000圆管涵228m，9口9m</w:t>
                  </w:r>
                  <w:r>
                    <w:rPr>
                      <w:rFonts w:hint="eastAsia"/>
                      <w:color w:val="auto"/>
                      <w:vertAlign w:val="superscript"/>
                    </w:rPr>
                    <w:t>3</w:t>
                  </w:r>
                  <w:r>
                    <w:rPr>
                      <w:rFonts w:hint="eastAsia"/>
                      <w:color w:val="auto"/>
                    </w:rPr>
                    <w:t>沉砂池；光伏方阵区设置截水沟1500.48m，7口9m</w:t>
                  </w:r>
                  <w:r>
                    <w:rPr>
                      <w:rFonts w:hint="eastAsia"/>
                      <w:color w:val="auto"/>
                      <w:vertAlign w:val="superscript"/>
                    </w:rPr>
                    <w:t>3</w:t>
                  </w:r>
                  <w:r>
                    <w:rPr>
                      <w:rFonts w:hint="eastAsia"/>
                      <w:color w:val="auto"/>
                    </w:rPr>
                    <w:t>沉砂池。施工时拟设置3个5m</w:t>
                  </w:r>
                  <w:r>
                    <w:rPr>
                      <w:rFonts w:hint="eastAsia"/>
                      <w:color w:val="auto"/>
                      <w:vertAlign w:val="superscript"/>
                    </w:rPr>
                    <w:t>3</w:t>
                  </w:r>
                  <w:r>
                    <w:rPr>
                      <w:rFonts w:hint="eastAsia"/>
                      <w:color w:val="auto"/>
                    </w:rPr>
                    <w:t>的简易沉淀池，将生活废水（洗手废水）进行沉淀处理后用于施工用水和施工场地洒水降尘。本项目业主、承包商及施工人员临时居住、办公等场地均采用租用民房解决，施工期日常生活污水依托当地民房自有处理系统。</w:t>
                  </w:r>
                </w:p>
              </w:tc>
              <w:tc>
                <w:tcPr>
                  <w:tcW w:w="1582" w:type="pct"/>
                  <w:vAlign w:val="center"/>
                </w:tcPr>
                <w:p w14:paraId="41AC1940">
                  <w:pPr>
                    <w:pStyle w:val="65"/>
                    <w:jc w:val="both"/>
                    <w:rPr>
                      <w:color w:val="auto"/>
                    </w:rPr>
                  </w:pPr>
                  <w:r>
                    <w:rPr>
                      <w:rFonts w:hint="eastAsia"/>
                      <w:color w:val="auto"/>
                    </w:rPr>
                    <w:t>在道路工程区设置C20混凝土排水边沟2267m³；φ1000圆管涵228m，9口9m</w:t>
                  </w:r>
                  <w:r>
                    <w:rPr>
                      <w:rFonts w:hint="eastAsia"/>
                      <w:color w:val="auto"/>
                      <w:vertAlign w:val="superscript"/>
                    </w:rPr>
                    <w:t>3</w:t>
                  </w:r>
                  <w:r>
                    <w:rPr>
                      <w:rFonts w:hint="eastAsia"/>
                      <w:color w:val="auto"/>
                    </w:rPr>
                    <w:t>沉砂池；光伏方阵区设置截水沟1500.48m，5口9m</w:t>
                  </w:r>
                  <w:r>
                    <w:rPr>
                      <w:rFonts w:hint="eastAsia"/>
                      <w:color w:val="auto"/>
                      <w:vertAlign w:val="superscript"/>
                    </w:rPr>
                    <w:t>3</w:t>
                  </w:r>
                  <w:r>
                    <w:rPr>
                      <w:rFonts w:hint="eastAsia"/>
                      <w:color w:val="auto"/>
                    </w:rPr>
                    <w:t>沉砂池收集施工废水，施工场地拟设置4个4.5m</w:t>
                  </w:r>
                  <w:r>
                    <w:rPr>
                      <w:rFonts w:hint="eastAsia"/>
                      <w:color w:val="auto"/>
                      <w:vertAlign w:val="superscript"/>
                    </w:rPr>
                    <w:t>3</w:t>
                  </w:r>
                  <w:r>
                    <w:rPr>
                      <w:rFonts w:hint="eastAsia"/>
                      <w:color w:val="auto"/>
                    </w:rPr>
                    <w:t>的临时沉淀池收集生活废水（洗手废水），废水进行沉淀处理后用于施工用水和施工场地洒水降尘。</w:t>
                  </w:r>
                </w:p>
                <w:p w14:paraId="11C48BBB">
                  <w:pPr>
                    <w:pStyle w:val="65"/>
                    <w:jc w:val="both"/>
                    <w:rPr>
                      <w:color w:val="auto"/>
                    </w:rPr>
                  </w:pPr>
                  <w:r>
                    <w:rPr>
                      <w:rFonts w:hint="eastAsia"/>
                      <w:color w:val="auto"/>
                    </w:rPr>
                    <w:t>本项目业主、承包商及施工人员临时居住、办公等场地均采用租用民房解决，施工期日常生活污水依托当地民房自有处理系统。</w:t>
                  </w:r>
                </w:p>
              </w:tc>
              <w:tc>
                <w:tcPr>
                  <w:tcW w:w="594" w:type="pct"/>
                  <w:vAlign w:val="center"/>
                </w:tcPr>
                <w:p w14:paraId="3C3144EC">
                  <w:pPr>
                    <w:pStyle w:val="65"/>
                    <w:rPr>
                      <w:color w:val="auto"/>
                    </w:rPr>
                  </w:pPr>
                  <w:r>
                    <w:rPr>
                      <w:rFonts w:hint="eastAsia"/>
                      <w:color w:val="auto"/>
                    </w:rPr>
                    <w:t>施工期C20混凝土排水边沟减少25271m³，增加1座4.5m</w:t>
                  </w:r>
                  <w:r>
                    <w:rPr>
                      <w:rFonts w:hint="eastAsia"/>
                      <w:color w:val="auto"/>
                      <w:vertAlign w:val="superscript"/>
                    </w:rPr>
                    <w:t>3</w:t>
                  </w:r>
                  <w:r>
                    <w:rPr>
                      <w:rFonts w:hint="eastAsia"/>
                      <w:color w:val="auto"/>
                    </w:rPr>
                    <w:t>的临时沉淀池</w:t>
                  </w:r>
                </w:p>
              </w:tc>
            </w:tr>
            <w:tr w14:paraId="6152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61FB32EB">
                  <w:pPr>
                    <w:pStyle w:val="65"/>
                    <w:rPr>
                      <w:color w:val="auto"/>
                    </w:rPr>
                  </w:pPr>
                </w:p>
              </w:tc>
              <w:tc>
                <w:tcPr>
                  <w:tcW w:w="280" w:type="pct"/>
                  <w:vMerge w:val="continue"/>
                  <w:vAlign w:val="center"/>
                </w:tcPr>
                <w:p w14:paraId="7CDD4B04">
                  <w:pPr>
                    <w:pStyle w:val="65"/>
                    <w:rPr>
                      <w:color w:val="auto"/>
                    </w:rPr>
                  </w:pPr>
                </w:p>
              </w:tc>
              <w:tc>
                <w:tcPr>
                  <w:tcW w:w="280" w:type="pct"/>
                  <w:vAlign w:val="center"/>
                </w:tcPr>
                <w:p w14:paraId="5093DD00">
                  <w:pPr>
                    <w:pStyle w:val="65"/>
                    <w:rPr>
                      <w:color w:val="auto"/>
                    </w:rPr>
                  </w:pPr>
                  <w:r>
                    <w:rPr>
                      <w:rFonts w:hint="eastAsia"/>
                      <w:color w:val="auto"/>
                    </w:rPr>
                    <w:t>运营期</w:t>
                  </w:r>
                </w:p>
              </w:tc>
              <w:tc>
                <w:tcPr>
                  <w:tcW w:w="1984" w:type="pct"/>
                  <w:vAlign w:val="center"/>
                </w:tcPr>
                <w:p w14:paraId="52F86BB5">
                  <w:pPr>
                    <w:pStyle w:val="65"/>
                    <w:jc w:val="both"/>
                    <w:rPr>
                      <w:color w:val="auto"/>
                    </w:rPr>
                  </w:pPr>
                  <w:r>
                    <w:rPr>
                      <w:rFonts w:hint="eastAsia"/>
                      <w:color w:val="auto"/>
                    </w:rPr>
                    <w:t>本项目不新增劳动定员，运维人员依托德安光伏发电项目，运维人员在德安升压站内吃住，生活污水依托德安升压站内一体化污水处理站处理达到《城市污水再生利用-城市杂用水水质》（GB/T 18920-2020）中绿化标准后用于站内植被绿化。</w:t>
                  </w:r>
                </w:p>
                <w:p w14:paraId="53922F47">
                  <w:pPr>
                    <w:pStyle w:val="65"/>
                    <w:jc w:val="both"/>
                    <w:rPr>
                      <w:color w:val="auto"/>
                    </w:rPr>
                  </w:pPr>
                  <w:r>
                    <w:rPr>
                      <w:rFonts w:hint="eastAsia"/>
                      <w:color w:val="auto"/>
                    </w:rPr>
                    <w:t>光伏组件清洗废水通过光伏组件落入场地土壤中，用于光伏场区植被绿化。</w:t>
                  </w:r>
                </w:p>
              </w:tc>
              <w:tc>
                <w:tcPr>
                  <w:tcW w:w="1582" w:type="pct"/>
                  <w:vAlign w:val="center"/>
                </w:tcPr>
                <w:p w14:paraId="1942154C">
                  <w:pPr>
                    <w:pStyle w:val="65"/>
                    <w:jc w:val="both"/>
                    <w:rPr>
                      <w:color w:val="auto"/>
                    </w:rPr>
                  </w:pPr>
                  <w:r>
                    <w:rPr>
                      <w:rFonts w:hint="eastAsia"/>
                      <w:color w:val="auto"/>
                    </w:rPr>
                    <w:t>本项目不新增劳动定员，运维人员依托德安光伏发电项目，运维人员在德安升压站内吃住，生活污水依托德安升压站内一体化污水处理站处理达到《城市污水再生利用-城市杂用水水质》（GB/T 18920-2021）中绿化标准后用于站内植被绿化。</w:t>
                  </w:r>
                </w:p>
                <w:p w14:paraId="0A5C4C89">
                  <w:pPr>
                    <w:pStyle w:val="65"/>
                    <w:jc w:val="both"/>
                    <w:rPr>
                      <w:color w:val="auto"/>
                    </w:rPr>
                  </w:pPr>
                  <w:r>
                    <w:rPr>
                      <w:rFonts w:hint="eastAsia"/>
                      <w:color w:val="auto"/>
                    </w:rPr>
                    <w:t>光伏组件清洗废水通过光伏组件落入场地土壤中，用于光伏场区植被绿化。</w:t>
                  </w:r>
                </w:p>
              </w:tc>
              <w:tc>
                <w:tcPr>
                  <w:tcW w:w="594" w:type="pct"/>
                  <w:vAlign w:val="center"/>
                </w:tcPr>
                <w:p w14:paraId="11F0E376">
                  <w:pPr>
                    <w:pStyle w:val="65"/>
                    <w:rPr>
                      <w:color w:val="auto"/>
                    </w:rPr>
                  </w:pPr>
                  <w:r>
                    <w:rPr>
                      <w:rFonts w:hint="eastAsia"/>
                      <w:color w:val="auto"/>
                    </w:rPr>
                    <w:t>一致</w:t>
                  </w:r>
                </w:p>
              </w:tc>
            </w:tr>
            <w:tr w14:paraId="652C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44AD7C84">
                  <w:pPr>
                    <w:pStyle w:val="65"/>
                    <w:rPr>
                      <w:color w:val="auto"/>
                    </w:rPr>
                  </w:pPr>
                </w:p>
              </w:tc>
              <w:tc>
                <w:tcPr>
                  <w:tcW w:w="280" w:type="pct"/>
                  <w:vAlign w:val="center"/>
                </w:tcPr>
                <w:p w14:paraId="4E8EB8E2">
                  <w:pPr>
                    <w:pStyle w:val="65"/>
                    <w:rPr>
                      <w:color w:val="auto"/>
                    </w:rPr>
                  </w:pPr>
                  <w:r>
                    <w:rPr>
                      <w:rFonts w:hint="eastAsia"/>
                      <w:color w:val="auto"/>
                    </w:rPr>
                    <w:t>废气</w:t>
                  </w:r>
                </w:p>
              </w:tc>
              <w:tc>
                <w:tcPr>
                  <w:tcW w:w="280" w:type="pct"/>
                  <w:vAlign w:val="center"/>
                </w:tcPr>
                <w:p w14:paraId="54578347">
                  <w:pPr>
                    <w:pStyle w:val="65"/>
                    <w:rPr>
                      <w:color w:val="auto"/>
                    </w:rPr>
                  </w:pPr>
                  <w:r>
                    <w:rPr>
                      <w:rFonts w:hint="eastAsia"/>
                      <w:color w:val="auto"/>
                    </w:rPr>
                    <w:t>施工期</w:t>
                  </w:r>
                </w:p>
              </w:tc>
              <w:tc>
                <w:tcPr>
                  <w:tcW w:w="1984" w:type="pct"/>
                  <w:vAlign w:val="center"/>
                </w:tcPr>
                <w:p w14:paraId="3C541814">
                  <w:pPr>
                    <w:pStyle w:val="65"/>
                    <w:jc w:val="both"/>
                    <w:rPr>
                      <w:color w:val="auto"/>
                    </w:rPr>
                  </w:pPr>
                  <w:r>
                    <w:rPr>
                      <w:rFonts w:hint="eastAsia"/>
                      <w:color w:val="auto"/>
                    </w:rPr>
                    <w:t>施工场地面向村庄一侧设置不低于1.8m的临时围挡，采取洒水降尘措施，用土工布覆盖易产尘材料和临时堆放的土方，土石方及时回填压实。</w:t>
                  </w:r>
                </w:p>
              </w:tc>
              <w:tc>
                <w:tcPr>
                  <w:tcW w:w="1582" w:type="pct"/>
                  <w:vAlign w:val="center"/>
                </w:tcPr>
                <w:p w14:paraId="012C9694">
                  <w:pPr>
                    <w:pStyle w:val="65"/>
                    <w:jc w:val="both"/>
                    <w:rPr>
                      <w:color w:val="auto"/>
                    </w:rPr>
                  </w:pPr>
                  <w:r>
                    <w:rPr>
                      <w:rFonts w:hint="eastAsia"/>
                      <w:color w:val="auto"/>
                    </w:rPr>
                    <w:t>施工场地面向村庄一侧设置不低于</w:t>
                  </w:r>
                  <w:r>
                    <w:rPr>
                      <w:rFonts w:cs="Times New Roman"/>
                      <w:color w:val="auto"/>
                    </w:rPr>
                    <w:t>1.8m</w:t>
                  </w:r>
                  <w:r>
                    <w:rPr>
                      <w:rFonts w:hint="eastAsia"/>
                      <w:color w:val="auto"/>
                    </w:rPr>
                    <w:t>的临时围挡，采取洒水降尘措施，用土工布覆盖易产尘材料和临时堆放的土方，土石方及时回填压实。</w:t>
                  </w:r>
                </w:p>
              </w:tc>
              <w:tc>
                <w:tcPr>
                  <w:tcW w:w="594" w:type="pct"/>
                  <w:vAlign w:val="center"/>
                </w:tcPr>
                <w:p w14:paraId="2699610B">
                  <w:pPr>
                    <w:pStyle w:val="65"/>
                    <w:rPr>
                      <w:color w:val="auto"/>
                    </w:rPr>
                  </w:pPr>
                  <w:r>
                    <w:rPr>
                      <w:rFonts w:hint="eastAsia"/>
                      <w:color w:val="auto"/>
                    </w:rPr>
                    <w:t>一致</w:t>
                  </w:r>
                </w:p>
              </w:tc>
            </w:tr>
            <w:tr w14:paraId="51D3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7B6D136D">
                  <w:pPr>
                    <w:pStyle w:val="65"/>
                    <w:rPr>
                      <w:color w:val="auto"/>
                    </w:rPr>
                  </w:pPr>
                </w:p>
              </w:tc>
              <w:tc>
                <w:tcPr>
                  <w:tcW w:w="280" w:type="pct"/>
                  <w:vMerge w:val="restart"/>
                  <w:vAlign w:val="center"/>
                </w:tcPr>
                <w:p w14:paraId="228F48DE">
                  <w:pPr>
                    <w:pStyle w:val="65"/>
                    <w:rPr>
                      <w:color w:val="auto"/>
                    </w:rPr>
                  </w:pPr>
                  <w:r>
                    <w:rPr>
                      <w:rFonts w:hint="eastAsia"/>
                      <w:color w:val="auto"/>
                    </w:rPr>
                    <w:t>噪声</w:t>
                  </w:r>
                </w:p>
              </w:tc>
              <w:tc>
                <w:tcPr>
                  <w:tcW w:w="280" w:type="pct"/>
                  <w:vAlign w:val="center"/>
                </w:tcPr>
                <w:p w14:paraId="6DEB2152">
                  <w:pPr>
                    <w:pStyle w:val="65"/>
                    <w:rPr>
                      <w:color w:val="auto"/>
                    </w:rPr>
                  </w:pPr>
                  <w:r>
                    <w:rPr>
                      <w:rFonts w:hint="eastAsia"/>
                      <w:color w:val="auto"/>
                    </w:rPr>
                    <w:t>施工期</w:t>
                  </w:r>
                </w:p>
              </w:tc>
              <w:tc>
                <w:tcPr>
                  <w:tcW w:w="1984" w:type="pct"/>
                  <w:vAlign w:val="center"/>
                </w:tcPr>
                <w:p w14:paraId="706A3B3A">
                  <w:pPr>
                    <w:pStyle w:val="65"/>
                    <w:jc w:val="both"/>
                    <w:rPr>
                      <w:color w:val="auto"/>
                    </w:rPr>
                  </w:pPr>
                  <w:r>
                    <w:rPr>
                      <w:rFonts w:hint="eastAsia"/>
                      <w:color w:val="auto"/>
                    </w:rPr>
                    <w:t>施工期选用低噪声设备；施工期合理安排施工计划、施工机械设备组合以及施工时间。</w:t>
                  </w:r>
                </w:p>
              </w:tc>
              <w:tc>
                <w:tcPr>
                  <w:tcW w:w="1582" w:type="pct"/>
                  <w:vAlign w:val="center"/>
                </w:tcPr>
                <w:p w14:paraId="366F0466">
                  <w:pPr>
                    <w:pStyle w:val="65"/>
                    <w:jc w:val="both"/>
                    <w:rPr>
                      <w:color w:val="auto"/>
                    </w:rPr>
                  </w:pPr>
                  <w:r>
                    <w:rPr>
                      <w:rFonts w:hint="eastAsia"/>
                      <w:color w:val="auto"/>
                    </w:rPr>
                    <w:t>合理安排施工时间，禁止同时进行桩基础施工，合理布置施工现场，高噪声设备远离居民点；运输车辆经过居民点时，采取减速行驶、减少鸣笛等降噪措施。</w:t>
                  </w:r>
                </w:p>
              </w:tc>
              <w:tc>
                <w:tcPr>
                  <w:tcW w:w="594" w:type="pct"/>
                  <w:vAlign w:val="center"/>
                </w:tcPr>
                <w:p w14:paraId="5C089F49">
                  <w:pPr>
                    <w:pStyle w:val="65"/>
                    <w:rPr>
                      <w:color w:val="auto"/>
                    </w:rPr>
                  </w:pPr>
                  <w:r>
                    <w:rPr>
                      <w:rFonts w:hint="eastAsia"/>
                      <w:color w:val="auto"/>
                    </w:rPr>
                    <w:t>一致</w:t>
                  </w:r>
                </w:p>
              </w:tc>
            </w:tr>
            <w:tr w14:paraId="6804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3CA36B6E">
                  <w:pPr>
                    <w:pStyle w:val="65"/>
                    <w:rPr>
                      <w:color w:val="auto"/>
                    </w:rPr>
                  </w:pPr>
                </w:p>
              </w:tc>
              <w:tc>
                <w:tcPr>
                  <w:tcW w:w="280" w:type="pct"/>
                  <w:vMerge w:val="continue"/>
                  <w:vAlign w:val="center"/>
                </w:tcPr>
                <w:p w14:paraId="645D2CC8">
                  <w:pPr>
                    <w:pStyle w:val="65"/>
                    <w:rPr>
                      <w:color w:val="auto"/>
                    </w:rPr>
                  </w:pPr>
                </w:p>
              </w:tc>
              <w:tc>
                <w:tcPr>
                  <w:tcW w:w="280" w:type="pct"/>
                  <w:vAlign w:val="center"/>
                </w:tcPr>
                <w:p w14:paraId="658BDBFB">
                  <w:pPr>
                    <w:pStyle w:val="65"/>
                    <w:rPr>
                      <w:color w:val="auto"/>
                    </w:rPr>
                  </w:pPr>
                  <w:r>
                    <w:rPr>
                      <w:rFonts w:hint="eastAsia"/>
                      <w:color w:val="auto"/>
                    </w:rPr>
                    <w:t>运营期</w:t>
                  </w:r>
                </w:p>
              </w:tc>
              <w:tc>
                <w:tcPr>
                  <w:tcW w:w="1984" w:type="pct"/>
                  <w:vAlign w:val="center"/>
                </w:tcPr>
                <w:p w14:paraId="41831888">
                  <w:pPr>
                    <w:pStyle w:val="65"/>
                    <w:jc w:val="both"/>
                    <w:rPr>
                      <w:color w:val="auto"/>
                    </w:rPr>
                  </w:pPr>
                  <w:r>
                    <w:rPr>
                      <w:rFonts w:hint="eastAsia"/>
                      <w:color w:val="auto"/>
                    </w:rPr>
                    <w:t>运营期</w:t>
                  </w:r>
                  <w:r>
                    <w:rPr>
                      <w:rFonts w:cs="Times New Roman"/>
                      <w:color w:val="auto"/>
                    </w:rPr>
                    <w:t>35kV</w:t>
                  </w:r>
                  <w:r>
                    <w:rPr>
                      <w:rFonts w:hint="eastAsia"/>
                      <w:color w:val="auto"/>
                    </w:rPr>
                    <w:t>箱式变压器、逆变器选用低噪声类型设备，均设置外壳隔声；设备底部基础安装减振垫。</w:t>
                  </w:r>
                </w:p>
              </w:tc>
              <w:tc>
                <w:tcPr>
                  <w:tcW w:w="1582" w:type="pct"/>
                  <w:vAlign w:val="center"/>
                </w:tcPr>
                <w:p w14:paraId="5D50E5E8">
                  <w:pPr>
                    <w:pStyle w:val="65"/>
                    <w:jc w:val="both"/>
                    <w:rPr>
                      <w:color w:val="auto"/>
                    </w:rPr>
                  </w:pPr>
                  <w:r>
                    <w:rPr>
                      <w:rFonts w:hint="eastAsia"/>
                      <w:color w:val="auto"/>
                    </w:rPr>
                    <w:t>运营期箱式变压器、逆变器选用低噪声类型设备，均设置外壳隔声；设备底部基础安装减振垫。</w:t>
                  </w:r>
                </w:p>
              </w:tc>
              <w:tc>
                <w:tcPr>
                  <w:tcW w:w="594" w:type="pct"/>
                  <w:vAlign w:val="center"/>
                </w:tcPr>
                <w:p w14:paraId="0390E095">
                  <w:pPr>
                    <w:pStyle w:val="65"/>
                    <w:rPr>
                      <w:color w:val="auto"/>
                    </w:rPr>
                  </w:pPr>
                  <w:r>
                    <w:rPr>
                      <w:rFonts w:hint="eastAsia"/>
                      <w:color w:val="auto"/>
                    </w:rPr>
                    <w:t>一致</w:t>
                  </w:r>
                </w:p>
              </w:tc>
            </w:tr>
            <w:tr w14:paraId="2E70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0CA86FBE">
                  <w:pPr>
                    <w:pStyle w:val="65"/>
                    <w:rPr>
                      <w:color w:val="auto"/>
                    </w:rPr>
                  </w:pPr>
                </w:p>
              </w:tc>
              <w:tc>
                <w:tcPr>
                  <w:tcW w:w="280" w:type="pct"/>
                  <w:vMerge w:val="restart"/>
                  <w:vAlign w:val="center"/>
                </w:tcPr>
                <w:p w14:paraId="34D37E74">
                  <w:pPr>
                    <w:pStyle w:val="65"/>
                    <w:rPr>
                      <w:color w:val="auto"/>
                    </w:rPr>
                  </w:pPr>
                  <w:r>
                    <w:rPr>
                      <w:rFonts w:hint="eastAsia"/>
                      <w:color w:val="auto"/>
                    </w:rPr>
                    <w:t>固体废物</w:t>
                  </w:r>
                </w:p>
              </w:tc>
              <w:tc>
                <w:tcPr>
                  <w:tcW w:w="280" w:type="pct"/>
                  <w:vMerge w:val="restart"/>
                  <w:vAlign w:val="center"/>
                </w:tcPr>
                <w:p w14:paraId="30A6E4FC">
                  <w:pPr>
                    <w:pStyle w:val="65"/>
                    <w:rPr>
                      <w:color w:val="auto"/>
                    </w:rPr>
                  </w:pPr>
                  <w:r>
                    <w:rPr>
                      <w:rFonts w:hint="eastAsia"/>
                      <w:color w:val="auto"/>
                    </w:rPr>
                    <w:t>施工期</w:t>
                  </w:r>
                </w:p>
              </w:tc>
              <w:tc>
                <w:tcPr>
                  <w:tcW w:w="1984" w:type="pct"/>
                  <w:vAlign w:val="center"/>
                </w:tcPr>
                <w:p w14:paraId="0DAB5DE8">
                  <w:pPr>
                    <w:pStyle w:val="65"/>
                    <w:jc w:val="both"/>
                    <w:rPr>
                      <w:color w:val="auto"/>
                    </w:rPr>
                  </w:pPr>
                  <w:r>
                    <w:rPr>
                      <w:rFonts w:hint="eastAsia"/>
                      <w:color w:val="auto"/>
                    </w:rPr>
                    <w:t>生活垃圾：光伏场区施工人员临时居住、办公等场地均采用租用民房解决，施工过程产生的生活垃圾收集后下班由专人带回村子，依托当地民房自有垃圾清运系统，交由就近环卫站统一清运处理。</w:t>
                  </w:r>
                </w:p>
              </w:tc>
              <w:tc>
                <w:tcPr>
                  <w:tcW w:w="1582" w:type="pct"/>
                  <w:vAlign w:val="center"/>
                </w:tcPr>
                <w:p w14:paraId="2C801F09">
                  <w:pPr>
                    <w:pStyle w:val="65"/>
                    <w:jc w:val="both"/>
                    <w:rPr>
                      <w:color w:val="auto"/>
                    </w:rPr>
                  </w:pPr>
                  <w:r>
                    <w:rPr>
                      <w:rFonts w:hint="eastAsia"/>
                      <w:color w:val="auto"/>
                    </w:rPr>
                    <w:t>生活垃圾：光伏场区施工人员临时居住、办公等场地均采用租用民房解决，施工过程中产生的生活垃圾清运至周边村庄生活垃圾收集点统一处置。</w:t>
                  </w:r>
                </w:p>
              </w:tc>
              <w:tc>
                <w:tcPr>
                  <w:tcW w:w="594" w:type="pct"/>
                  <w:vAlign w:val="center"/>
                </w:tcPr>
                <w:p w14:paraId="4A3355D1">
                  <w:pPr>
                    <w:pStyle w:val="65"/>
                    <w:rPr>
                      <w:color w:val="auto"/>
                    </w:rPr>
                  </w:pPr>
                  <w:r>
                    <w:rPr>
                      <w:rFonts w:hint="eastAsia"/>
                      <w:color w:val="auto"/>
                    </w:rPr>
                    <w:t>一致</w:t>
                  </w:r>
                </w:p>
              </w:tc>
            </w:tr>
            <w:tr w14:paraId="33EE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1C392648">
                  <w:pPr>
                    <w:pStyle w:val="65"/>
                    <w:rPr>
                      <w:color w:val="auto"/>
                    </w:rPr>
                  </w:pPr>
                </w:p>
              </w:tc>
              <w:tc>
                <w:tcPr>
                  <w:tcW w:w="280" w:type="pct"/>
                  <w:vMerge w:val="continue"/>
                  <w:vAlign w:val="center"/>
                </w:tcPr>
                <w:p w14:paraId="577E5F30">
                  <w:pPr>
                    <w:pStyle w:val="65"/>
                    <w:rPr>
                      <w:color w:val="auto"/>
                    </w:rPr>
                  </w:pPr>
                </w:p>
              </w:tc>
              <w:tc>
                <w:tcPr>
                  <w:tcW w:w="280" w:type="pct"/>
                  <w:vMerge w:val="continue"/>
                  <w:vAlign w:val="center"/>
                </w:tcPr>
                <w:p w14:paraId="261695C5">
                  <w:pPr>
                    <w:pStyle w:val="65"/>
                    <w:rPr>
                      <w:color w:val="auto"/>
                    </w:rPr>
                  </w:pPr>
                </w:p>
              </w:tc>
              <w:tc>
                <w:tcPr>
                  <w:tcW w:w="1984" w:type="pct"/>
                  <w:vAlign w:val="center"/>
                </w:tcPr>
                <w:p w14:paraId="4B7C7E88">
                  <w:pPr>
                    <w:pStyle w:val="65"/>
                    <w:jc w:val="both"/>
                    <w:rPr>
                      <w:color w:val="auto"/>
                    </w:rPr>
                  </w:pPr>
                  <w:r>
                    <w:rPr>
                      <w:rFonts w:hint="eastAsia"/>
                      <w:color w:val="auto"/>
                    </w:rPr>
                    <w:t>建筑垃圾：建筑垃圾优先回收利用，利用不完的由建筑垃圾处置单位运输至主管部门规定地点进行处置。</w:t>
                  </w:r>
                </w:p>
              </w:tc>
              <w:tc>
                <w:tcPr>
                  <w:tcW w:w="1582" w:type="pct"/>
                  <w:vAlign w:val="center"/>
                </w:tcPr>
                <w:p w14:paraId="1619CF44">
                  <w:pPr>
                    <w:pStyle w:val="65"/>
                    <w:jc w:val="both"/>
                    <w:rPr>
                      <w:color w:val="auto"/>
                    </w:rPr>
                  </w:pPr>
                  <w:r>
                    <w:rPr>
                      <w:rFonts w:hint="eastAsia"/>
                      <w:color w:val="auto"/>
                    </w:rPr>
                    <w:t>建筑垃圾：建筑垃圾分类收集，优先回收利用，无法利用的清运至主管部门指定的建筑垃圾处理点处置。</w:t>
                  </w:r>
                </w:p>
              </w:tc>
              <w:tc>
                <w:tcPr>
                  <w:tcW w:w="594" w:type="pct"/>
                  <w:vAlign w:val="center"/>
                </w:tcPr>
                <w:p w14:paraId="77312890">
                  <w:pPr>
                    <w:pStyle w:val="65"/>
                    <w:rPr>
                      <w:color w:val="auto"/>
                    </w:rPr>
                  </w:pPr>
                  <w:r>
                    <w:rPr>
                      <w:rFonts w:hint="eastAsia"/>
                      <w:color w:val="auto"/>
                    </w:rPr>
                    <w:t>一致</w:t>
                  </w:r>
                </w:p>
              </w:tc>
            </w:tr>
            <w:tr w14:paraId="41F9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4E1124FF">
                  <w:pPr>
                    <w:pStyle w:val="65"/>
                    <w:rPr>
                      <w:color w:val="auto"/>
                    </w:rPr>
                  </w:pPr>
                </w:p>
              </w:tc>
              <w:tc>
                <w:tcPr>
                  <w:tcW w:w="280" w:type="pct"/>
                  <w:vMerge w:val="continue"/>
                  <w:vAlign w:val="center"/>
                </w:tcPr>
                <w:p w14:paraId="02C52AD9">
                  <w:pPr>
                    <w:pStyle w:val="65"/>
                    <w:rPr>
                      <w:color w:val="auto"/>
                    </w:rPr>
                  </w:pPr>
                </w:p>
              </w:tc>
              <w:tc>
                <w:tcPr>
                  <w:tcW w:w="280" w:type="pct"/>
                  <w:vAlign w:val="center"/>
                </w:tcPr>
                <w:p w14:paraId="610982FF">
                  <w:pPr>
                    <w:pStyle w:val="65"/>
                    <w:rPr>
                      <w:color w:val="auto"/>
                    </w:rPr>
                  </w:pPr>
                  <w:r>
                    <w:rPr>
                      <w:rFonts w:hint="eastAsia"/>
                      <w:color w:val="auto"/>
                    </w:rPr>
                    <w:t>运营期</w:t>
                  </w:r>
                </w:p>
              </w:tc>
              <w:tc>
                <w:tcPr>
                  <w:tcW w:w="1984" w:type="pct"/>
                  <w:vAlign w:val="center"/>
                </w:tcPr>
                <w:p w14:paraId="78E2F126">
                  <w:pPr>
                    <w:pStyle w:val="65"/>
                    <w:jc w:val="both"/>
                    <w:rPr>
                      <w:color w:val="auto"/>
                    </w:rPr>
                  </w:pPr>
                  <w:r>
                    <w:rPr>
                      <w:rFonts w:hint="eastAsia"/>
                      <w:color w:val="auto"/>
                    </w:rPr>
                    <w:t>本项目不设置危废贮存库，所产生的危险废物贮存于220kV德安项目升压站。德安升压站危废贮存库规模为36m</w:t>
                  </w:r>
                  <w:r>
                    <w:rPr>
                      <w:rFonts w:hint="eastAsia"/>
                      <w:color w:val="auto"/>
                      <w:vertAlign w:val="superscript"/>
                    </w:rPr>
                    <w:t>2</w:t>
                  </w:r>
                  <w:r>
                    <w:rPr>
                      <w:rFonts w:hint="eastAsia"/>
                      <w:color w:val="auto"/>
                    </w:rPr>
                    <w:t>，已考虑本项目所产生的危废贮存。</w:t>
                  </w:r>
                </w:p>
                <w:p w14:paraId="44F36B5F">
                  <w:pPr>
                    <w:pStyle w:val="65"/>
                    <w:jc w:val="both"/>
                    <w:rPr>
                      <w:color w:val="auto"/>
                    </w:rPr>
                  </w:pPr>
                  <w:r>
                    <w:rPr>
                      <w:rFonts w:hint="eastAsia"/>
                      <w:color w:val="auto"/>
                    </w:rPr>
                    <w:t>本项目不设置一般固废储存间，所产生的一般固废贮存于220kV德安项目升压站。德安升压站一般固废储存间规模为54m</w:t>
                  </w:r>
                  <w:r>
                    <w:rPr>
                      <w:rFonts w:hint="eastAsia"/>
                      <w:color w:val="auto"/>
                      <w:vertAlign w:val="superscript"/>
                    </w:rPr>
                    <w:t>2</w:t>
                  </w:r>
                  <w:r>
                    <w:rPr>
                      <w:rFonts w:hint="eastAsia"/>
                      <w:color w:val="auto"/>
                    </w:rPr>
                    <w:t>，已考虑本项目所产生的危废贮存。</w:t>
                  </w:r>
                </w:p>
              </w:tc>
              <w:tc>
                <w:tcPr>
                  <w:tcW w:w="1582" w:type="pct"/>
                  <w:vAlign w:val="center"/>
                </w:tcPr>
                <w:p w14:paraId="496AFA39">
                  <w:pPr>
                    <w:pStyle w:val="65"/>
                    <w:jc w:val="both"/>
                    <w:rPr>
                      <w:color w:val="auto"/>
                    </w:rPr>
                  </w:pPr>
                  <w:r>
                    <w:rPr>
                      <w:rFonts w:hint="eastAsia"/>
                      <w:color w:val="auto"/>
                    </w:rPr>
                    <w:t>危险废物依托德安升压站设置的危险废物贮存库（</w:t>
                  </w:r>
                  <w:r>
                    <w:rPr>
                      <w:rFonts w:cs="Times New Roman"/>
                      <w:color w:val="auto"/>
                    </w:rPr>
                    <w:t>36m</w:t>
                  </w:r>
                  <w:r>
                    <w:rPr>
                      <w:rFonts w:cs="Times New Roman"/>
                      <w:color w:val="auto"/>
                      <w:vertAlign w:val="superscript"/>
                    </w:rPr>
                    <w:t>2</w:t>
                  </w:r>
                  <w:r>
                    <w:rPr>
                      <w:rFonts w:hint="eastAsia"/>
                      <w:color w:val="auto"/>
                    </w:rPr>
                    <w:t>）贮存，定期委托有资质单位处置；一般固体废物依托德安升压站设置的一般固体废物暂存间（</w:t>
                  </w:r>
                  <w:r>
                    <w:rPr>
                      <w:rFonts w:cs="Times New Roman"/>
                      <w:color w:val="auto"/>
                    </w:rPr>
                    <w:t>54m</w:t>
                  </w:r>
                  <w:r>
                    <w:rPr>
                      <w:rFonts w:cs="Times New Roman"/>
                      <w:color w:val="auto"/>
                      <w:vertAlign w:val="superscript"/>
                    </w:rPr>
                    <w:t>2</w:t>
                  </w:r>
                  <w:r>
                    <w:rPr>
                      <w:rFonts w:hint="eastAsia"/>
                      <w:color w:val="auto"/>
                    </w:rPr>
                    <w:t>）贮存后由厂家回收处置。</w:t>
                  </w:r>
                </w:p>
              </w:tc>
              <w:tc>
                <w:tcPr>
                  <w:tcW w:w="594" w:type="pct"/>
                  <w:vAlign w:val="center"/>
                </w:tcPr>
                <w:p w14:paraId="280E26F6">
                  <w:pPr>
                    <w:pStyle w:val="65"/>
                    <w:rPr>
                      <w:color w:val="auto"/>
                    </w:rPr>
                  </w:pPr>
                  <w:r>
                    <w:rPr>
                      <w:rFonts w:hint="eastAsia"/>
                      <w:color w:val="auto"/>
                    </w:rPr>
                    <w:t>一致</w:t>
                  </w:r>
                </w:p>
              </w:tc>
            </w:tr>
            <w:tr w14:paraId="3B33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1C80B38A">
                  <w:pPr>
                    <w:pStyle w:val="65"/>
                    <w:rPr>
                      <w:color w:val="auto"/>
                    </w:rPr>
                  </w:pPr>
                </w:p>
              </w:tc>
              <w:tc>
                <w:tcPr>
                  <w:tcW w:w="559" w:type="pct"/>
                  <w:gridSpan w:val="2"/>
                  <w:vAlign w:val="center"/>
                </w:tcPr>
                <w:p w14:paraId="1074822A">
                  <w:pPr>
                    <w:pStyle w:val="65"/>
                    <w:rPr>
                      <w:color w:val="auto"/>
                    </w:rPr>
                  </w:pPr>
                  <w:r>
                    <w:rPr>
                      <w:rFonts w:hint="eastAsia"/>
                      <w:color w:val="auto"/>
                    </w:rPr>
                    <w:t>防渗工程</w:t>
                  </w:r>
                </w:p>
              </w:tc>
              <w:tc>
                <w:tcPr>
                  <w:tcW w:w="1984" w:type="pct"/>
                  <w:vAlign w:val="center"/>
                </w:tcPr>
                <w:p w14:paraId="60B22E3E">
                  <w:pPr>
                    <w:pStyle w:val="65"/>
                    <w:jc w:val="both"/>
                    <w:rPr>
                      <w:color w:val="auto"/>
                    </w:rPr>
                  </w:pPr>
                  <w:r>
                    <w:rPr>
                      <w:rFonts w:hint="eastAsia"/>
                      <w:color w:val="auto"/>
                    </w:rPr>
                    <w:t>箱变事故油池为重点防渗区，按照《危险废物贮存污染控制标准》（GB18597-2023）采取防渗措施，防渗能力满足“防渗层为至少1m厚黏土层（渗透系数不大于10</w:t>
                  </w:r>
                  <w:r>
                    <w:rPr>
                      <w:rFonts w:hint="eastAsia"/>
                      <w:color w:val="auto"/>
                      <w:vertAlign w:val="superscript"/>
                    </w:rPr>
                    <w:t>-7</w:t>
                  </w:r>
                  <w:r>
                    <w:rPr>
                      <w:rFonts w:hint="eastAsia"/>
                      <w:color w:val="auto"/>
                    </w:rPr>
                    <w:t>cm/s），或至少2mm厚高密度聚乙烯膜等人工防渗材料（渗透系数不大于10</w:t>
                  </w:r>
                  <w:r>
                    <w:rPr>
                      <w:rFonts w:hint="eastAsia"/>
                      <w:color w:val="auto"/>
                      <w:vertAlign w:val="superscript"/>
                    </w:rPr>
                    <w:t>-10</w:t>
                  </w:r>
                  <w:r>
                    <w:rPr>
                      <w:rFonts w:hint="eastAsia"/>
                      <w:color w:val="auto"/>
                    </w:rPr>
                    <w:t>cm/s），或其他防渗性能等效的材料”的要求。</w:t>
                  </w:r>
                </w:p>
              </w:tc>
              <w:tc>
                <w:tcPr>
                  <w:tcW w:w="1582" w:type="pct"/>
                  <w:vAlign w:val="center"/>
                </w:tcPr>
                <w:p w14:paraId="2EA4E813">
                  <w:pPr>
                    <w:pStyle w:val="65"/>
                    <w:jc w:val="both"/>
                    <w:rPr>
                      <w:color w:val="auto"/>
                    </w:rPr>
                  </w:pPr>
                  <w:r>
                    <w:rPr>
                      <w:rFonts w:hint="eastAsia"/>
                      <w:color w:val="auto"/>
                    </w:rPr>
                    <w:t>箱变事故油池为重点防渗区，按照《危险废物贮存污染控制标准》（</w:t>
                  </w:r>
                  <w:r>
                    <w:rPr>
                      <w:rFonts w:cs="Times New Roman"/>
                      <w:color w:val="auto"/>
                    </w:rPr>
                    <w:t>GB18597-2023</w:t>
                  </w:r>
                  <w:r>
                    <w:rPr>
                      <w:rFonts w:hint="eastAsia"/>
                      <w:color w:val="auto"/>
                    </w:rPr>
                    <w:t>）采取防渗措施，防渗能力满足“防渗层为至少</w:t>
                  </w:r>
                  <w:r>
                    <w:rPr>
                      <w:rFonts w:cs="Times New Roman"/>
                      <w:color w:val="auto"/>
                    </w:rPr>
                    <w:t>1m</w:t>
                  </w:r>
                  <w:r>
                    <w:rPr>
                      <w:rFonts w:hint="eastAsia"/>
                      <w:color w:val="auto"/>
                    </w:rPr>
                    <w:t>厚黏土层（渗透系数不大于</w:t>
                  </w:r>
                  <w:r>
                    <w:rPr>
                      <w:rFonts w:cs="Times New Roman"/>
                      <w:color w:val="auto"/>
                    </w:rPr>
                    <w:t>10</w:t>
                  </w:r>
                  <w:r>
                    <w:rPr>
                      <w:rFonts w:cs="Times New Roman"/>
                      <w:color w:val="auto"/>
                      <w:vertAlign w:val="superscript"/>
                    </w:rPr>
                    <w:t>-7</w:t>
                  </w:r>
                  <w:r>
                    <w:rPr>
                      <w:rFonts w:cs="Times New Roman"/>
                      <w:color w:val="auto"/>
                    </w:rPr>
                    <w:t>cm/s</w:t>
                  </w:r>
                  <w:r>
                    <w:rPr>
                      <w:rFonts w:hint="eastAsia"/>
                      <w:color w:val="auto"/>
                    </w:rPr>
                    <w:t>），或至少</w:t>
                  </w:r>
                  <w:r>
                    <w:rPr>
                      <w:rFonts w:cs="Times New Roman"/>
                      <w:color w:val="auto"/>
                    </w:rPr>
                    <w:t>2mm</w:t>
                  </w:r>
                  <w:r>
                    <w:rPr>
                      <w:rFonts w:hint="eastAsia"/>
                      <w:color w:val="auto"/>
                    </w:rPr>
                    <w:t>厚高密度聚乙烯膜等人工防渗材料（渗透系数不大于</w:t>
                  </w:r>
                  <w:r>
                    <w:rPr>
                      <w:rFonts w:cs="Times New Roman"/>
                      <w:color w:val="auto"/>
                    </w:rPr>
                    <w:t>10</w:t>
                  </w:r>
                  <w:r>
                    <w:rPr>
                      <w:rFonts w:cs="Times New Roman"/>
                      <w:color w:val="auto"/>
                      <w:vertAlign w:val="superscript"/>
                    </w:rPr>
                    <w:t>-10</w:t>
                  </w:r>
                  <w:r>
                    <w:rPr>
                      <w:rFonts w:cs="Times New Roman"/>
                      <w:color w:val="auto"/>
                    </w:rPr>
                    <w:t>cm/s</w:t>
                  </w:r>
                  <w:r>
                    <w:rPr>
                      <w:rFonts w:hint="eastAsia"/>
                      <w:color w:val="auto"/>
                    </w:rPr>
                    <w:t>），或其他防渗性能等效的材料”的要求。</w:t>
                  </w:r>
                </w:p>
              </w:tc>
              <w:tc>
                <w:tcPr>
                  <w:tcW w:w="594" w:type="pct"/>
                  <w:vAlign w:val="center"/>
                </w:tcPr>
                <w:p w14:paraId="0767FBCB">
                  <w:pPr>
                    <w:pStyle w:val="65"/>
                    <w:rPr>
                      <w:color w:val="auto"/>
                    </w:rPr>
                  </w:pPr>
                  <w:r>
                    <w:rPr>
                      <w:rFonts w:hint="eastAsia"/>
                      <w:color w:val="auto"/>
                    </w:rPr>
                    <w:t>一致</w:t>
                  </w:r>
                </w:p>
              </w:tc>
            </w:tr>
            <w:tr w14:paraId="61FA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3C327C86">
                  <w:pPr>
                    <w:pStyle w:val="65"/>
                    <w:rPr>
                      <w:color w:val="auto"/>
                    </w:rPr>
                  </w:pPr>
                </w:p>
              </w:tc>
              <w:tc>
                <w:tcPr>
                  <w:tcW w:w="559" w:type="pct"/>
                  <w:gridSpan w:val="2"/>
                  <w:vAlign w:val="center"/>
                </w:tcPr>
                <w:p w14:paraId="77DFF426">
                  <w:pPr>
                    <w:pStyle w:val="65"/>
                    <w:rPr>
                      <w:color w:val="auto"/>
                    </w:rPr>
                  </w:pPr>
                  <w:r>
                    <w:rPr>
                      <w:rFonts w:hint="eastAsia"/>
                      <w:color w:val="auto"/>
                    </w:rPr>
                    <w:t>环境风险</w:t>
                  </w:r>
                </w:p>
              </w:tc>
              <w:tc>
                <w:tcPr>
                  <w:tcW w:w="1984" w:type="pct"/>
                  <w:vAlign w:val="center"/>
                </w:tcPr>
                <w:p w14:paraId="65A63CFB">
                  <w:pPr>
                    <w:pStyle w:val="65"/>
                    <w:jc w:val="both"/>
                    <w:rPr>
                      <w:color w:val="auto"/>
                    </w:rPr>
                  </w:pPr>
                  <w:r>
                    <w:rPr>
                      <w:rFonts w:hint="eastAsia"/>
                      <w:color w:val="auto"/>
                    </w:rPr>
                    <w:t>箱变事故油池靠油箱一侧设置容积为3m</w:t>
                  </w:r>
                  <w:r>
                    <w:rPr>
                      <w:rFonts w:hint="eastAsia"/>
                      <w:color w:val="auto"/>
                      <w:vertAlign w:val="superscript"/>
                    </w:rPr>
                    <w:t>3</w:t>
                  </w:r>
                  <w:r>
                    <w:rPr>
                      <w:rFonts w:hint="eastAsia"/>
                      <w:color w:val="auto"/>
                    </w:rPr>
                    <w:t>的箱变事故油池（共22个），满足事故状态下100%的排油量。</w:t>
                  </w:r>
                </w:p>
              </w:tc>
              <w:tc>
                <w:tcPr>
                  <w:tcW w:w="1582" w:type="pct"/>
                  <w:vAlign w:val="center"/>
                </w:tcPr>
                <w:p w14:paraId="357E47AB">
                  <w:pPr>
                    <w:pStyle w:val="65"/>
                    <w:jc w:val="both"/>
                    <w:rPr>
                      <w:color w:val="auto"/>
                    </w:rPr>
                  </w:pPr>
                  <w:r>
                    <w:rPr>
                      <w:rFonts w:hint="eastAsia"/>
                      <w:color w:val="auto"/>
                    </w:rPr>
                    <w:t>箱变事故油池靠油箱一侧设置容积为3m</w:t>
                  </w:r>
                  <w:r>
                    <w:rPr>
                      <w:rFonts w:hint="eastAsia"/>
                      <w:color w:val="auto"/>
                      <w:vertAlign w:val="superscript"/>
                    </w:rPr>
                    <w:t>3</w:t>
                  </w:r>
                  <w:r>
                    <w:rPr>
                      <w:rFonts w:hint="eastAsia"/>
                      <w:color w:val="auto"/>
                    </w:rPr>
                    <w:t>的箱变事故油池（共22个），满足事故状态下</w:t>
                  </w:r>
                  <w:r>
                    <w:rPr>
                      <w:rFonts w:cs="Times New Roman"/>
                      <w:color w:val="auto"/>
                    </w:rPr>
                    <w:t>100%</w:t>
                  </w:r>
                  <w:r>
                    <w:rPr>
                      <w:rFonts w:hint="eastAsia"/>
                      <w:color w:val="auto"/>
                    </w:rPr>
                    <w:t>的排油量。</w:t>
                  </w:r>
                </w:p>
              </w:tc>
              <w:tc>
                <w:tcPr>
                  <w:tcW w:w="594" w:type="pct"/>
                  <w:vAlign w:val="center"/>
                </w:tcPr>
                <w:p w14:paraId="489046D5">
                  <w:pPr>
                    <w:pStyle w:val="65"/>
                    <w:rPr>
                      <w:color w:val="auto"/>
                    </w:rPr>
                  </w:pPr>
                  <w:r>
                    <w:rPr>
                      <w:rFonts w:hint="eastAsia"/>
                      <w:color w:val="auto"/>
                    </w:rPr>
                    <w:t>一致</w:t>
                  </w:r>
                </w:p>
              </w:tc>
            </w:tr>
            <w:tr w14:paraId="0895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586EA74A">
                  <w:pPr>
                    <w:pStyle w:val="65"/>
                    <w:rPr>
                      <w:color w:val="auto"/>
                    </w:rPr>
                  </w:pPr>
                </w:p>
              </w:tc>
              <w:tc>
                <w:tcPr>
                  <w:tcW w:w="559" w:type="pct"/>
                  <w:gridSpan w:val="2"/>
                  <w:vAlign w:val="center"/>
                </w:tcPr>
                <w:p w14:paraId="2814997A">
                  <w:pPr>
                    <w:pStyle w:val="65"/>
                    <w:rPr>
                      <w:color w:val="auto"/>
                    </w:rPr>
                  </w:pPr>
                  <w:r>
                    <w:rPr>
                      <w:rFonts w:hint="eastAsia"/>
                      <w:color w:val="auto"/>
                    </w:rPr>
                    <w:t>生态环境保护措施</w:t>
                  </w:r>
                </w:p>
              </w:tc>
              <w:tc>
                <w:tcPr>
                  <w:tcW w:w="1984" w:type="pct"/>
                  <w:vAlign w:val="center"/>
                </w:tcPr>
                <w:p w14:paraId="3FBAB8EC">
                  <w:pPr>
                    <w:pStyle w:val="65"/>
                    <w:jc w:val="both"/>
                    <w:rPr>
                      <w:color w:val="auto"/>
                    </w:rPr>
                  </w:pPr>
                  <w:r>
                    <w:rPr>
                      <w:rFonts w:hint="eastAsia"/>
                      <w:color w:val="auto"/>
                    </w:rPr>
                    <w:t>根据项目可研，本项目太阳电池方阵支架采用单支柱斜顶支架方案，光伏组件最低沿离地面2.5m、桩基间列间距大于4m、行间距应大于6.5m建设，满足云南省光伏复合项目建设要求，有利于一般耕地农作物种植和灌木林生长。本项目在不更改土地性质的前提下，采用“一地两用”、“农光互补”的开发模式，场地上架设光伏组件发电，因地制宜，利用光伏组件下及间隔处的空闲土地进行种植茶叶。</w:t>
                  </w:r>
                </w:p>
                <w:p w14:paraId="784CAC18">
                  <w:pPr>
                    <w:pStyle w:val="65"/>
                    <w:jc w:val="both"/>
                    <w:rPr>
                      <w:color w:val="auto"/>
                    </w:rPr>
                  </w:pPr>
                  <w:r>
                    <w:rPr>
                      <w:rFonts w:hint="eastAsia"/>
                      <w:color w:val="auto"/>
                    </w:rPr>
                    <w:t>本项目采用光伏复合型项目开发方式，在光伏阵列占地不改变原有用地性质的前提下，在原有茶树上方架设光伏板，实施茶光互补工程。由于茶园已有道路较多，大部分依托现有道路，进场道路和光伏场区场内道路依托乡村道路，局部修缮。</w:t>
                  </w:r>
                </w:p>
                <w:p w14:paraId="39509DC2">
                  <w:pPr>
                    <w:pStyle w:val="65"/>
                    <w:jc w:val="both"/>
                    <w:rPr>
                      <w:color w:val="auto"/>
                    </w:rPr>
                  </w:pPr>
                  <w:r>
                    <w:rPr>
                      <w:rFonts w:hint="eastAsia"/>
                      <w:color w:val="auto"/>
                    </w:rPr>
                    <w:t>项目光伏阵列布设于已有茶园上方，利用天然降雨，不需要新建灌溉设施，仅在生态恢复时，补种茶树，补植过程需依靠人工运水灌溉，因此，项目在施工期结束后及服务期满后进行茶树补种、恢复，实施过程不需要建设灌溉设施。项目仅利用现有茶园进行光伏阵列的布设，项目运营期茶叶加工利用当地已有设施，不再新建茶叶加工厂。项目光伏方阵租用的茶园内茶叶收益均属于茶园种植农户，可正常对茶园进行维护管理，茶叶种植农户均来自项目周边，不在茶园设置居住用房，茶农生活污水依托村庄已有设施进行处理。具体方案在下一步设计中体现，本次仅作为环评建议提出。</w:t>
                  </w:r>
                </w:p>
              </w:tc>
              <w:tc>
                <w:tcPr>
                  <w:tcW w:w="1582" w:type="pct"/>
                  <w:vAlign w:val="center"/>
                </w:tcPr>
                <w:p w14:paraId="0B5582EA">
                  <w:pPr>
                    <w:pStyle w:val="65"/>
                    <w:jc w:val="both"/>
                    <w:rPr>
                      <w:color w:val="auto"/>
                    </w:rPr>
                  </w:pPr>
                  <w:r>
                    <w:rPr>
                      <w:color w:val="auto"/>
                    </w:rPr>
                    <w:t>在施工场地内设置动物保护警示牌，施工结束后，临时占用的园地区域，采用“农光互补”模式，在光伏组件下方种植</w:t>
                  </w:r>
                  <w:r>
                    <w:rPr>
                      <w:rFonts w:hint="eastAsia"/>
                      <w:color w:val="auto"/>
                    </w:rPr>
                    <w:t>茶树</w:t>
                  </w:r>
                  <w:r>
                    <w:rPr>
                      <w:color w:val="auto"/>
                    </w:rPr>
                    <w:t>等农作物；其他临时占地或施工扰动区域，采用草灌结合的方式，选用原生表土和乡土物种进行植被恢复。</w:t>
                  </w:r>
                </w:p>
                <w:p w14:paraId="64C0FD68">
                  <w:pPr>
                    <w:pStyle w:val="65"/>
                    <w:jc w:val="both"/>
                    <w:rPr>
                      <w:color w:val="auto"/>
                    </w:rPr>
                  </w:pPr>
                  <w:r>
                    <w:rPr>
                      <w:color w:val="auto"/>
                    </w:rPr>
                    <w:t>在生态保护红线附近施工时，先对施工场地进行围挡，并设置施工警示标牌，禁止越界施工，禁止进入生态保护红线范围。</w:t>
                  </w:r>
                </w:p>
              </w:tc>
              <w:tc>
                <w:tcPr>
                  <w:tcW w:w="594" w:type="pct"/>
                  <w:vAlign w:val="center"/>
                </w:tcPr>
                <w:p w14:paraId="5AC66821">
                  <w:pPr>
                    <w:pStyle w:val="65"/>
                    <w:rPr>
                      <w:color w:val="auto"/>
                    </w:rPr>
                  </w:pPr>
                  <w:r>
                    <w:rPr>
                      <w:rFonts w:hint="eastAsia"/>
                      <w:color w:val="auto"/>
                    </w:rPr>
                    <w:t>一致</w:t>
                  </w:r>
                </w:p>
              </w:tc>
            </w:tr>
            <w:tr w14:paraId="7D07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6F8E2414">
                  <w:pPr>
                    <w:pStyle w:val="65"/>
                    <w:rPr>
                      <w:color w:val="auto"/>
                    </w:rPr>
                  </w:pPr>
                </w:p>
              </w:tc>
              <w:tc>
                <w:tcPr>
                  <w:tcW w:w="559" w:type="pct"/>
                  <w:gridSpan w:val="2"/>
                  <w:vAlign w:val="center"/>
                </w:tcPr>
                <w:p w14:paraId="3B0B08AE">
                  <w:pPr>
                    <w:pStyle w:val="65"/>
                    <w:rPr>
                      <w:color w:val="auto"/>
                    </w:rPr>
                  </w:pPr>
                  <w:r>
                    <w:rPr>
                      <w:rFonts w:hint="eastAsia"/>
                      <w:color w:val="auto"/>
                    </w:rPr>
                    <w:t>标识牌</w:t>
                  </w:r>
                </w:p>
              </w:tc>
              <w:tc>
                <w:tcPr>
                  <w:tcW w:w="1984" w:type="pct"/>
                  <w:vAlign w:val="center"/>
                </w:tcPr>
                <w:p w14:paraId="3158C6F7">
                  <w:pPr>
                    <w:pStyle w:val="65"/>
                    <w:rPr>
                      <w:color w:val="auto"/>
                    </w:rPr>
                  </w:pPr>
                  <w:r>
                    <w:rPr>
                      <w:rFonts w:hint="eastAsia"/>
                      <w:color w:val="auto"/>
                    </w:rPr>
                    <w:t>分散在项目周围设置环保宣传牌及生态保护警示牌。</w:t>
                  </w:r>
                </w:p>
              </w:tc>
              <w:tc>
                <w:tcPr>
                  <w:tcW w:w="1582" w:type="pct"/>
                  <w:vAlign w:val="center"/>
                </w:tcPr>
                <w:p w14:paraId="35D5BDB5">
                  <w:pPr>
                    <w:pStyle w:val="65"/>
                    <w:jc w:val="both"/>
                    <w:rPr>
                      <w:color w:val="auto"/>
                    </w:rPr>
                  </w:pPr>
                  <w:r>
                    <w:rPr>
                      <w:rFonts w:hint="eastAsia"/>
                      <w:color w:val="auto"/>
                    </w:rPr>
                    <w:t>分散在项目周围设置环保宣传牌及生态保护警示牌。</w:t>
                  </w:r>
                </w:p>
              </w:tc>
              <w:tc>
                <w:tcPr>
                  <w:tcW w:w="594" w:type="pct"/>
                  <w:vAlign w:val="center"/>
                </w:tcPr>
                <w:p w14:paraId="63DBA9A2">
                  <w:pPr>
                    <w:pStyle w:val="65"/>
                    <w:rPr>
                      <w:color w:val="auto"/>
                    </w:rPr>
                  </w:pPr>
                  <w:r>
                    <w:rPr>
                      <w:rFonts w:hint="eastAsia"/>
                      <w:color w:val="auto"/>
                    </w:rPr>
                    <w:t>一致</w:t>
                  </w:r>
                </w:p>
              </w:tc>
            </w:tr>
            <w:tr w14:paraId="0C83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restart"/>
                  <w:vAlign w:val="center"/>
                </w:tcPr>
                <w:p w14:paraId="29944FF1">
                  <w:pPr>
                    <w:pStyle w:val="65"/>
                    <w:rPr>
                      <w:color w:val="auto"/>
                    </w:rPr>
                  </w:pPr>
                  <w:r>
                    <w:rPr>
                      <w:rFonts w:hint="eastAsia"/>
                      <w:color w:val="auto"/>
                    </w:rPr>
                    <w:t>依托工程</w:t>
                  </w:r>
                </w:p>
              </w:tc>
              <w:tc>
                <w:tcPr>
                  <w:tcW w:w="559" w:type="pct"/>
                  <w:gridSpan w:val="2"/>
                  <w:vAlign w:val="center"/>
                </w:tcPr>
                <w:p w14:paraId="39CB9BB4">
                  <w:pPr>
                    <w:pStyle w:val="65"/>
                    <w:rPr>
                      <w:color w:val="auto"/>
                    </w:rPr>
                  </w:pPr>
                  <w:r>
                    <w:rPr>
                      <w:rFonts w:hint="eastAsia"/>
                      <w:color w:val="auto"/>
                    </w:rPr>
                    <w:t>升压站</w:t>
                  </w:r>
                </w:p>
              </w:tc>
              <w:tc>
                <w:tcPr>
                  <w:tcW w:w="1984" w:type="pct"/>
                  <w:vAlign w:val="center"/>
                </w:tcPr>
                <w:p w14:paraId="53212959">
                  <w:pPr>
                    <w:pStyle w:val="65"/>
                    <w:jc w:val="both"/>
                    <w:rPr>
                      <w:color w:val="auto"/>
                    </w:rPr>
                  </w:pPr>
                  <w:r>
                    <w:rPr>
                      <w:rFonts w:hint="eastAsia"/>
                      <w:color w:val="auto"/>
                    </w:rPr>
                    <w:t>本项目与德安光伏发电项目共用一座220kV升压站，升压站在德安光伏发电项目内建设。德安光伏发电项目还未开工建设，在德安光伏发电项目建成前，本项目不投入运行。</w:t>
                  </w:r>
                </w:p>
              </w:tc>
              <w:tc>
                <w:tcPr>
                  <w:tcW w:w="1582" w:type="pct"/>
                  <w:vAlign w:val="center"/>
                </w:tcPr>
                <w:p w14:paraId="3A3C16D2">
                  <w:pPr>
                    <w:pStyle w:val="65"/>
                    <w:jc w:val="both"/>
                    <w:rPr>
                      <w:color w:val="auto"/>
                    </w:rPr>
                  </w:pPr>
                  <w:r>
                    <w:rPr>
                      <w:rFonts w:hint="eastAsia"/>
                      <w:color w:val="auto"/>
                    </w:rPr>
                    <w:t>本项目与德安光伏发电项目共用一座</w:t>
                  </w:r>
                  <w:r>
                    <w:rPr>
                      <w:rFonts w:hint="eastAsia" w:cs="Times New Roman"/>
                      <w:color w:val="auto"/>
                    </w:rPr>
                    <w:t>22</w:t>
                  </w:r>
                  <w:r>
                    <w:rPr>
                      <w:rFonts w:cs="Times New Roman"/>
                      <w:color w:val="auto"/>
                    </w:rPr>
                    <w:t>0kV</w:t>
                  </w:r>
                  <w:r>
                    <w:rPr>
                      <w:rFonts w:hint="eastAsia"/>
                      <w:color w:val="auto"/>
                    </w:rPr>
                    <w:t>升压站，升压站在德安光伏发电项目内建设。德安光伏发电项目已经取得环评批复，目前正在施工建设（站内场平），还未投运。</w:t>
                  </w:r>
                </w:p>
              </w:tc>
              <w:tc>
                <w:tcPr>
                  <w:tcW w:w="594" w:type="pct"/>
                  <w:vAlign w:val="center"/>
                </w:tcPr>
                <w:p w14:paraId="2E4447D0">
                  <w:pPr>
                    <w:pStyle w:val="65"/>
                    <w:rPr>
                      <w:color w:val="auto"/>
                    </w:rPr>
                  </w:pPr>
                  <w:r>
                    <w:rPr>
                      <w:rFonts w:hint="eastAsia"/>
                      <w:color w:val="auto"/>
                    </w:rPr>
                    <w:t>德安升压站已经开工建设，但未建成投运</w:t>
                  </w:r>
                </w:p>
              </w:tc>
            </w:tr>
            <w:tr w14:paraId="07F8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 w:type="pct"/>
                  <w:vMerge w:val="continue"/>
                  <w:vAlign w:val="center"/>
                </w:tcPr>
                <w:p w14:paraId="35B6E9EC">
                  <w:pPr>
                    <w:pStyle w:val="65"/>
                    <w:rPr>
                      <w:color w:val="auto"/>
                    </w:rPr>
                  </w:pPr>
                </w:p>
              </w:tc>
              <w:tc>
                <w:tcPr>
                  <w:tcW w:w="559" w:type="pct"/>
                  <w:gridSpan w:val="2"/>
                  <w:vAlign w:val="center"/>
                </w:tcPr>
                <w:p w14:paraId="4538CDBD">
                  <w:pPr>
                    <w:pStyle w:val="65"/>
                    <w:rPr>
                      <w:color w:val="auto"/>
                    </w:rPr>
                  </w:pPr>
                  <w:r>
                    <w:rPr>
                      <w:rFonts w:hint="eastAsia"/>
                      <w:color w:val="auto"/>
                    </w:rPr>
                    <w:t>环保设施</w:t>
                  </w:r>
                </w:p>
              </w:tc>
              <w:tc>
                <w:tcPr>
                  <w:tcW w:w="1984" w:type="pct"/>
                  <w:vAlign w:val="center"/>
                </w:tcPr>
                <w:p w14:paraId="4DD5DB42">
                  <w:pPr>
                    <w:pStyle w:val="65"/>
                    <w:jc w:val="both"/>
                    <w:rPr>
                      <w:color w:val="auto"/>
                    </w:rPr>
                  </w:pPr>
                  <w:r>
                    <w:rPr>
                      <w:rFonts w:hint="eastAsia"/>
                      <w:color w:val="auto"/>
                    </w:rPr>
                    <w:t>本工程不新增劳动定员，运维人员依托德安升压站管理人员，生活污水依托德安光伏升压站内一体化污水处理站进行处理。</w:t>
                  </w:r>
                </w:p>
                <w:p w14:paraId="28E8BE37">
                  <w:pPr>
                    <w:pStyle w:val="65"/>
                    <w:jc w:val="both"/>
                    <w:rPr>
                      <w:color w:val="auto"/>
                    </w:rPr>
                  </w:pPr>
                  <w:r>
                    <w:rPr>
                      <w:rFonts w:hint="eastAsia"/>
                      <w:color w:val="auto"/>
                    </w:rPr>
                    <w:t>本项目不设置危废贮存库，所产生的危险废物贮存于220kV德安项目升压站。德安升压站危废贮存库规模为36m</w:t>
                  </w:r>
                  <w:r>
                    <w:rPr>
                      <w:rFonts w:hint="eastAsia"/>
                      <w:color w:val="auto"/>
                      <w:vertAlign w:val="superscript"/>
                    </w:rPr>
                    <w:t>2</w:t>
                  </w:r>
                  <w:r>
                    <w:rPr>
                      <w:rFonts w:hint="eastAsia"/>
                      <w:color w:val="auto"/>
                    </w:rPr>
                    <w:t>，已考虑本项目所产生的危废贮存。</w:t>
                  </w:r>
                </w:p>
                <w:p w14:paraId="2F399EAF">
                  <w:pPr>
                    <w:pStyle w:val="65"/>
                    <w:jc w:val="both"/>
                    <w:rPr>
                      <w:color w:val="auto"/>
                    </w:rPr>
                  </w:pPr>
                  <w:r>
                    <w:rPr>
                      <w:rFonts w:hint="eastAsia"/>
                      <w:color w:val="auto"/>
                    </w:rPr>
                    <w:t>本项目不设置一般固废储存间，所产生的一般固废贮存于220kV德安项目升压站。德安升压站一般固废储存间规模为54m</w:t>
                  </w:r>
                  <w:r>
                    <w:rPr>
                      <w:rFonts w:hint="eastAsia"/>
                      <w:color w:val="auto"/>
                      <w:vertAlign w:val="superscript"/>
                    </w:rPr>
                    <w:t>2</w:t>
                  </w:r>
                  <w:r>
                    <w:rPr>
                      <w:rFonts w:hint="eastAsia"/>
                      <w:color w:val="auto"/>
                    </w:rPr>
                    <w:t>，已考虑本项目所产生的危废贮存。</w:t>
                  </w:r>
                </w:p>
              </w:tc>
              <w:tc>
                <w:tcPr>
                  <w:tcW w:w="1582" w:type="pct"/>
                  <w:vAlign w:val="center"/>
                </w:tcPr>
                <w:p w14:paraId="35ADA958">
                  <w:pPr>
                    <w:pStyle w:val="65"/>
                    <w:jc w:val="both"/>
                    <w:rPr>
                      <w:color w:val="auto"/>
                    </w:rPr>
                  </w:pPr>
                  <w:r>
                    <w:rPr>
                      <w:rFonts w:hint="eastAsia"/>
                      <w:color w:val="auto"/>
                    </w:rPr>
                    <w:t>本工程无劳动定员，运维人员依托德安升压站管理人员</w:t>
                  </w:r>
                  <w:r>
                    <w:rPr>
                      <w:color w:val="auto"/>
                    </w:rPr>
                    <w:t>（</w:t>
                  </w:r>
                  <w:r>
                    <w:rPr>
                      <w:rFonts w:hint="eastAsia"/>
                      <w:color w:val="auto"/>
                    </w:rPr>
                    <w:t>德安</w:t>
                  </w:r>
                  <w:r>
                    <w:rPr>
                      <w:color w:val="auto"/>
                    </w:rPr>
                    <w:t>升压站距离本项目</w:t>
                  </w:r>
                  <w:r>
                    <w:rPr>
                      <w:rFonts w:hint="eastAsia"/>
                      <w:color w:val="auto"/>
                    </w:rPr>
                    <w:t>最近距离约880m</w:t>
                  </w:r>
                  <w:r>
                    <w:rPr>
                      <w:color w:val="auto"/>
                    </w:rPr>
                    <w:t>，属于同一</w:t>
                  </w:r>
                  <w:r>
                    <w:rPr>
                      <w:rFonts w:hint="eastAsia"/>
                      <w:color w:val="auto"/>
                    </w:rPr>
                    <w:t>建设单位以及同</w:t>
                  </w:r>
                  <w:r>
                    <w:rPr>
                      <w:color w:val="auto"/>
                    </w:rPr>
                    <w:t>行政区内）</w:t>
                  </w:r>
                  <w:r>
                    <w:rPr>
                      <w:rFonts w:hint="eastAsia"/>
                      <w:color w:val="auto"/>
                    </w:rPr>
                    <w:t>，生活污水依托德安光伏发电项目升压站内一体化污水处理站进行处理。</w:t>
                  </w:r>
                </w:p>
                <w:p w14:paraId="62465315">
                  <w:pPr>
                    <w:pStyle w:val="65"/>
                    <w:jc w:val="both"/>
                    <w:rPr>
                      <w:color w:val="auto"/>
                    </w:rPr>
                  </w:pPr>
                  <w:r>
                    <w:rPr>
                      <w:rFonts w:hint="eastAsia"/>
                      <w:color w:val="auto"/>
                    </w:rPr>
                    <w:t>本项目不设置危废贮存库，所产生的危险废物暂存于</w:t>
                  </w:r>
                  <w:r>
                    <w:rPr>
                      <w:rFonts w:cs="Times New Roman"/>
                      <w:color w:val="auto"/>
                    </w:rPr>
                    <w:t>220kV</w:t>
                  </w:r>
                  <w:r>
                    <w:rPr>
                      <w:rFonts w:hint="eastAsia"/>
                      <w:color w:val="auto"/>
                    </w:rPr>
                    <w:t>德安光伏发电项目升压站，危废贮存库规模为</w:t>
                  </w:r>
                  <w:r>
                    <w:rPr>
                      <w:rFonts w:cs="Times New Roman"/>
                      <w:color w:val="auto"/>
                    </w:rPr>
                    <w:t>36m</w:t>
                  </w:r>
                  <w:r>
                    <w:rPr>
                      <w:rFonts w:cs="Times New Roman"/>
                      <w:color w:val="auto"/>
                      <w:vertAlign w:val="superscript"/>
                    </w:rPr>
                    <w:t>2</w:t>
                  </w:r>
                  <w:r>
                    <w:rPr>
                      <w:rFonts w:hint="eastAsia"/>
                      <w:color w:val="auto"/>
                    </w:rPr>
                    <w:t>，已考虑本项目所产生的危废贮存。</w:t>
                  </w:r>
                </w:p>
                <w:p w14:paraId="50895CF1">
                  <w:pPr>
                    <w:pStyle w:val="65"/>
                    <w:jc w:val="both"/>
                    <w:rPr>
                      <w:color w:val="auto"/>
                    </w:rPr>
                  </w:pPr>
                  <w:r>
                    <w:rPr>
                      <w:rFonts w:hint="eastAsia"/>
                      <w:color w:val="auto"/>
                    </w:rPr>
                    <w:t>本项目不设置一般固废储存间，所产生的一般固废暂存于</w:t>
                  </w:r>
                  <w:r>
                    <w:rPr>
                      <w:rFonts w:cs="Times New Roman"/>
                      <w:color w:val="auto"/>
                    </w:rPr>
                    <w:t>220kV</w:t>
                  </w:r>
                  <w:r>
                    <w:rPr>
                      <w:rFonts w:hint="eastAsia"/>
                      <w:color w:val="auto"/>
                    </w:rPr>
                    <w:t>德安光伏发电项目升压站，升压站一般固废储存间规模为</w:t>
                  </w:r>
                  <w:r>
                    <w:rPr>
                      <w:rFonts w:cs="Times New Roman"/>
                      <w:color w:val="auto"/>
                    </w:rPr>
                    <w:t>54m</w:t>
                  </w:r>
                  <w:r>
                    <w:rPr>
                      <w:rFonts w:cs="Times New Roman"/>
                      <w:color w:val="auto"/>
                      <w:vertAlign w:val="superscript"/>
                    </w:rPr>
                    <w:t>2</w:t>
                  </w:r>
                  <w:r>
                    <w:rPr>
                      <w:rFonts w:hint="eastAsia"/>
                      <w:color w:val="auto"/>
                    </w:rPr>
                    <w:t>，已考虑本项目所产生的固废贮存。</w:t>
                  </w:r>
                </w:p>
              </w:tc>
              <w:tc>
                <w:tcPr>
                  <w:tcW w:w="594" w:type="pct"/>
                  <w:vAlign w:val="center"/>
                </w:tcPr>
                <w:p w14:paraId="40BF5A53">
                  <w:pPr>
                    <w:pStyle w:val="65"/>
                    <w:rPr>
                      <w:color w:val="auto"/>
                    </w:rPr>
                  </w:pPr>
                  <w:r>
                    <w:rPr>
                      <w:rFonts w:hint="eastAsia"/>
                      <w:color w:val="auto"/>
                    </w:rPr>
                    <w:t>一致</w:t>
                  </w:r>
                </w:p>
              </w:tc>
            </w:tr>
          </w:tbl>
          <w:p w14:paraId="6B14D29D">
            <w:pPr>
              <w:ind w:firstLine="480"/>
              <w:rPr>
                <w:color w:val="auto"/>
                <w:szCs w:val="21"/>
              </w:rPr>
            </w:pPr>
            <w:r>
              <w:rPr>
                <w:color w:val="auto"/>
                <w:szCs w:val="21"/>
              </w:rPr>
              <w:t>项目详细建设内容分述如下：</w:t>
            </w:r>
          </w:p>
          <w:p w14:paraId="18E0B717">
            <w:pPr>
              <w:pStyle w:val="4"/>
              <w:spacing w:before="48" w:after="48"/>
              <w:rPr>
                <w:color w:val="auto"/>
              </w:rPr>
            </w:pPr>
            <w:bookmarkStart w:id="386" w:name="_Toc181293526"/>
            <w:bookmarkStart w:id="387" w:name="_Toc181738211"/>
            <w:bookmarkStart w:id="388" w:name="_Toc136794177"/>
            <w:bookmarkStart w:id="389" w:name="_Toc136794302"/>
            <w:bookmarkStart w:id="390" w:name="_Toc156137825"/>
            <w:bookmarkStart w:id="391" w:name="_Toc156144139"/>
            <w:bookmarkStart w:id="392" w:name="_Toc160473787"/>
            <w:bookmarkStart w:id="393" w:name="_Toc177072819"/>
            <w:bookmarkStart w:id="394" w:name="_Toc159349014"/>
            <w:bookmarkStart w:id="395" w:name="_Toc161415541"/>
            <w:bookmarkStart w:id="396" w:name="_Toc158491246"/>
            <w:bookmarkStart w:id="397" w:name="_Toc177072391"/>
            <w:bookmarkStart w:id="398" w:name="_Toc29313"/>
            <w:bookmarkStart w:id="399" w:name="_Toc160730863"/>
            <w:bookmarkStart w:id="400" w:name="_Toc3039"/>
            <w:bookmarkStart w:id="401" w:name="_Toc177488203"/>
            <w:bookmarkStart w:id="402" w:name="_Toc181732804"/>
            <w:bookmarkStart w:id="403" w:name="_Toc177482891"/>
            <w:r>
              <w:rPr>
                <w:color w:val="auto"/>
              </w:rPr>
              <w:t>项目建设内容</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49C9EDC4">
            <w:pPr>
              <w:ind w:firstLine="480"/>
              <w:rPr>
                <w:color w:val="auto"/>
                <w:kern w:val="0"/>
              </w:rPr>
            </w:pPr>
            <w:r>
              <w:rPr>
                <w:color w:val="auto"/>
                <w:kern w:val="0"/>
              </w:rPr>
              <w:t>本</w:t>
            </w:r>
            <w:r>
              <w:rPr>
                <w:rFonts w:hint="eastAsia"/>
                <w:color w:val="auto"/>
                <w:kern w:val="0"/>
              </w:rPr>
              <w:t>项目</w:t>
            </w:r>
            <w:r>
              <w:rPr>
                <w:color w:val="auto"/>
                <w:kern w:val="0"/>
              </w:rPr>
              <w:t>特性详见</w:t>
            </w:r>
            <w:r>
              <w:rPr>
                <w:rFonts w:hint="eastAsia"/>
                <w:color w:val="auto"/>
                <w:kern w:val="0"/>
              </w:rPr>
              <w:t>下</w:t>
            </w:r>
            <w:r>
              <w:rPr>
                <w:color w:val="auto"/>
                <w:kern w:val="0"/>
              </w:rPr>
              <w:t>表。</w:t>
            </w:r>
          </w:p>
          <w:p w14:paraId="62B34886">
            <w:pPr>
              <w:adjustRightInd w:val="0"/>
              <w:snapToGrid w:val="0"/>
              <w:ind w:firstLine="482"/>
              <w:jc w:val="center"/>
              <w:rPr>
                <w:b/>
                <w:bCs/>
                <w:color w:val="auto"/>
                <w:kern w:val="0"/>
                <w:szCs w:val="21"/>
              </w:rPr>
            </w:pPr>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2.6</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2</w:t>
            </w:r>
            <w:r>
              <w:rPr>
                <w:b/>
                <w:bCs/>
                <w:color w:val="auto"/>
                <w:szCs w:val="24"/>
              </w:rPr>
              <w:fldChar w:fldCharType="end"/>
            </w:r>
            <w:r>
              <w:rPr>
                <w:b/>
                <w:bCs/>
                <w:color w:val="auto"/>
                <w:szCs w:val="24"/>
              </w:rPr>
              <w:t xml:space="preserve">  </w:t>
            </w:r>
            <w:r>
              <w:rPr>
                <w:b/>
                <w:bCs/>
                <w:color w:val="auto"/>
                <w:kern w:val="0"/>
                <w:szCs w:val="21"/>
              </w:rPr>
              <w:t>项目工程特性表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707"/>
              <w:gridCol w:w="1344"/>
              <w:gridCol w:w="3075"/>
              <w:gridCol w:w="798"/>
            </w:tblGrid>
            <w:tr w14:paraId="7078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9" w:type="dxa"/>
                  <w:gridSpan w:val="5"/>
                  <w:vAlign w:val="center"/>
                </w:tcPr>
                <w:p w14:paraId="12F23218">
                  <w:pPr>
                    <w:pStyle w:val="65"/>
                    <w:rPr>
                      <w:color w:val="auto"/>
                    </w:rPr>
                  </w:pPr>
                  <w:r>
                    <w:rPr>
                      <w:color w:val="auto"/>
                    </w:rPr>
                    <w:t>一、光伏发电工程场址概况</w:t>
                  </w:r>
                </w:p>
              </w:tc>
            </w:tr>
            <w:tr w14:paraId="1968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5BFBA410">
                  <w:pPr>
                    <w:pStyle w:val="65"/>
                    <w:rPr>
                      <w:color w:val="auto"/>
                    </w:rPr>
                  </w:pPr>
                  <w:r>
                    <w:rPr>
                      <w:color w:val="auto"/>
                    </w:rPr>
                    <w:t>编号</w:t>
                  </w:r>
                </w:p>
              </w:tc>
              <w:tc>
                <w:tcPr>
                  <w:tcW w:w="1707" w:type="dxa"/>
                  <w:vAlign w:val="center"/>
                </w:tcPr>
                <w:p w14:paraId="5FD1DEE4">
                  <w:pPr>
                    <w:pStyle w:val="65"/>
                    <w:rPr>
                      <w:color w:val="auto"/>
                    </w:rPr>
                  </w:pPr>
                  <w:r>
                    <w:rPr>
                      <w:color w:val="auto"/>
                    </w:rPr>
                    <w:t>项目</w:t>
                  </w:r>
                </w:p>
              </w:tc>
              <w:tc>
                <w:tcPr>
                  <w:tcW w:w="1344" w:type="dxa"/>
                  <w:vAlign w:val="center"/>
                </w:tcPr>
                <w:p w14:paraId="1160ABF2">
                  <w:pPr>
                    <w:pStyle w:val="65"/>
                    <w:rPr>
                      <w:color w:val="auto"/>
                    </w:rPr>
                  </w:pPr>
                  <w:r>
                    <w:rPr>
                      <w:color w:val="auto"/>
                    </w:rPr>
                    <w:t>单位</w:t>
                  </w:r>
                </w:p>
              </w:tc>
              <w:tc>
                <w:tcPr>
                  <w:tcW w:w="3075" w:type="dxa"/>
                  <w:vAlign w:val="center"/>
                </w:tcPr>
                <w:p w14:paraId="44B11198">
                  <w:pPr>
                    <w:pStyle w:val="65"/>
                    <w:rPr>
                      <w:color w:val="auto"/>
                    </w:rPr>
                  </w:pPr>
                  <w:r>
                    <w:rPr>
                      <w:color w:val="auto"/>
                    </w:rPr>
                    <w:t>数量</w:t>
                  </w:r>
                </w:p>
              </w:tc>
              <w:tc>
                <w:tcPr>
                  <w:tcW w:w="798" w:type="dxa"/>
                  <w:vAlign w:val="center"/>
                </w:tcPr>
                <w:p w14:paraId="57FCD447">
                  <w:pPr>
                    <w:pStyle w:val="65"/>
                    <w:rPr>
                      <w:color w:val="auto"/>
                    </w:rPr>
                  </w:pPr>
                  <w:r>
                    <w:rPr>
                      <w:color w:val="auto"/>
                    </w:rPr>
                    <w:t>备注</w:t>
                  </w:r>
                </w:p>
              </w:tc>
            </w:tr>
            <w:tr w14:paraId="59D8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5878BE93">
                  <w:pPr>
                    <w:pStyle w:val="65"/>
                    <w:rPr>
                      <w:color w:val="auto"/>
                    </w:rPr>
                  </w:pPr>
                  <w:r>
                    <w:rPr>
                      <w:color w:val="auto"/>
                    </w:rPr>
                    <w:t>1</w:t>
                  </w:r>
                </w:p>
              </w:tc>
              <w:tc>
                <w:tcPr>
                  <w:tcW w:w="1707" w:type="dxa"/>
                  <w:vAlign w:val="center"/>
                </w:tcPr>
                <w:p w14:paraId="2B33FAB9">
                  <w:pPr>
                    <w:pStyle w:val="65"/>
                    <w:rPr>
                      <w:color w:val="auto"/>
                    </w:rPr>
                  </w:pPr>
                  <w:r>
                    <w:rPr>
                      <w:color w:val="auto"/>
                    </w:rPr>
                    <w:t>额定容量</w:t>
                  </w:r>
                </w:p>
              </w:tc>
              <w:tc>
                <w:tcPr>
                  <w:tcW w:w="1344" w:type="dxa"/>
                  <w:vAlign w:val="center"/>
                </w:tcPr>
                <w:p w14:paraId="04266593">
                  <w:pPr>
                    <w:pStyle w:val="65"/>
                    <w:rPr>
                      <w:color w:val="auto"/>
                    </w:rPr>
                  </w:pPr>
                  <w:r>
                    <w:rPr>
                      <w:color w:val="auto"/>
                      <w:w w:val="95"/>
                    </w:rPr>
                    <w:t>MW</w:t>
                  </w:r>
                </w:p>
              </w:tc>
              <w:tc>
                <w:tcPr>
                  <w:tcW w:w="3075" w:type="dxa"/>
                  <w:vAlign w:val="center"/>
                </w:tcPr>
                <w:p w14:paraId="50136E20">
                  <w:pPr>
                    <w:pStyle w:val="65"/>
                    <w:rPr>
                      <w:color w:val="auto"/>
                    </w:rPr>
                  </w:pPr>
                  <w:r>
                    <w:rPr>
                      <w:rFonts w:hint="eastAsia"/>
                      <w:color w:val="auto"/>
                    </w:rPr>
                    <w:t>6</w:t>
                  </w:r>
                  <w:r>
                    <w:rPr>
                      <w:color w:val="auto"/>
                    </w:rPr>
                    <w:t>0</w:t>
                  </w:r>
                </w:p>
              </w:tc>
              <w:tc>
                <w:tcPr>
                  <w:tcW w:w="798" w:type="dxa"/>
                  <w:vAlign w:val="center"/>
                </w:tcPr>
                <w:p w14:paraId="1474A489">
                  <w:pPr>
                    <w:pStyle w:val="65"/>
                    <w:rPr>
                      <w:color w:val="auto"/>
                    </w:rPr>
                  </w:pPr>
                  <w:r>
                    <w:rPr>
                      <w:color w:val="auto"/>
                    </w:rPr>
                    <w:t>/</w:t>
                  </w:r>
                </w:p>
              </w:tc>
            </w:tr>
            <w:tr w14:paraId="4BAF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C3A8513">
                  <w:pPr>
                    <w:pStyle w:val="65"/>
                    <w:rPr>
                      <w:color w:val="auto"/>
                    </w:rPr>
                  </w:pPr>
                  <w:r>
                    <w:rPr>
                      <w:color w:val="auto"/>
                    </w:rPr>
                    <w:t>2</w:t>
                  </w:r>
                </w:p>
              </w:tc>
              <w:tc>
                <w:tcPr>
                  <w:tcW w:w="1707" w:type="dxa"/>
                  <w:vAlign w:val="center"/>
                </w:tcPr>
                <w:p w14:paraId="1C102576">
                  <w:pPr>
                    <w:pStyle w:val="65"/>
                    <w:rPr>
                      <w:color w:val="auto"/>
                    </w:rPr>
                  </w:pPr>
                  <w:r>
                    <w:rPr>
                      <w:color w:val="auto"/>
                    </w:rPr>
                    <w:t>安装容量</w:t>
                  </w:r>
                </w:p>
              </w:tc>
              <w:tc>
                <w:tcPr>
                  <w:tcW w:w="1344" w:type="dxa"/>
                  <w:vAlign w:val="center"/>
                </w:tcPr>
                <w:p w14:paraId="3279E793">
                  <w:pPr>
                    <w:pStyle w:val="65"/>
                    <w:rPr>
                      <w:color w:val="auto"/>
                    </w:rPr>
                  </w:pPr>
                  <w:r>
                    <w:rPr>
                      <w:color w:val="auto"/>
                      <w:w w:val="95"/>
                    </w:rPr>
                    <w:t>MWp</w:t>
                  </w:r>
                </w:p>
              </w:tc>
              <w:tc>
                <w:tcPr>
                  <w:tcW w:w="3075" w:type="dxa"/>
                  <w:vAlign w:val="center"/>
                </w:tcPr>
                <w:p w14:paraId="09B5C5BA">
                  <w:pPr>
                    <w:pStyle w:val="65"/>
                    <w:rPr>
                      <w:color w:val="auto"/>
                    </w:rPr>
                  </w:pPr>
                  <w:r>
                    <w:rPr>
                      <w:color w:val="auto"/>
                    </w:rPr>
                    <w:t>104440</w:t>
                  </w:r>
                </w:p>
              </w:tc>
              <w:tc>
                <w:tcPr>
                  <w:tcW w:w="798" w:type="dxa"/>
                  <w:vAlign w:val="center"/>
                </w:tcPr>
                <w:p w14:paraId="1D6F2373">
                  <w:pPr>
                    <w:pStyle w:val="65"/>
                    <w:rPr>
                      <w:color w:val="auto"/>
                    </w:rPr>
                  </w:pPr>
                  <w:r>
                    <w:rPr>
                      <w:color w:val="auto"/>
                    </w:rPr>
                    <w:t>/</w:t>
                  </w:r>
                </w:p>
              </w:tc>
            </w:tr>
            <w:tr w14:paraId="29B0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2E75672C">
                  <w:pPr>
                    <w:pStyle w:val="65"/>
                    <w:rPr>
                      <w:color w:val="auto"/>
                    </w:rPr>
                  </w:pPr>
                  <w:r>
                    <w:rPr>
                      <w:color w:val="auto"/>
                    </w:rPr>
                    <w:t>3</w:t>
                  </w:r>
                </w:p>
              </w:tc>
              <w:tc>
                <w:tcPr>
                  <w:tcW w:w="1707" w:type="dxa"/>
                  <w:vAlign w:val="center"/>
                </w:tcPr>
                <w:p w14:paraId="6903CE36">
                  <w:pPr>
                    <w:pStyle w:val="65"/>
                    <w:rPr>
                      <w:color w:val="auto"/>
                    </w:rPr>
                  </w:pPr>
                  <w:r>
                    <w:rPr>
                      <w:color w:val="auto"/>
                    </w:rPr>
                    <w:t>总用地面积</w:t>
                  </w:r>
                </w:p>
              </w:tc>
              <w:tc>
                <w:tcPr>
                  <w:tcW w:w="1344" w:type="dxa"/>
                  <w:vAlign w:val="center"/>
                </w:tcPr>
                <w:p w14:paraId="520AD58B">
                  <w:pPr>
                    <w:pStyle w:val="65"/>
                    <w:rPr>
                      <w:color w:val="auto"/>
                    </w:rPr>
                  </w:pPr>
                  <w:r>
                    <w:rPr>
                      <w:color w:val="auto"/>
                    </w:rPr>
                    <w:t>hm</w:t>
                  </w:r>
                  <w:r>
                    <w:rPr>
                      <w:color w:val="auto"/>
                      <w:vertAlign w:val="superscript"/>
                    </w:rPr>
                    <w:t>2</w:t>
                  </w:r>
                </w:p>
              </w:tc>
              <w:tc>
                <w:tcPr>
                  <w:tcW w:w="3075" w:type="dxa"/>
                  <w:vAlign w:val="center"/>
                </w:tcPr>
                <w:p w14:paraId="04AF0CDE">
                  <w:pPr>
                    <w:pStyle w:val="65"/>
                    <w:rPr>
                      <w:color w:val="auto"/>
                    </w:rPr>
                  </w:pPr>
                  <w:r>
                    <w:rPr>
                      <w:rFonts w:hint="eastAsia"/>
                      <w:color w:val="auto"/>
                    </w:rPr>
                    <w:t>117.06</w:t>
                  </w:r>
                </w:p>
              </w:tc>
              <w:tc>
                <w:tcPr>
                  <w:tcW w:w="798" w:type="dxa"/>
                  <w:vAlign w:val="center"/>
                </w:tcPr>
                <w:p w14:paraId="4A8D4C2E">
                  <w:pPr>
                    <w:pStyle w:val="65"/>
                    <w:rPr>
                      <w:color w:val="auto"/>
                    </w:rPr>
                  </w:pPr>
                  <w:r>
                    <w:rPr>
                      <w:color w:val="auto"/>
                    </w:rPr>
                    <w:t>/</w:t>
                  </w:r>
                </w:p>
              </w:tc>
            </w:tr>
            <w:tr w14:paraId="3698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709F6196">
                  <w:pPr>
                    <w:pStyle w:val="65"/>
                    <w:rPr>
                      <w:color w:val="auto"/>
                    </w:rPr>
                  </w:pPr>
                  <w:r>
                    <w:rPr>
                      <w:color w:val="auto"/>
                    </w:rPr>
                    <w:t>4</w:t>
                  </w:r>
                </w:p>
              </w:tc>
              <w:tc>
                <w:tcPr>
                  <w:tcW w:w="1707" w:type="dxa"/>
                  <w:vAlign w:val="center"/>
                </w:tcPr>
                <w:p w14:paraId="2D6FAABC">
                  <w:pPr>
                    <w:pStyle w:val="65"/>
                    <w:rPr>
                      <w:color w:val="auto"/>
                    </w:rPr>
                  </w:pPr>
                  <w:r>
                    <w:rPr>
                      <w:color w:val="auto"/>
                    </w:rPr>
                    <w:t>升压站用地面积</w:t>
                  </w:r>
                </w:p>
              </w:tc>
              <w:tc>
                <w:tcPr>
                  <w:tcW w:w="1344" w:type="dxa"/>
                  <w:vAlign w:val="center"/>
                </w:tcPr>
                <w:p w14:paraId="2FF5AFDC">
                  <w:pPr>
                    <w:pStyle w:val="65"/>
                    <w:rPr>
                      <w:color w:val="auto"/>
                    </w:rPr>
                  </w:pPr>
                  <w:r>
                    <w:rPr>
                      <w:color w:val="auto"/>
                    </w:rPr>
                    <w:t>m</w:t>
                  </w:r>
                  <w:r>
                    <w:rPr>
                      <w:color w:val="auto"/>
                      <w:vertAlign w:val="superscript"/>
                    </w:rPr>
                    <w:t>2</w:t>
                  </w:r>
                </w:p>
              </w:tc>
              <w:tc>
                <w:tcPr>
                  <w:tcW w:w="3075" w:type="dxa"/>
                  <w:vAlign w:val="center"/>
                </w:tcPr>
                <w:p w14:paraId="7F686249">
                  <w:pPr>
                    <w:pStyle w:val="65"/>
                    <w:rPr>
                      <w:color w:val="auto"/>
                    </w:rPr>
                  </w:pPr>
                  <w:r>
                    <w:rPr>
                      <w:rFonts w:hint="eastAsia"/>
                      <w:color w:val="auto"/>
                    </w:rPr>
                    <w:t>-</w:t>
                  </w:r>
                </w:p>
              </w:tc>
              <w:tc>
                <w:tcPr>
                  <w:tcW w:w="798" w:type="dxa"/>
                  <w:vAlign w:val="center"/>
                </w:tcPr>
                <w:p w14:paraId="628F82C7">
                  <w:pPr>
                    <w:pStyle w:val="65"/>
                    <w:rPr>
                      <w:color w:val="auto"/>
                    </w:rPr>
                  </w:pPr>
                  <w:r>
                    <w:rPr>
                      <w:color w:val="auto"/>
                    </w:rPr>
                    <w:t>/</w:t>
                  </w:r>
                </w:p>
              </w:tc>
            </w:tr>
            <w:tr w14:paraId="7C29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25D51497">
                  <w:pPr>
                    <w:pStyle w:val="65"/>
                    <w:rPr>
                      <w:color w:val="auto"/>
                    </w:rPr>
                  </w:pPr>
                  <w:r>
                    <w:rPr>
                      <w:color w:val="auto"/>
                    </w:rPr>
                    <w:t>5</w:t>
                  </w:r>
                </w:p>
              </w:tc>
              <w:tc>
                <w:tcPr>
                  <w:tcW w:w="1707" w:type="dxa"/>
                  <w:vAlign w:val="center"/>
                </w:tcPr>
                <w:p w14:paraId="7A83AD9C">
                  <w:pPr>
                    <w:pStyle w:val="65"/>
                    <w:rPr>
                      <w:color w:val="auto"/>
                    </w:rPr>
                  </w:pPr>
                  <w:r>
                    <w:rPr>
                      <w:color w:val="auto"/>
                    </w:rPr>
                    <w:t>海拔高度</w:t>
                  </w:r>
                </w:p>
              </w:tc>
              <w:tc>
                <w:tcPr>
                  <w:tcW w:w="1344" w:type="dxa"/>
                  <w:vAlign w:val="center"/>
                </w:tcPr>
                <w:p w14:paraId="28A821D3">
                  <w:pPr>
                    <w:pStyle w:val="65"/>
                    <w:rPr>
                      <w:color w:val="auto"/>
                    </w:rPr>
                  </w:pPr>
                  <w:r>
                    <w:rPr>
                      <w:color w:val="auto"/>
                    </w:rPr>
                    <w:t>m</w:t>
                  </w:r>
                </w:p>
              </w:tc>
              <w:tc>
                <w:tcPr>
                  <w:tcW w:w="3075" w:type="dxa"/>
                  <w:vAlign w:val="center"/>
                </w:tcPr>
                <w:p w14:paraId="552661B6">
                  <w:pPr>
                    <w:pStyle w:val="65"/>
                    <w:rPr>
                      <w:color w:val="auto"/>
                    </w:rPr>
                  </w:pPr>
                  <w:r>
                    <w:rPr>
                      <w:rFonts w:hint="eastAsia"/>
                      <w:color w:val="auto"/>
                    </w:rPr>
                    <w:t>1760m～2323m</w:t>
                  </w:r>
                </w:p>
              </w:tc>
              <w:tc>
                <w:tcPr>
                  <w:tcW w:w="798" w:type="dxa"/>
                  <w:vAlign w:val="center"/>
                </w:tcPr>
                <w:p w14:paraId="3C7F5696">
                  <w:pPr>
                    <w:pStyle w:val="65"/>
                    <w:rPr>
                      <w:color w:val="auto"/>
                    </w:rPr>
                  </w:pPr>
                  <w:r>
                    <w:rPr>
                      <w:color w:val="auto"/>
                    </w:rPr>
                    <w:t>/</w:t>
                  </w:r>
                </w:p>
              </w:tc>
            </w:tr>
            <w:tr w14:paraId="695D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3DF4187">
                  <w:pPr>
                    <w:pStyle w:val="65"/>
                    <w:rPr>
                      <w:color w:val="auto"/>
                    </w:rPr>
                  </w:pPr>
                  <w:r>
                    <w:rPr>
                      <w:color w:val="auto"/>
                    </w:rPr>
                    <w:t>6</w:t>
                  </w:r>
                </w:p>
              </w:tc>
              <w:tc>
                <w:tcPr>
                  <w:tcW w:w="1707" w:type="dxa"/>
                  <w:vAlign w:val="center"/>
                </w:tcPr>
                <w:p w14:paraId="06E1D327">
                  <w:pPr>
                    <w:pStyle w:val="65"/>
                    <w:rPr>
                      <w:color w:val="auto"/>
                    </w:rPr>
                  </w:pPr>
                  <w:r>
                    <w:rPr>
                      <w:color w:val="auto"/>
                    </w:rPr>
                    <w:t>经度</w:t>
                  </w:r>
                  <w:r>
                    <w:rPr>
                      <w:rFonts w:hint="eastAsia"/>
                      <w:color w:val="auto"/>
                    </w:rPr>
                    <w:t>（</w:t>
                  </w:r>
                  <w:r>
                    <w:rPr>
                      <w:color w:val="auto"/>
                    </w:rPr>
                    <w:t>东经</w:t>
                  </w:r>
                  <w:r>
                    <w:rPr>
                      <w:rFonts w:hint="eastAsia"/>
                      <w:color w:val="auto"/>
                    </w:rPr>
                    <w:t>）</w:t>
                  </w:r>
                </w:p>
              </w:tc>
              <w:tc>
                <w:tcPr>
                  <w:tcW w:w="1344" w:type="dxa"/>
                  <w:vAlign w:val="center"/>
                </w:tcPr>
                <w:p w14:paraId="206E435B">
                  <w:pPr>
                    <w:pStyle w:val="65"/>
                    <w:rPr>
                      <w:color w:val="auto"/>
                    </w:rPr>
                  </w:pPr>
                  <w:r>
                    <w:rPr>
                      <w:color w:val="auto"/>
                    </w:rPr>
                    <w:t>度分秒</w:t>
                  </w:r>
                </w:p>
              </w:tc>
              <w:tc>
                <w:tcPr>
                  <w:tcW w:w="3075" w:type="dxa"/>
                  <w:vAlign w:val="center"/>
                </w:tcPr>
                <w:p w14:paraId="411AB8C6">
                  <w:pPr>
                    <w:pStyle w:val="65"/>
                    <w:rPr>
                      <w:rFonts w:cs="Times New Roman"/>
                      <w:color w:val="auto"/>
                    </w:rPr>
                  </w:pPr>
                  <w:r>
                    <w:rPr>
                      <w:rFonts w:cs="Times New Roman"/>
                      <w:color w:val="auto"/>
                    </w:rPr>
                    <w:t>100°25′9.764″~100°30′10.721″</w:t>
                  </w:r>
                </w:p>
              </w:tc>
              <w:tc>
                <w:tcPr>
                  <w:tcW w:w="798" w:type="dxa"/>
                  <w:vAlign w:val="center"/>
                </w:tcPr>
                <w:p w14:paraId="392F5F0B">
                  <w:pPr>
                    <w:pStyle w:val="65"/>
                    <w:rPr>
                      <w:color w:val="auto"/>
                    </w:rPr>
                  </w:pPr>
                  <w:r>
                    <w:rPr>
                      <w:color w:val="auto"/>
                    </w:rPr>
                    <w:t>/</w:t>
                  </w:r>
                </w:p>
              </w:tc>
            </w:tr>
            <w:tr w14:paraId="144D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55E7A5B1">
                  <w:pPr>
                    <w:pStyle w:val="65"/>
                    <w:rPr>
                      <w:color w:val="auto"/>
                    </w:rPr>
                  </w:pPr>
                  <w:r>
                    <w:rPr>
                      <w:color w:val="auto"/>
                    </w:rPr>
                    <w:t>7</w:t>
                  </w:r>
                </w:p>
              </w:tc>
              <w:tc>
                <w:tcPr>
                  <w:tcW w:w="1707" w:type="dxa"/>
                  <w:vAlign w:val="center"/>
                </w:tcPr>
                <w:p w14:paraId="32CC4BE5">
                  <w:pPr>
                    <w:pStyle w:val="65"/>
                    <w:rPr>
                      <w:color w:val="auto"/>
                    </w:rPr>
                  </w:pPr>
                  <w:r>
                    <w:rPr>
                      <w:color w:val="auto"/>
                    </w:rPr>
                    <w:t>纬度</w:t>
                  </w:r>
                  <w:r>
                    <w:rPr>
                      <w:rFonts w:hint="eastAsia"/>
                      <w:color w:val="auto"/>
                    </w:rPr>
                    <w:t>（</w:t>
                  </w:r>
                  <w:r>
                    <w:rPr>
                      <w:color w:val="auto"/>
                    </w:rPr>
                    <w:t>北纬</w:t>
                  </w:r>
                  <w:r>
                    <w:rPr>
                      <w:rFonts w:hint="eastAsia"/>
                      <w:color w:val="auto"/>
                    </w:rPr>
                    <w:t>）</w:t>
                  </w:r>
                </w:p>
              </w:tc>
              <w:tc>
                <w:tcPr>
                  <w:tcW w:w="1344" w:type="dxa"/>
                  <w:vAlign w:val="center"/>
                </w:tcPr>
                <w:p w14:paraId="62886CCD">
                  <w:pPr>
                    <w:pStyle w:val="65"/>
                    <w:rPr>
                      <w:color w:val="auto"/>
                    </w:rPr>
                  </w:pPr>
                  <w:r>
                    <w:rPr>
                      <w:color w:val="auto"/>
                    </w:rPr>
                    <w:t>度分秒</w:t>
                  </w:r>
                </w:p>
              </w:tc>
              <w:tc>
                <w:tcPr>
                  <w:tcW w:w="3075" w:type="dxa"/>
                  <w:vAlign w:val="center"/>
                </w:tcPr>
                <w:p w14:paraId="26C2E1CB">
                  <w:pPr>
                    <w:pStyle w:val="65"/>
                    <w:rPr>
                      <w:rFonts w:cs="Times New Roman"/>
                      <w:color w:val="auto"/>
                    </w:rPr>
                  </w:pPr>
                  <w:r>
                    <w:rPr>
                      <w:rFonts w:cs="Times New Roman"/>
                      <w:color w:val="auto"/>
                    </w:rPr>
                    <w:t>24°46′26.624″~24°44′37.242″</w:t>
                  </w:r>
                </w:p>
              </w:tc>
              <w:tc>
                <w:tcPr>
                  <w:tcW w:w="798" w:type="dxa"/>
                  <w:vAlign w:val="center"/>
                </w:tcPr>
                <w:p w14:paraId="1D5D031D">
                  <w:pPr>
                    <w:pStyle w:val="65"/>
                    <w:rPr>
                      <w:color w:val="auto"/>
                    </w:rPr>
                  </w:pPr>
                  <w:r>
                    <w:rPr>
                      <w:color w:val="auto"/>
                    </w:rPr>
                    <w:t>/</w:t>
                  </w:r>
                </w:p>
              </w:tc>
            </w:tr>
            <w:tr w14:paraId="5817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E9B37E1">
                  <w:pPr>
                    <w:pStyle w:val="65"/>
                    <w:rPr>
                      <w:color w:val="auto"/>
                    </w:rPr>
                  </w:pPr>
                  <w:r>
                    <w:rPr>
                      <w:color w:val="auto"/>
                    </w:rPr>
                    <w:t>8</w:t>
                  </w:r>
                </w:p>
              </w:tc>
              <w:tc>
                <w:tcPr>
                  <w:tcW w:w="1707" w:type="dxa"/>
                  <w:vAlign w:val="center"/>
                </w:tcPr>
                <w:p w14:paraId="53BBA9F3">
                  <w:pPr>
                    <w:pStyle w:val="65"/>
                    <w:rPr>
                      <w:color w:val="auto"/>
                    </w:rPr>
                  </w:pPr>
                  <w:r>
                    <w:rPr>
                      <w:color w:val="auto"/>
                    </w:rPr>
                    <w:t>工程代表年太阳总辐射量</w:t>
                  </w:r>
                </w:p>
              </w:tc>
              <w:tc>
                <w:tcPr>
                  <w:tcW w:w="1344" w:type="dxa"/>
                  <w:vAlign w:val="center"/>
                </w:tcPr>
                <w:p w14:paraId="6173A8D1">
                  <w:pPr>
                    <w:pStyle w:val="65"/>
                    <w:rPr>
                      <w:color w:val="auto"/>
                    </w:rPr>
                  </w:pPr>
                  <w:r>
                    <w:rPr>
                      <w:color w:val="auto"/>
                    </w:rPr>
                    <w:t>MJ/m</w:t>
                  </w:r>
                  <w:r>
                    <w:rPr>
                      <w:color w:val="auto"/>
                      <w:vertAlign w:val="superscript"/>
                    </w:rPr>
                    <w:t>2</w:t>
                  </w:r>
                </w:p>
              </w:tc>
              <w:tc>
                <w:tcPr>
                  <w:tcW w:w="3075" w:type="dxa"/>
                  <w:vAlign w:val="center"/>
                </w:tcPr>
                <w:p w14:paraId="2D203617">
                  <w:pPr>
                    <w:pStyle w:val="65"/>
                    <w:rPr>
                      <w:color w:val="auto"/>
                    </w:rPr>
                  </w:pPr>
                  <w:r>
                    <w:rPr>
                      <w:rStyle w:val="219"/>
                      <w:b w:val="0"/>
                      <w:color w:val="auto"/>
                    </w:rPr>
                    <w:t>5718</w:t>
                  </w:r>
                </w:p>
              </w:tc>
              <w:tc>
                <w:tcPr>
                  <w:tcW w:w="798" w:type="dxa"/>
                  <w:vAlign w:val="center"/>
                </w:tcPr>
                <w:p w14:paraId="47C7D3DE">
                  <w:pPr>
                    <w:pStyle w:val="65"/>
                    <w:rPr>
                      <w:color w:val="auto"/>
                    </w:rPr>
                  </w:pPr>
                  <w:r>
                    <w:rPr>
                      <w:color w:val="auto"/>
                    </w:rPr>
                    <w:t>/</w:t>
                  </w:r>
                </w:p>
              </w:tc>
            </w:tr>
            <w:tr w14:paraId="17A3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210914B7">
                  <w:pPr>
                    <w:pStyle w:val="65"/>
                    <w:rPr>
                      <w:color w:val="auto"/>
                    </w:rPr>
                  </w:pPr>
                  <w:r>
                    <w:rPr>
                      <w:color w:val="auto"/>
                    </w:rPr>
                    <w:t>9</w:t>
                  </w:r>
                </w:p>
              </w:tc>
              <w:tc>
                <w:tcPr>
                  <w:tcW w:w="1707" w:type="dxa"/>
                  <w:vAlign w:val="center"/>
                </w:tcPr>
                <w:p w14:paraId="746C8226">
                  <w:pPr>
                    <w:pStyle w:val="65"/>
                    <w:rPr>
                      <w:color w:val="auto"/>
                    </w:rPr>
                  </w:pPr>
                  <w:r>
                    <w:rPr>
                      <w:color w:val="auto"/>
                    </w:rPr>
                    <w:t>工程代表年日照小时数</w:t>
                  </w:r>
                </w:p>
              </w:tc>
              <w:tc>
                <w:tcPr>
                  <w:tcW w:w="1344" w:type="dxa"/>
                  <w:vAlign w:val="center"/>
                </w:tcPr>
                <w:p w14:paraId="01C9EB90">
                  <w:pPr>
                    <w:pStyle w:val="65"/>
                    <w:rPr>
                      <w:color w:val="auto"/>
                    </w:rPr>
                  </w:pPr>
                  <w:r>
                    <w:rPr>
                      <w:color w:val="auto"/>
                    </w:rPr>
                    <w:t>h</w:t>
                  </w:r>
                </w:p>
              </w:tc>
              <w:tc>
                <w:tcPr>
                  <w:tcW w:w="3075" w:type="dxa"/>
                  <w:vAlign w:val="center"/>
                </w:tcPr>
                <w:p w14:paraId="3A5E9B40">
                  <w:pPr>
                    <w:pStyle w:val="65"/>
                    <w:rPr>
                      <w:color w:val="auto"/>
                    </w:rPr>
                  </w:pPr>
                  <w:r>
                    <w:rPr>
                      <w:color w:val="auto"/>
                    </w:rPr>
                    <w:t>1359.47</w:t>
                  </w:r>
                </w:p>
              </w:tc>
              <w:tc>
                <w:tcPr>
                  <w:tcW w:w="798" w:type="dxa"/>
                  <w:vAlign w:val="center"/>
                </w:tcPr>
                <w:p w14:paraId="5A76B8F9">
                  <w:pPr>
                    <w:pStyle w:val="65"/>
                    <w:rPr>
                      <w:color w:val="auto"/>
                    </w:rPr>
                  </w:pPr>
                  <w:r>
                    <w:rPr>
                      <w:color w:val="auto"/>
                    </w:rPr>
                    <w:t>/</w:t>
                  </w:r>
                </w:p>
              </w:tc>
            </w:tr>
            <w:tr w14:paraId="648C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45C869D">
                  <w:pPr>
                    <w:pStyle w:val="65"/>
                    <w:rPr>
                      <w:color w:val="auto"/>
                    </w:rPr>
                  </w:pPr>
                  <w:r>
                    <w:rPr>
                      <w:color w:val="auto"/>
                    </w:rPr>
                    <w:t>10</w:t>
                  </w:r>
                </w:p>
              </w:tc>
              <w:tc>
                <w:tcPr>
                  <w:tcW w:w="1707" w:type="dxa"/>
                  <w:vAlign w:val="center"/>
                </w:tcPr>
                <w:p w14:paraId="4CA52D38">
                  <w:pPr>
                    <w:pStyle w:val="65"/>
                    <w:rPr>
                      <w:color w:val="auto"/>
                    </w:rPr>
                  </w:pPr>
                  <w:r>
                    <w:rPr>
                      <w:color w:val="auto"/>
                    </w:rPr>
                    <w:t>系统综合效率</w:t>
                  </w:r>
                </w:p>
              </w:tc>
              <w:tc>
                <w:tcPr>
                  <w:tcW w:w="1344" w:type="dxa"/>
                  <w:vAlign w:val="center"/>
                </w:tcPr>
                <w:p w14:paraId="77C4A4AB">
                  <w:pPr>
                    <w:pStyle w:val="65"/>
                    <w:rPr>
                      <w:color w:val="auto"/>
                    </w:rPr>
                  </w:pPr>
                  <w:r>
                    <w:rPr>
                      <w:color w:val="auto"/>
                      <w:w w:val="99"/>
                    </w:rPr>
                    <w:t>%</w:t>
                  </w:r>
                </w:p>
              </w:tc>
              <w:tc>
                <w:tcPr>
                  <w:tcW w:w="3075" w:type="dxa"/>
                  <w:vAlign w:val="center"/>
                </w:tcPr>
                <w:p w14:paraId="4DEE2078">
                  <w:pPr>
                    <w:pStyle w:val="65"/>
                    <w:rPr>
                      <w:color w:val="auto"/>
                    </w:rPr>
                  </w:pPr>
                  <w:r>
                    <w:rPr>
                      <w:color w:val="auto"/>
                    </w:rPr>
                    <w:t>85.43</w:t>
                  </w:r>
                </w:p>
              </w:tc>
              <w:tc>
                <w:tcPr>
                  <w:tcW w:w="798" w:type="dxa"/>
                  <w:vAlign w:val="center"/>
                </w:tcPr>
                <w:p w14:paraId="4360683F">
                  <w:pPr>
                    <w:pStyle w:val="65"/>
                    <w:rPr>
                      <w:color w:val="auto"/>
                    </w:rPr>
                  </w:pPr>
                  <w:r>
                    <w:rPr>
                      <w:color w:val="auto"/>
                    </w:rPr>
                    <w:t>/</w:t>
                  </w:r>
                </w:p>
              </w:tc>
            </w:tr>
            <w:tr w14:paraId="3CD4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9" w:type="dxa"/>
                  <w:gridSpan w:val="5"/>
                  <w:vAlign w:val="center"/>
                </w:tcPr>
                <w:p w14:paraId="6BABE744">
                  <w:pPr>
                    <w:pStyle w:val="65"/>
                    <w:rPr>
                      <w:color w:val="auto"/>
                    </w:rPr>
                  </w:pPr>
                  <w:r>
                    <w:rPr>
                      <w:color w:val="auto"/>
                    </w:rPr>
                    <w:t>二、主要气象要素</w:t>
                  </w:r>
                </w:p>
              </w:tc>
            </w:tr>
            <w:tr w14:paraId="08DA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301FC661">
                  <w:pPr>
                    <w:pStyle w:val="65"/>
                    <w:rPr>
                      <w:color w:val="auto"/>
                    </w:rPr>
                  </w:pPr>
                  <w:r>
                    <w:rPr>
                      <w:color w:val="auto"/>
                    </w:rPr>
                    <w:t>编号</w:t>
                  </w:r>
                </w:p>
              </w:tc>
              <w:tc>
                <w:tcPr>
                  <w:tcW w:w="1707" w:type="dxa"/>
                  <w:vAlign w:val="center"/>
                </w:tcPr>
                <w:p w14:paraId="4E0A313B">
                  <w:pPr>
                    <w:pStyle w:val="65"/>
                    <w:rPr>
                      <w:color w:val="auto"/>
                    </w:rPr>
                  </w:pPr>
                  <w:r>
                    <w:rPr>
                      <w:color w:val="auto"/>
                    </w:rPr>
                    <w:t>项目</w:t>
                  </w:r>
                </w:p>
              </w:tc>
              <w:tc>
                <w:tcPr>
                  <w:tcW w:w="1344" w:type="dxa"/>
                  <w:vAlign w:val="center"/>
                </w:tcPr>
                <w:p w14:paraId="780F94E6">
                  <w:pPr>
                    <w:pStyle w:val="65"/>
                    <w:rPr>
                      <w:color w:val="auto"/>
                    </w:rPr>
                  </w:pPr>
                  <w:r>
                    <w:rPr>
                      <w:color w:val="auto"/>
                    </w:rPr>
                    <w:t>单位</w:t>
                  </w:r>
                </w:p>
              </w:tc>
              <w:tc>
                <w:tcPr>
                  <w:tcW w:w="3075" w:type="dxa"/>
                  <w:vAlign w:val="center"/>
                </w:tcPr>
                <w:p w14:paraId="08D02E0C">
                  <w:pPr>
                    <w:pStyle w:val="65"/>
                    <w:rPr>
                      <w:color w:val="auto"/>
                    </w:rPr>
                  </w:pPr>
                  <w:r>
                    <w:rPr>
                      <w:color w:val="auto"/>
                    </w:rPr>
                    <w:t>数量</w:t>
                  </w:r>
                </w:p>
              </w:tc>
              <w:tc>
                <w:tcPr>
                  <w:tcW w:w="798" w:type="dxa"/>
                  <w:vAlign w:val="center"/>
                </w:tcPr>
                <w:p w14:paraId="35834AD1">
                  <w:pPr>
                    <w:pStyle w:val="65"/>
                    <w:rPr>
                      <w:color w:val="auto"/>
                    </w:rPr>
                  </w:pPr>
                  <w:r>
                    <w:rPr>
                      <w:color w:val="auto"/>
                    </w:rPr>
                    <w:t>备注</w:t>
                  </w:r>
                </w:p>
              </w:tc>
            </w:tr>
            <w:tr w14:paraId="0575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2E46A149">
                  <w:pPr>
                    <w:pStyle w:val="65"/>
                    <w:rPr>
                      <w:color w:val="auto"/>
                    </w:rPr>
                  </w:pPr>
                  <w:r>
                    <w:rPr>
                      <w:color w:val="auto"/>
                    </w:rPr>
                    <w:t>1</w:t>
                  </w:r>
                </w:p>
              </w:tc>
              <w:tc>
                <w:tcPr>
                  <w:tcW w:w="1707" w:type="dxa"/>
                  <w:vAlign w:val="center"/>
                </w:tcPr>
                <w:p w14:paraId="66A6318D">
                  <w:pPr>
                    <w:pStyle w:val="65"/>
                    <w:rPr>
                      <w:color w:val="auto"/>
                    </w:rPr>
                  </w:pPr>
                  <w:r>
                    <w:rPr>
                      <w:color w:val="auto"/>
                    </w:rPr>
                    <w:t>多年平均气温</w:t>
                  </w:r>
                </w:p>
              </w:tc>
              <w:tc>
                <w:tcPr>
                  <w:tcW w:w="1344" w:type="dxa"/>
                  <w:vAlign w:val="center"/>
                </w:tcPr>
                <w:p w14:paraId="10C7EBBB">
                  <w:pPr>
                    <w:pStyle w:val="65"/>
                    <w:rPr>
                      <w:color w:val="auto"/>
                    </w:rPr>
                  </w:pPr>
                  <w:r>
                    <w:rPr>
                      <w:color w:val="auto"/>
                    </w:rPr>
                    <w:t>℃</w:t>
                  </w:r>
                </w:p>
              </w:tc>
              <w:tc>
                <w:tcPr>
                  <w:tcW w:w="3075" w:type="dxa"/>
                  <w:vAlign w:val="center"/>
                </w:tcPr>
                <w:p w14:paraId="60AB21EC">
                  <w:pPr>
                    <w:pStyle w:val="65"/>
                    <w:rPr>
                      <w:color w:val="auto"/>
                    </w:rPr>
                  </w:pPr>
                  <w:r>
                    <w:rPr>
                      <w:color w:val="auto"/>
                    </w:rPr>
                    <w:t>19.2</w:t>
                  </w:r>
                </w:p>
              </w:tc>
              <w:tc>
                <w:tcPr>
                  <w:tcW w:w="798" w:type="dxa"/>
                  <w:vAlign w:val="center"/>
                </w:tcPr>
                <w:p w14:paraId="20415565">
                  <w:pPr>
                    <w:pStyle w:val="65"/>
                    <w:rPr>
                      <w:color w:val="auto"/>
                    </w:rPr>
                  </w:pPr>
                  <w:r>
                    <w:rPr>
                      <w:color w:val="auto"/>
                    </w:rPr>
                    <w:t>/</w:t>
                  </w:r>
                </w:p>
              </w:tc>
            </w:tr>
            <w:tr w14:paraId="5FD4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11FD8768">
                  <w:pPr>
                    <w:pStyle w:val="65"/>
                    <w:rPr>
                      <w:color w:val="auto"/>
                    </w:rPr>
                  </w:pPr>
                  <w:r>
                    <w:rPr>
                      <w:color w:val="auto"/>
                    </w:rPr>
                    <w:t>2</w:t>
                  </w:r>
                </w:p>
              </w:tc>
              <w:tc>
                <w:tcPr>
                  <w:tcW w:w="1707" w:type="dxa"/>
                  <w:vAlign w:val="center"/>
                </w:tcPr>
                <w:p w14:paraId="46405348">
                  <w:pPr>
                    <w:pStyle w:val="65"/>
                    <w:rPr>
                      <w:color w:val="auto"/>
                    </w:rPr>
                  </w:pPr>
                  <w:r>
                    <w:rPr>
                      <w:color w:val="auto"/>
                    </w:rPr>
                    <w:t>多年极端最高气温</w:t>
                  </w:r>
                </w:p>
              </w:tc>
              <w:tc>
                <w:tcPr>
                  <w:tcW w:w="1344" w:type="dxa"/>
                  <w:vAlign w:val="center"/>
                </w:tcPr>
                <w:p w14:paraId="2CC7DB55">
                  <w:pPr>
                    <w:pStyle w:val="65"/>
                    <w:rPr>
                      <w:color w:val="auto"/>
                    </w:rPr>
                  </w:pPr>
                  <w:r>
                    <w:rPr>
                      <w:color w:val="auto"/>
                    </w:rPr>
                    <w:t>℃</w:t>
                  </w:r>
                </w:p>
              </w:tc>
              <w:tc>
                <w:tcPr>
                  <w:tcW w:w="3075" w:type="dxa"/>
                  <w:vAlign w:val="center"/>
                </w:tcPr>
                <w:p w14:paraId="0A360E1E">
                  <w:pPr>
                    <w:pStyle w:val="65"/>
                    <w:rPr>
                      <w:color w:val="auto"/>
                    </w:rPr>
                  </w:pPr>
                  <w:r>
                    <w:rPr>
                      <w:color w:val="auto"/>
                    </w:rPr>
                    <w:t>35.9</w:t>
                  </w:r>
                </w:p>
              </w:tc>
              <w:tc>
                <w:tcPr>
                  <w:tcW w:w="798" w:type="dxa"/>
                  <w:vAlign w:val="center"/>
                </w:tcPr>
                <w:p w14:paraId="56C85E41">
                  <w:pPr>
                    <w:pStyle w:val="65"/>
                    <w:rPr>
                      <w:color w:val="auto"/>
                    </w:rPr>
                  </w:pPr>
                  <w:r>
                    <w:rPr>
                      <w:color w:val="auto"/>
                    </w:rPr>
                    <w:t>/</w:t>
                  </w:r>
                </w:p>
              </w:tc>
            </w:tr>
            <w:tr w14:paraId="62DB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7E750852">
                  <w:pPr>
                    <w:pStyle w:val="65"/>
                    <w:rPr>
                      <w:color w:val="auto"/>
                    </w:rPr>
                  </w:pPr>
                  <w:r>
                    <w:rPr>
                      <w:color w:val="auto"/>
                    </w:rPr>
                    <w:t>3</w:t>
                  </w:r>
                </w:p>
              </w:tc>
              <w:tc>
                <w:tcPr>
                  <w:tcW w:w="1707" w:type="dxa"/>
                  <w:vAlign w:val="center"/>
                </w:tcPr>
                <w:p w14:paraId="6ACD20AE">
                  <w:pPr>
                    <w:pStyle w:val="65"/>
                    <w:rPr>
                      <w:color w:val="auto"/>
                    </w:rPr>
                  </w:pPr>
                  <w:r>
                    <w:rPr>
                      <w:color w:val="auto"/>
                    </w:rPr>
                    <w:t>多年极端最低气温</w:t>
                  </w:r>
                </w:p>
              </w:tc>
              <w:tc>
                <w:tcPr>
                  <w:tcW w:w="1344" w:type="dxa"/>
                  <w:vAlign w:val="center"/>
                </w:tcPr>
                <w:p w14:paraId="5A6BACD1">
                  <w:pPr>
                    <w:pStyle w:val="65"/>
                    <w:rPr>
                      <w:color w:val="auto"/>
                    </w:rPr>
                  </w:pPr>
                  <w:r>
                    <w:rPr>
                      <w:color w:val="auto"/>
                    </w:rPr>
                    <w:t>℃</w:t>
                  </w:r>
                </w:p>
              </w:tc>
              <w:tc>
                <w:tcPr>
                  <w:tcW w:w="3075" w:type="dxa"/>
                  <w:vAlign w:val="center"/>
                </w:tcPr>
                <w:p w14:paraId="6FD1C6A2">
                  <w:pPr>
                    <w:pStyle w:val="65"/>
                    <w:rPr>
                      <w:color w:val="auto"/>
                    </w:rPr>
                  </w:pPr>
                  <w:r>
                    <w:rPr>
                      <w:color w:val="auto"/>
                    </w:rPr>
                    <w:t>-0.8</w:t>
                  </w:r>
                </w:p>
              </w:tc>
              <w:tc>
                <w:tcPr>
                  <w:tcW w:w="798" w:type="dxa"/>
                  <w:vAlign w:val="center"/>
                </w:tcPr>
                <w:p w14:paraId="5DBE2697">
                  <w:pPr>
                    <w:pStyle w:val="65"/>
                    <w:rPr>
                      <w:color w:val="auto"/>
                    </w:rPr>
                  </w:pPr>
                  <w:r>
                    <w:rPr>
                      <w:color w:val="auto"/>
                    </w:rPr>
                    <w:t>/</w:t>
                  </w:r>
                </w:p>
              </w:tc>
            </w:tr>
            <w:tr w14:paraId="6141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15B975B6">
                  <w:pPr>
                    <w:pStyle w:val="65"/>
                    <w:rPr>
                      <w:color w:val="auto"/>
                    </w:rPr>
                  </w:pPr>
                  <w:r>
                    <w:rPr>
                      <w:color w:val="auto"/>
                    </w:rPr>
                    <w:t>4</w:t>
                  </w:r>
                </w:p>
              </w:tc>
              <w:tc>
                <w:tcPr>
                  <w:tcW w:w="1707" w:type="dxa"/>
                  <w:vAlign w:val="center"/>
                </w:tcPr>
                <w:p w14:paraId="06E59186">
                  <w:pPr>
                    <w:pStyle w:val="65"/>
                    <w:rPr>
                      <w:color w:val="auto"/>
                    </w:rPr>
                  </w:pPr>
                  <w:r>
                    <w:rPr>
                      <w:color w:val="auto"/>
                    </w:rPr>
                    <w:t>多年平均气压</w:t>
                  </w:r>
                </w:p>
              </w:tc>
              <w:tc>
                <w:tcPr>
                  <w:tcW w:w="1344" w:type="dxa"/>
                  <w:vAlign w:val="center"/>
                </w:tcPr>
                <w:p w14:paraId="300C8351">
                  <w:pPr>
                    <w:pStyle w:val="65"/>
                    <w:rPr>
                      <w:color w:val="auto"/>
                    </w:rPr>
                  </w:pPr>
                  <w:r>
                    <w:rPr>
                      <w:color w:val="auto"/>
                    </w:rPr>
                    <w:t>pha</w:t>
                  </w:r>
                </w:p>
              </w:tc>
              <w:tc>
                <w:tcPr>
                  <w:tcW w:w="3075" w:type="dxa"/>
                  <w:vAlign w:val="center"/>
                </w:tcPr>
                <w:p w14:paraId="6B1698C2">
                  <w:pPr>
                    <w:pStyle w:val="65"/>
                    <w:rPr>
                      <w:color w:val="auto"/>
                    </w:rPr>
                  </w:pPr>
                  <w:r>
                    <w:rPr>
                      <w:color w:val="auto"/>
                    </w:rPr>
                    <w:t>858.2</w:t>
                  </w:r>
                </w:p>
              </w:tc>
              <w:tc>
                <w:tcPr>
                  <w:tcW w:w="798" w:type="dxa"/>
                  <w:vAlign w:val="center"/>
                </w:tcPr>
                <w:p w14:paraId="5CEF3E9D">
                  <w:pPr>
                    <w:pStyle w:val="65"/>
                    <w:rPr>
                      <w:color w:val="auto"/>
                    </w:rPr>
                  </w:pPr>
                  <w:r>
                    <w:rPr>
                      <w:color w:val="auto"/>
                    </w:rPr>
                    <w:t>/</w:t>
                  </w:r>
                </w:p>
              </w:tc>
            </w:tr>
            <w:tr w14:paraId="47EA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3B67CCD6">
                  <w:pPr>
                    <w:pStyle w:val="65"/>
                    <w:rPr>
                      <w:color w:val="auto"/>
                    </w:rPr>
                  </w:pPr>
                  <w:r>
                    <w:rPr>
                      <w:color w:val="auto"/>
                    </w:rPr>
                    <w:t>5</w:t>
                  </w:r>
                </w:p>
              </w:tc>
              <w:tc>
                <w:tcPr>
                  <w:tcW w:w="1707" w:type="dxa"/>
                  <w:vAlign w:val="center"/>
                </w:tcPr>
                <w:p w14:paraId="182A0423">
                  <w:pPr>
                    <w:pStyle w:val="65"/>
                    <w:rPr>
                      <w:color w:val="auto"/>
                    </w:rPr>
                  </w:pPr>
                  <w:r>
                    <w:rPr>
                      <w:color w:val="auto"/>
                    </w:rPr>
                    <w:t>多年平均风速</w:t>
                  </w:r>
                </w:p>
              </w:tc>
              <w:tc>
                <w:tcPr>
                  <w:tcW w:w="1344" w:type="dxa"/>
                  <w:vAlign w:val="center"/>
                </w:tcPr>
                <w:p w14:paraId="1EED76C1">
                  <w:pPr>
                    <w:pStyle w:val="65"/>
                    <w:rPr>
                      <w:color w:val="auto"/>
                    </w:rPr>
                  </w:pPr>
                  <w:r>
                    <w:rPr>
                      <w:color w:val="auto"/>
                    </w:rPr>
                    <w:t>m/s</w:t>
                  </w:r>
                </w:p>
              </w:tc>
              <w:tc>
                <w:tcPr>
                  <w:tcW w:w="3075" w:type="dxa"/>
                  <w:vAlign w:val="center"/>
                </w:tcPr>
                <w:p w14:paraId="16F17AE5">
                  <w:pPr>
                    <w:pStyle w:val="65"/>
                    <w:rPr>
                      <w:color w:val="auto"/>
                    </w:rPr>
                  </w:pPr>
                  <w:r>
                    <w:rPr>
                      <w:color w:val="auto"/>
                    </w:rPr>
                    <w:t>2.8</w:t>
                  </w:r>
                </w:p>
              </w:tc>
              <w:tc>
                <w:tcPr>
                  <w:tcW w:w="798" w:type="dxa"/>
                  <w:vAlign w:val="center"/>
                </w:tcPr>
                <w:p w14:paraId="4904602F">
                  <w:pPr>
                    <w:pStyle w:val="65"/>
                    <w:rPr>
                      <w:color w:val="auto"/>
                    </w:rPr>
                  </w:pPr>
                  <w:r>
                    <w:rPr>
                      <w:color w:val="auto"/>
                    </w:rPr>
                    <w:t>/</w:t>
                  </w:r>
                </w:p>
              </w:tc>
            </w:tr>
            <w:tr w14:paraId="2353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13BC6041">
                  <w:pPr>
                    <w:pStyle w:val="65"/>
                    <w:rPr>
                      <w:color w:val="auto"/>
                    </w:rPr>
                  </w:pPr>
                  <w:r>
                    <w:rPr>
                      <w:color w:val="auto"/>
                    </w:rPr>
                    <w:t>6</w:t>
                  </w:r>
                </w:p>
              </w:tc>
              <w:tc>
                <w:tcPr>
                  <w:tcW w:w="1707" w:type="dxa"/>
                  <w:vAlign w:val="center"/>
                </w:tcPr>
                <w:p w14:paraId="3CC54EB1">
                  <w:pPr>
                    <w:pStyle w:val="65"/>
                    <w:rPr>
                      <w:color w:val="auto"/>
                    </w:rPr>
                  </w:pPr>
                  <w:r>
                    <w:rPr>
                      <w:color w:val="auto"/>
                    </w:rPr>
                    <w:t>多年极大风速</w:t>
                  </w:r>
                </w:p>
              </w:tc>
              <w:tc>
                <w:tcPr>
                  <w:tcW w:w="1344" w:type="dxa"/>
                  <w:vAlign w:val="center"/>
                </w:tcPr>
                <w:p w14:paraId="7868B52A">
                  <w:pPr>
                    <w:pStyle w:val="65"/>
                    <w:rPr>
                      <w:color w:val="auto"/>
                    </w:rPr>
                  </w:pPr>
                  <w:r>
                    <w:rPr>
                      <w:color w:val="auto"/>
                    </w:rPr>
                    <w:t>m/s</w:t>
                  </w:r>
                </w:p>
              </w:tc>
              <w:tc>
                <w:tcPr>
                  <w:tcW w:w="3075" w:type="dxa"/>
                  <w:vAlign w:val="center"/>
                </w:tcPr>
                <w:p w14:paraId="63FAF66E">
                  <w:pPr>
                    <w:pStyle w:val="65"/>
                    <w:rPr>
                      <w:color w:val="auto"/>
                    </w:rPr>
                  </w:pPr>
                  <w:r>
                    <w:rPr>
                      <w:rFonts w:hint="eastAsia"/>
                      <w:color w:val="auto"/>
                    </w:rPr>
                    <w:t>/</w:t>
                  </w:r>
                </w:p>
              </w:tc>
              <w:tc>
                <w:tcPr>
                  <w:tcW w:w="798" w:type="dxa"/>
                  <w:vAlign w:val="center"/>
                </w:tcPr>
                <w:p w14:paraId="2DCCC2A3">
                  <w:pPr>
                    <w:pStyle w:val="65"/>
                    <w:rPr>
                      <w:color w:val="auto"/>
                    </w:rPr>
                  </w:pPr>
                  <w:r>
                    <w:rPr>
                      <w:color w:val="auto"/>
                    </w:rPr>
                    <w:t>/</w:t>
                  </w:r>
                </w:p>
              </w:tc>
            </w:tr>
            <w:tr w14:paraId="1449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5DB4F82E">
                  <w:pPr>
                    <w:pStyle w:val="65"/>
                    <w:rPr>
                      <w:color w:val="auto"/>
                    </w:rPr>
                  </w:pPr>
                  <w:r>
                    <w:rPr>
                      <w:color w:val="auto"/>
                    </w:rPr>
                    <w:t>7</w:t>
                  </w:r>
                </w:p>
              </w:tc>
              <w:tc>
                <w:tcPr>
                  <w:tcW w:w="1707" w:type="dxa"/>
                  <w:vAlign w:val="center"/>
                </w:tcPr>
                <w:p w14:paraId="02A1EEC2">
                  <w:pPr>
                    <w:pStyle w:val="65"/>
                    <w:rPr>
                      <w:color w:val="auto"/>
                    </w:rPr>
                  </w:pPr>
                  <w:r>
                    <w:rPr>
                      <w:color w:val="auto"/>
                    </w:rPr>
                    <w:t>多年平均相对湿度</w:t>
                  </w:r>
                </w:p>
              </w:tc>
              <w:tc>
                <w:tcPr>
                  <w:tcW w:w="1344" w:type="dxa"/>
                  <w:vAlign w:val="center"/>
                </w:tcPr>
                <w:p w14:paraId="19512720">
                  <w:pPr>
                    <w:pStyle w:val="65"/>
                    <w:rPr>
                      <w:color w:val="auto"/>
                    </w:rPr>
                  </w:pPr>
                  <w:r>
                    <w:rPr>
                      <w:color w:val="auto"/>
                    </w:rPr>
                    <w:t>%</w:t>
                  </w:r>
                </w:p>
              </w:tc>
              <w:tc>
                <w:tcPr>
                  <w:tcW w:w="3075" w:type="dxa"/>
                  <w:vAlign w:val="center"/>
                </w:tcPr>
                <w:p w14:paraId="5956B544">
                  <w:pPr>
                    <w:pStyle w:val="65"/>
                    <w:rPr>
                      <w:color w:val="auto"/>
                    </w:rPr>
                  </w:pPr>
                  <w:r>
                    <w:rPr>
                      <w:color w:val="auto"/>
                    </w:rPr>
                    <w:t>63</w:t>
                  </w:r>
                </w:p>
              </w:tc>
              <w:tc>
                <w:tcPr>
                  <w:tcW w:w="798" w:type="dxa"/>
                  <w:vAlign w:val="center"/>
                </w:tcPr>
                <w:p w14:paraId="6E74DCD9">
                  <w:pPr>
                    <w:pStyle w:val="65"/>
                    <w:rPr>
                      <w:color w:val="auto"/>
                    </w:rPr>
                  </w:pPr>
                  <w:r>
                    <w:rPr>
                      <w:color w:val="auto"/>
                    </w:rPr>
                    <w:t>/</w:t>
                  </w:r>
                </w:p>
              </w:tc>
            </w:tr>
            <w:tr w14:paraId="6EA9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5F0C88D4">
                  <w:pPr>
                    <w:pStyle w:val="65"/>
                    <w:rPr>
                      <w:color w:val="auto"/>
                    </w:rPr>
                  </w:pPr>
                  <w:r>
                    <w:rPr>
                      <w:color w:val="auto"/>
                    </w:rPr>
                    <w:t>8</w:t>
                  </w:r>
                </w:p>
              </w:tc>
              <w:tc>
                <w:tcPr>
                  <w:tcW w:w="1707" w:type="dxa"/>
                  <w:vAlign w:val="center"/>
                </w:tcPr>
                <w:p w14:paraId="7EEA0C05">
                  <w:pPr>
                    <w:pStyle w:val="65"/>
                    <w:rPr>
                      <w:color w:val="auto"/>
                    </w:rPr>
                  </w:pPr>
                  <w:r>
                    <w:rPr>
                      <w:color w:val="auto"/>
                    </w:rPr>
                    <w:t>多年平均降雨量</w:t>
                  </w:r>
                </w:p>
              </w:tc>
              <w:tc>
                <w:tcPr>
                  <w:tcW w:w="1344" w:type="dxa"/>
                  <w:vAlign w:val="center"/>
                </w:tcPr>
                <w:p w14:paraId="73DC284E">
                  <w:pPr>
                    <w:pStyle w:val="65"/>
                    <w:rPr>
                      <w:color w:val="auto"/>
                    </w:rPr>
                  </w:pPr>
                  <w:r>
                    <w:rPr>
                      <w:color w:val="auto"/>
                    </w:rPr>
                    <w:t>mm</w:t>
                  </w:r>
                </w:p>
              </w:tc>
              <w:tc>
                <w:tcPr>
                  <w:tcW w:w="3075" w:type="dxa"/>
                  <w:vAlign w:val="center"/>
                </w:tcPr>
                <w:p w14:paraId="6003285A">
                  <w:pPr>
                    <w:pStyle w:val="65"/>
                    <w:rPr>
                      <w:color w:val="auto"/>
                    </w:rPr>
                  </w:pPr>
                  <w:r>
                    <w:rPr>
                      <w:color w:val="auto"/>
                    </w:rPr>
                    <w:t>735.5</w:t>
                  </w:r>
                </w:p>
              </w:tc>
              <w:tc>
                <w:tcPr>
                  <w:tcW w:w="798" w:type="dxa"/>
                  <w:vAlign w:val="center"/>
                </w:tcPr>
                <w:p w14:paraId="742FF3D0">
                  <w:pPr>
                    <w:pStyle w:val="65"/>
                    <w:rPr>
                      <w:color w:val="auto"/>
                    </w:rPr>
                  </w:pPr>
                  <w:r>
                    <w:rPr>
                      <w:color w:val="auto"/>
                    </w:rPr>
                    <w:t>/</w:t>
                  </w:r>
                </w:p>
              </w:tc>
            </w:tr>
            <w:tr w14:paraId="3EDF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7209E489">
                  <w:pPr>
                    <w:pStyle w:val="65"/>
                    <w:rPr>
                      <w:color w:val="auto"/>
                    </w:rPr>
                  </w:pPr>
                  <w:r>
                    <w:rPr>
                      <w:color w:val="auto"/>
                    </w:rPr>
                    <w:t>9</w:t>
                  </w:r>
                </w:p>
              </w:tc>
              <w:tc>
                <w:tcPr>
                  <w:tcW w:w="1707" w:type="dxa"/>
                  <w:vAlign w:val="center"/>
                </w:tcPr>
                <w:p w14:paraId="009155AF">
                  <w:pPr>
                    <w:pStyle w:val="65"/>
                    <w:rPr>
                      <w:color w:val="auto"/>
                    </w:rPr>
                  </w:pPr>
                  <w:r>
                    <w:rPr>
                      <w:color w:val="auto"/>
                    </w:rPr>
                    <w:t>多年平均雷暴日数</w:t>
                  </w:r>
                </w:p>
              </w:tc>
              <w:tc>
                <w:tcPr>
                  <w:tcW w:w="1344" w:type="dxa"/>
                  <w:vAlign w:val="center"/>
                </w:tcPr>
                <w:p w14:paraId="6290BC11">
                  <w:pPr>
                    <w:pStyle w:val="65"/>
                    <w:rPr>
                      <w:color w:val="auto"/>
                    </w:rPr>
                  </w:pPr>
                  <w:r>
                    <w:rPr>
                      <w:color w:val="auto"/>
                    </w:rPr>
                    <w:t>日</w:t>
                  </w:r>
                </w:p>
              </w:tc>
              <w:tc>
                <w:tcPr>
                  <w:tcW w:w="3075" w:type="dxa"/>
                  <w:vAlign w:val="center"/>
                </w:tcPr>
                <w:p w14:paraId="658BB96F">
                  <w:pPr>
                    <w:pStyle w:val="65"/>
                    <w:rPr>
                      <w:color w:val="auto"/>
                    </w:rPr>
                  </w:pPr>
                  <w:r>
                    <w:rPr>
                      <w:color w:val="auto"/>
                    </w:rPr>
                    <w:t>43.6</w:t>
                  </w:r>
                </w:p>
              </w:tc>
              <w:tc>
                <w:tcPr>
                  <w:tcW w:w="798" w:type="dxa"/>
                  <w:vAlign w:val="center"/>
                </w:tcPr>
                <w:p w14:paraId="3C55B3C9">
                  <w:pPr>
                    <w:pStyle w:val="65"/>
                    <w:rPr>
                      <w:color w:val="auto"/>
                    </w:rPr>
                  </w:pPr>
                  <w:r>
                    <w:rPr>
                      <w:color w:val="auto"/>
                    </w:rPr>
                    <w:t>/</w:t>
                  </w:r>
                </w:p>
              </w:tc>
            </w:tr>
            <w:tr w14:paraId="674F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9" w:type="dxa"/>
                  <w:gridSpan w:val="5"/>
                  <w:vAlign w:val="center"/>
                </w:tcPr>
                <w:p w14:paraId="0CDF2307">
                  <w:pPr>
                    <w:pStyle w:val="65"/>
                    <w:rPr>
                      <w:color w:val="auto"/>
                    </w:rPr>
                  </w:pPr>
                  <w:r>
                    <w:rPr>
                      <w:color w:val="auto"/>
                    </w:rPr>
                    <w:t>三、主要设备</w:t>
                  </w:r>
                </w:p>
              </w:tc>
            </w:tr>
            <w:tr w14:paraId="45CE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ECF49E6">
                  <w:pPr>
                    <w:pStyle w:val="65"/>
                    <w:rPr>
                      <w:color w:val="auto"/>
                    </w:rPr>
                  </w:pPr>
                  <w:r>
                    <w:rPr>
                      <w:color w:val="auto"/>
                    </w:rPr>
                    <w:t>编号</w:t>
                  </w:r>
                </w:p>
              </w:tc>
              <w:tc>
                <w:tcPr>
                  <w:tcW w:w="1707" w:type="dxa"/>
                  <w:vAlign w:val="center"/>
                </w:tcPr>
                <w:p w14:paraId="2152F69D">
                  <w:pPr>
                    <w:pStyle w:val="65"/>
                    <w:rPr>
                      <w:color w:val="auto"/>
                    </w:rPr>
                  </w:pPr>
                  <w:r>
                    <w:rPr>
                      <w:color w:val="auto"/>
                    </w:rPr>
                    <w:t>名    称</w:t>
                  </w:r>
                </w:p>
              </w:tc>
              <w:tc>
                <w:tcPr>
                  <w:tcW w:w="1344" w:type="dxa"/>
                  <w:vAlign w:val="center"/>
                </w:tcPr>
                <w:p w14:paraId="06CBBAD5">
                  <w:pPr>
                    <w:pStyle w:val="65"/>
                    <w:rPr>
                      <w:color w:val="auto"/>
                    </w:rPr>
                  </w:pPr>
                  <w:r>
                    <w:rPr>
                      <w:color w:val="auto"/>
                    </w:rPr>
                    <w:t>单位</w:t>
                  </w:r>
                </w:p>
              </w:tc>
              <w:tc>
                <w:tcPr>
                  <w:tcW w:w="3075" w:type="dxa"/>
                  <w:vAlign w:val="center"/>
                </w:tcPr>
                <w:p w14:paraId="50CB3008">
                  <w:pPr>
                    <w:pStyle w:val="65"/>
                    <w:rPr>
                      <w:color w:val="auto"/>
                    </w:rPr>
                  </w:pPr>
                  <w:r>
                    <w:rPr>
                      <w:color w:val="auto"/>
                    </w:rPr>
                    <w:t>数量</w:t>
                  </w:r>
                </w:p>
              </w:tc>
              <w:tc>
                <w:tcPr>
                  <w:tcW w:w="798" w:type="dxa"/>
                  <w:vAlign w:val="center"/>
                </w:tcPr>
                <w:p w14:paraId="1DFE74A8">
                  <w:pPr>
                    <w:pStyle w:val="65"/>
                    <w:rPr>
                      <w:color w:val="auto"/>
                    </w:rPr>
                  </w:pPr>
                  <w:r>
                    <w:rPr>
                      <w:color w:val="auto"/>
                    </w:rPr>
                    <w:t>备注</w:t>
                  </w:r>
                </w:p>
              </w:tc>
            </w:tr>
            <w:tr w14:paraId="1ED6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9" w:type="dxa"/>
                  <w:gridSpan w:val="5"/>
                  <w:vAlign w:val="center"/>
                </w:tcPr>
                <w:p w14:paraId="0C89D5A7">
                  <w:pPr>
                    <w:pStyle w:val="65"/>
                    <w:rPr>
                      <w:color w:val="auto"/>
                    </w:rPr>
                  </w:pPr>
                  <w:r>
                    <w:rPr>
                      <w:color w:val="auto"/>
                    </w:rPr>
                    <w:t>1、光伏组件（型号：</w:t>
                  </w:r>
                  <w:r>
                    <w:rPr>
                      <w:rFonts w:hint="eastAsia"/>
                      <w:color w:val="auto"/>
                    </w:rPr>
                    <w:t>异质结710</w:t>
                  </w:r>
                  <w:r>
                    <w:rPr>
                      <w:color w:val="auto"/>
                    </w:rPr>
                    <w:t>Wp）</w:t>
                  </w:r>
                </w:p>
              </w:tc>
            </w:tr>
            <w:tr w14:paraId="3F2D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14CE23C8">
                  <w:pPr>
                    <w:pStyle w:val="65"/>
                    <w:rPr>
                      <w:color w:val="auto"/>
                    </w:rPr>
                  </w:pPr>
                  <w:r>
                    <w:rPr>
                      <w:color w:val="auto"/>
                    </w:rPr>
                    <w:t>1</w:t>
                  </w:r>
                </w:p>
              </w:tc>
              <w:tc>
                <w:tcPr>
                  <w:tcW w:w="1707" w:type="dxa"/>
                  <w:vAlign w:val="center"/>
                </w:tcPr>
                <w:p w14:paraId="433F7BEF">
                  <w:pPr>
                    <w:pStyle w:val="65"/>
                    <w:rPr>
                      <w:color w:val="auto"/>
                    </w:rPr>
                  </w:pPr>
                  <w:r>
                    <w:rPr>
                      <w:rFonts w:cs="Times New Roman"/>
                      <w:color w:val="auto"/>
                      <w:szCs w:val="21"/>
                    </w:rPr>
                    <w:t>峰值功率</w:t>
                  </w:r>
                </w:p>
              </w:tc>
              <w:tc>
                <w:tcPr>
                  <w:tcW w:w="1344" w:type="dxa"/>
                  <w:vAlign w:val="center"/>
                </w:tcPr>
                <w:p w14:paraId="75825637">
                  <w:pPr>
                    <w:pStyle w:val="65"/>
                    <w:rPr>
                      <w:color w:val="auto"/>
                    </w:rPr>
                  </w:pPr>
                  <w:r>
                    <w:rPr>
                      <w:rFonts w:cs="Times New Roman"/>
                      <w:color w:val="auto"/>
                      <w:szCs w:val="21"/>
                    </w:rPr>
                    <w:t>Wp</w:t>
                  </w:r>
                </w:p>
              </w:tc>
              <w:tc>
                <w:tcPr>
                  <w:tcW w:w="3075" w:type="dxa"/>
                  <w:vAlign w:val="center"/>
                </w:tcPr>
                <w:p w14:paraId="24326661">
                  <w:pPr>
                    <w:pStyle w:val="65"/>
                    <w:rPr>
                      <w:color w:val="auto"/>
                    </w:rPr>
                  </w:pPr>
                  <w:r>
                    <w:rPr>
                      <w:rFonts w:cs="Times New Roman"/>
                      <w:color w:val="auto"/>
                      <w:szCs w:val="21"/>
                    </w:rPr>
                    <w:t>710</w:t>
                  </w:r>
                </w:p>
              </w:tc>
              <w:tc>
                <w:tcPr>
                  <w:tcW w:w="798" w:type="dxa"/>
                  <w:vAlign w:val="center"/>
                </w:tcPr>
                <w:p w14:paraId="3C8E6E61">
                  <w:pPr>
                    <w:pStyle w:val="65"/>
                    <w:rPr>
                      <w:color w:val="auto"/>
                    </w:rPr>
                  </w:pPr>
                  <w:r>
                    <w:rPr>
                      <w:color w:val="auto"/>
                    </w:rPr>
                    <w:t>/</w:t>
                  </w:r>
                </w:p>
              </w:tc>
            </w:tr>
            <w:tr w14:paraId="6499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4B2C3583">
                  <w:pPr>
                    <w:pStyle w:val="65"/>
                    <w:rPr>
                      <w:color w:val="auto"/>
                    </w:rPr>
                  </w:pPr>
                  <w:r>
                    <w:rPr>
                      <w:color w:val="auto"/>
                    </w:rPr>
                    <w:t>2</w:t>
                  </w:r>
                </w:p>
              </w:tc>
              <w:tc>
                <w:tcPr>
                  <w:tcW w:w="1707" w:type="dxa"/>
                  <w:vAlign w:val="center"/>
                </w:tcPr>
                <w:p w14:paraId="7A0DC9B0">
                  <w:pPr>
                    <w:pStyle w:val="65"/>
                    <w:rPr>
                      <w:color w:val="auto"/>
                    </w:rPr>
                  </w:pPr>
                  <w:r>
                    <w:rPr>
                      <w:rFonts w:cs="Times New Roman"/>
                      <w:color w:val="auto"/>
                      <w:szCs w:val="21"/>
                    </w:rPr>
                    <w:t>开路电压（Voc）</w:t>
                  </w:r>
                </w:p>
              </w:tc>
              <w:tc>
                <w:tcPr>
                  <w:tcW w:w="1344" w:type="dxa"/>
                  <w:vAlign w:val="center"/>
                </w:tcPr>
                <w:p w14:paraId="7DFF62BD">
                  <w:pPr>
                    <w:pStyle w:val="65"/>
                    <w:rPr>
                      <w:color w:val="auto"/>
                    </w:rPr>
                  </w:pPr>
                  <w:r>
                    <w:rPr>
                      <w:rFonts w:cs="Times New Roman"/>
                      <w:color w:val="auto"/>
                      <w:w w:val="99"/>
                      <w:szCs w:val="21"/>
                    </w:rPr>
                    <w:t>V</w:t>
                  </w:r>
                </w:p>
              </w:tc>
              <w:tc>
                <w:tcPr>
                  <w:tcW w:w="3075" w:type="dxa"/>
                  <w:vAlign w:val="center"/>
                </w:tcPr>
                <w:p w14:paraId="497BEBF7">
                  <w:pPr>
                    <w:pStyle w:val="65"/>
                    <w:rPr>
                      <w:color w:val="auto"/>
                    </w:rPr>
                  </w:pPr>
                  <w:r>
                    <w:rPr>
                      <w:rFonts w:cs="Times New Roman"/>
                      <w:color w:val="auto"/>
                      <w:szCs w:val="21"/>
                    </w:rPr>
                    <w:t>49.97</w:t>
                  </w:r>
                </w:p>
              </w:tc>
              <w:tc>
                <w:tcPr>
                  <w:tcW w:w="798" w:type="dxa"/>
                  <w:vAlign w:val="center"/>
                </w:tcPr>
                <w:p w14:paraId="32182D96">
                  <w:pPr>
                    <w:pStyle w:val="65"/>
                    <w:rPr>
                      <w:color w:val="auto"/>
                    </w:rPr>
                  </w:pPr>
                  <w:r>
                    <w:rPr>
                      <w:color w:val="auto"/>
                    </w:rPr>
                    <w:t>/</w:t>
                  </w:r>
                </w:p>
              </w:tc>
            </w:tr>
            <w:tr w14:paraId="65A5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737F2B5F">
                  <w:pPr>
                    <w:pStyle w:val="65"/>
                    <w:rPr>
                      <w:color w:val="auto"/>
                    </w:rPr>
                  </w:pPr>
                  <w:r>
                    <w:rPr>
                      <w:color w:val="auto"/>
                    </w:rPr>
                    <w:t>3</w:t>
                  </w:r>
                </w:p>
              </w:tc>
              <w:tc>
                <w:tcPr>
                  <w:tcW w:w="1707" w:type="dxa"/>
                  <w:vAlign w:val="center"/>
                </w:tcPr>
                <w:p w14:paraId="70AFD1E5">
                  <w:pPr>
                    <w:pStyle w:val="65"/>
                    <w:rPr>
                      <w:color w:val="auto"/>
                    </w:rPr>
                  </w:pPr>
                  <w:r>
                    <w:rPr>
                      <w:rFonts w:cs="Times New Roman"/>
                      <w:color w:val="auto"/>
                      <w:szCs w:val="21"/>
                    </w:rPr>
                    <w:t>短路电流（Isc）</w:t>
                  </w:r>
                </w:p>
              </w:tc>
              <w:tc>
                <w:tcPr>
                  <w:tcW w:w="1344" w:type="dxa"/>
                  <w:vAlign w:val="center"/>
                </w:tcPr>
                <w:p w14:paraId="24143E19">
                  <w:pPr>
                    <w:pStyle w:val="65"/>
                    <w:rPr>
                      <w:color w:val="auto"/>
                    </w:rPr>
                  </w:pPr>
                  <w:r>
                    <w:rPr>
                      <w:rFonts w:cs="Times New Roman"/>
                      <w:color w:val="auto"/>
                      <w:w w:val="99"/>
                      <w:szCs w:val="21"/>
                    </w:rPr>
                    <w:t>A</w:t>
                  </w:r>
                </w:p>
              </w:tc>
              <w:tc>
                <w:tcPr>
                  <w:tcW w:w="3075" w:type="dxa"/>
                  <w:vAlign w:val="center"/>
                </w:tcPr>
                <w:p w14:paraId="379EFAF5">
                  <w:pPr>
                    <w:pStyle w:val="65"/>
                    <w:rPr>
                      <w:color w:val="auto"/>
                    </w:rPr>
                  </w:pPr>
                  <w:r>
                    <w:rPr>
                      <w:rFonts w:cs="Times New Roman"/>
                      <w:color w:val="auto"/>
                      <w:szCs w:val="21"/>
                    </w:rPr>
                    <w:t>17.99</w:t>
                  </w:r>
                </w:p>
              </w:tc>
              <w:tc>
                <w:tcPr>
                  <w:tcW w:w="798" w:type="dxa"/>
                  <w:vAlign w:val="center"/>
                </w:tcPr>
                <w:p w14:paraId="690E537B">
                  <w:pPr>
                    <w:pStyle w:val="65"/>
                    <w:rPr>
                      <w:color w:val="auto"/>
                    </w:rPr>
                  </w:pPr>
                  <w:r>
                    <w:rPr>
                      <w:color w:val="auto"/>
                    </w:rPr>
                    <w:t>/</w:t>
                  </w:r>
                </w:p>
              </w:tc>
            </w:tr>
            <w:tr w14:paraId="5111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19DED4E2">
                  <w:pPr>
                    <w:pStyle w:val="65"/>
                    <w:rPr>
                      <w:color w:val="auto"/>
                    </w:rPr>
                  </w:pPr>
                  <w:r>
                    <w:rPr>
                      <w:color w:val="auto"/>
                    </w:rPr>
                    <w:t>4</w:t>
                  </w:r>
                </w:p>
              </w:tc>
              <w:tc>
                <w:tcPr>
                  <w:tcW w:w="1707" w:type="dxa"/>
                  <w:vAlign w:val="center"/>
                </w:tcPr>
                <w:p w14:paraId="1499B041">
                  <w:pPr>
                    <w:pStyle w:val="65"/>
                    <w:rPr>
                      <w:color w:val="auto"/>
                    </w:rPr>
                  </w:pPr>
                  <w:r>
                    <w:rPr>
                      <w:rFonts w:hint="eastAsia" w:cs="Times New Roman"/>
                      <w:color w:val="auto"/>
                      <w:szCs w:val="21"/>
                    </w:rPr>
                    <w:t>峰值功率</w:t>
                  </w:r>
                  <w:r>
                    <w:rPr>
                      <w:rFonts w:cs="Times New Roman"/>
                      <w:color w:val="auto"/>
                      <w:szCs w:val="21"/>
                    </w:rPr>
                    <w:t>电压（Vmp）</w:t>
                  </w:r>
                </w:p>
              </w:tc>
              <w:tc>
                <w:tcPr>
                  <w:tcW w:w="1344" w:type="dxa"/>
                  <w:vAlign w:val="center"/>
                </w:tcPr>
                <w:p w14:paraId="670B7265">
                  <w:pPr>
                    <w:pStyle w:val="65"/>
                    <w:rPr>
                      <w:color w:val="auto"/>
                    </w:rPr>
                  </w:pPr>
                  <w:r>
                    <w:rPr>
                      <w:rFonts w:cs="Times New Roman"/>
                      <w:color w:val="auto"/>
                      <w:w w:val="99"/>
                      <w:szCs w:val="21"/>
                    </w:rPr>
                    <w:t>V</w:t>
                  </w:r>
                </w:p>
              </w:tc>
              <w:tc>
                <w:tcPr>
                  <w:tcW w:w="3075" w:type="dxa"/>
                  <w:vAlign w:val="center"/>
                </w:tcPr>
                <w:p w14:paraId="3D308327">
                  <w:pPr>
                    <w:pStyle w:val="65"/>
                    <w:rPr>
                      <w:color w:val="auto"/>
                    </w:rPr>
                  </w:pPr>
                  <w:r>
                    <w:rPr>
                      <w:rFonts w:cs="Times New Roman"/>
                      <w:color w:val="auto"/>
                      <w:szCs w:val="21"/>
                    </w:rPr>
                    <w:t>41.96</w:t>
                  </w:r>
                </w:p>
              </w:tc>
              <w:tc>
                <w:tcPr>
                  <w:tcW w:w="798" w:type="dxa"/>
                  <w:vAlign w:val="center"/>
                </w:tcPr>
                <w:p w14:paraId="09244FAE">
                  <w:pPr>
                    <w:pStyle w:val="65"/>
                    <w:rPr>
                      <w:color w:val="auto"/>
                    </w:rPr>
                  </w:pPr>
                  <w:r>
                    <w:rPr>
                      <w:color w:val="auto"/>
                    </w:rPr>
                    <w:t>/</w:t>
                  </w:r>
                </w:p>
              </w:tc>
            </w:tr>
            <w:tr w14:paraId="37E4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263129B7">
                  <w:pPr>
                    <w:pStyle w:val="65"/>
                    <w:rPr>
                      <w:color w:val="auto"/>
                    </w:rPr>
                  </w:pPr>
                  <w:r>
                    <w:rPr>
                      <w:color w:val="auto"/>
                    </w:rPr>
                    <w:t>5</w:t>
                  </w:r>
                </w:p>
              </w:tc>
              <w:tc>
                <w:tcPr>
                  <w:tcW w:w="1707" w:type="dxa"/>
                  <w:vAlign w:val="center"/>
                </w:tcPr>
                <w:p w14:paraId="471A1AAF">
                  <w:pPr>
                    <w:pStyle w:val="65"/>
                    <w:rPr>
                      <w:color w:val="auto"/>
                    </w:rPr>
                  </w:pPr>
                  <w:r>
                    <w:rPr>
                      <w:rFonts w:cs="Times New Roman"/>
                      <w:color w:val="auto"/>
                      <w:szCs w:val="21"/>
                    </w:rPr>
                    <w:t>光伏组件的开路电压温度系数</w:t>
                  </w:r>
                </w:p>
              </w:tc>
              <w:tc>
                <w:tcPr>
                  <w:tcW w:w="1344" w:type="dxa"/>
                  <w:vAlign w:val="center"/>
                </w:tcPr>
                <w:p w14:paraId="4F7E972C">
                  <w:pPr>
                    <w:pStyle w:val="65"/>
                    <w:rPr>
                      <w:color w:val="auto"/>
                    </w:rPr>
                  </w:pPr>
                  <w:r>
                    <w:rPr>
                      <w:rFonts w:cs="Times New Roman"/>
                      <w:color w:val="auto"/>
                      <w:szCs w:val="21"/>
                    </w:rPr>
                    <w:t>%/℃</w:t>
                  </w:r>
                </w:p>
              </w:tc>
              <w:tc>
                <w:tcPr>
                  <w:tcW w:w="3075" w:type="dxa"/>
                  <w:vAlign w:val="center"/>
                </w:tcPr>
                <w:p w14:paraId="467A4688">
                  <w:pPr>
                    <w:pStyle w:val="65"/>
                    <w:rPr>
                      <w:color w:val="auto"/>
                    </w:rPr>
                  </w:pPr>
                  <w:r>
                    <w:rPr>
                      <w:rFonts w:cs="Times New Roman"/>
                      <w:color w:val="auto"/>
                      <w:szCs w:val="21"/>
                    </w:rPr>
                    <w:t>-0.22</w:t>
                  </w:r>
                </w:p>
              </w:tc>
              <w:tc>
                <w:tcPr>
                  <w:tcW w:w="798" w:type="dxa"/>
                  <w:vAlign w:val="center"/>
                </w:tcPr>
                <w:p w14:paraId="5BF09730">
                  <w:pPr>
                    <w:pStyle w:val="65"/>
                    <w:rPr>
                      <w:color w:val="auto"/>
                    </w:rPr>
                  </w:pPr>
                  <w:r>
                    <w:rPr>
                      <w:color w:val="auto"/>
                    </w:rPr>
                    <w:t>/</w:t>
                  </w:r>
                </w:p>
              </w:tc>
            </w:tr>
            <w:tr w14:paraId="1236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37442B0">
                  <w:pPr>
                    <w:pStyle w:val="65"/>
                    <w:rPr>
                      <w:color w:val="auto"/>
                    </w:rPr>
                  </w:pPr>
                  <w:r>
                    <w:rPr>
                      <w:color w:val="auto"/>
                    </w:rPr>
                    <w:t>6</w:t>
                  </w:r>
                </w:p>
              </w:tc>
              <w:tc>
                <w:tcPr>
                  <w:tcW w:w="1707" w:type="dxa"/>
                  <w:vAlign w:val="center"/>
                </w:tcPr>
                <w:p w14:paraId="7E2F40F6">
                  <w:pPr>
                    <w:pStyle w:val="65"/>
                    <w:rPr>
                      <w:color w:val="auto"/>
                    </w:rPr>
                  </w:pPr>
                  <w:r>
                    <w:rPr>
                      <w:rFonts w:cs="Times New Roman"/>
                      <w:color w:val="auto"/>
                      <w:szCs w:val="21"/>
                    </w:rPr>
                    <w:t>光伏组件的峰值功率温度系数</w:t>
                  </w:r>
                </w:p>
              </w:tc>
              <w:tc>
                <w:tcPr>
                  <w:tcW w:w="1344" w:type="dxa"/>
                  <w:vAlign w:val="center"/>
                </w:tcPr>
                <w:p w14:paraId="75DC1433">
                  <w:pPr>
                    <w:pStyle w:val="65"/>
                    <w:rPr>
                      <w:color w:val="auto"/>
                    </w:rPr>
                  </w:pPr>
                  <w:r>
                    <w:rPr>
                      <w:rFonts w:cs="Times New Roman"/>
                      <w:color w:val="auto"/>
                      <w:szCs w:val="21"/>
                    </w:rPr>
                    <w:t>%/℃</w:t>
                  </w:r>
                </w:p>
              </w:tc>
              <w:tc>
                <w:tcPr>
                  <w:tcW w:w="3075" w:type="dxa"/>
                  <w:vAlign w:val="center"/>
                </w:tcPr>
                <w:p w14:paraId="16FFEC08">
                  <w:pPr>
                    <w:pStyle w:val="65"/>
                    <w:rPr>
                      <w:color w:val="auto"/>
                    </w:rPr>
                  </w:pPr>
                  <w:r>
                    <w:rPr>
                      <w:rFonts w:cs="Times New Roman"/>
                      <w:color w:val="auto"/>
                      <w:szCs w:val="21"/>
                    </w:rPr>
                    <w:t>-0.24</w:t>
                  </w:r>
                </w:p>
              </w:tc>
              <w:tc>
                <w:tcPr>
                  <w:tcW w:w="798" w:type="dxa"/>
                  <w:vAlign w:val="center"/>
                </w:tcPr>
                <w:p w14:paraId="730E99FD">
                  <w:pPr>
                    <w:pStyle w:val="65"/>
                    <w:rPr>
                      <w:color w:val="auto"/>
                    </w:rPr>
                  </w:pPr>
                  <w:r>
                    <w:rPr>
                      <w:color w:val="auto"/>
                    </w:rPr>
                    <w:t>/</w:t>
                  </w:r>
                </w:p>
              </w:tc>
            </w:tr>
            <w:tr w14:paraId="6EA3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4C841237">
                  <w:pPr>
                    <w:pStyle w:val="65"/>
                    <w:rPr>
                      <w:color w:val="auto"/>
                    </w:rPr>
                  </w:pPr>
                  <w:r>
                    <w:rPr>
                      <w:color w:val="auto"/>
                    </w:rPr>
                    <w:t>7</w:t>
                  </w:r>
                </w:p>
              </w:tc>
              <w:tc>
                <w:tcPr>
                  <w:tcW w:w="1707" w:type="dxa"/>
                  <w:vAlign w:val="center"/>
                </w:tcPr>
                <w:p w14:paraId="01BBA08D">
                  <w:pPr>
                    <w:pStyle w:val="65"/>
                    <w:rPr>
                      <w:color w:val="auto"/>
                    </w:rPr>
                  </w:pPr>
                  <w:r>
                    <w:rPr>
                      <w:rFonts w:cs="Times New Roman"/>
                      <w:color w:val="auto"/>
                      <w:szCs w:val="21"/>
                    </w:rPr>
                    <w:t>光伏组件工作条件下的极限低温</w:t>
                  </w:r>
                </w:p>
              </w:tc>
              <w:tc>
                <w:tcPr>
                  <w:tcW w:w="1344" w:type="dxa"/>
                  <w:vAlign w:val="center"/>
                </w:tcPr>
                <w:p w14:paraId="160AE92A">
                  <w:pPr>
                    <w:pStyle w:val="65"/>
                    <w:rPr>
                      <w:color w:val="auto"/>
                    </w:rPr>
                  </w:pPr>
                  <w:r>
                    <w:rPr>
                      <w:rFonts w:cs="Times New Roman"/>
                      <w:color w:val="auto"/>
                      <w:szCs w:val="21"/>
                    </w:rPr>
                    <w:t>℃</w:t>
                  </w:r>
                </w:p>
              </w:tc>
              <w:tc>
                <w:tcPr>
                  <w:tcW w:w="3075" w:type="dxa"/>
                  <w:vAlign w:val="center"/>
                </w:tcPr>
                <w:p w14:paraId="3B9F9C9E">
                  <w:pPr>
                    <w:pStyle w:val="65"/>
                    <w:rPr>
                      <w:color w:val="auto"/>
                    </w:rPr>
                  </w:pPr>
                  <w:r>
                    <w:rPr>
                      <w:rFonts w:cs="Times New Roman"/>
                      <w:color w:val="auto"/>
                      <w:szCs w:val="21"/>
                    </w:rPr>
                    <w:t>-40</w:t>
                  </w:r>
                </w:p>
              </w:tc>
              <w:tc>
                <w:tcPr>
                  <w:tcW w:w="798" w:type="dxa"/>
                  <w:vAlign w:val="center"/>
                </w:tcPr>
                <w:p w14:paraId="75483841">
                  <w:pPr>
                    <w:pStyle w:val="65"/>
                    <w:rPr>
                      <w:color w:val="auto"/>
                    </w:rPr>
                  </w:pPr>
                  <w:r>
                    <w:rPr>
                      <w:color w:val="auto"/>
                    </w:rPr>
                    <w:t>/</w:t>
                  </w:r>
                </w:p>
              </w:tc>
            </w:tr>
            <w:tr w14:paraId="6EA9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01498786">
                  <w:pPr>
                    <w:pStyle w:val="65"/>
                    <w:rPr>
                      <w:color w:val="auto"/>
                    </w:rPr>
                  </w:pPr>
                  <w:r>
                    <w:rPr>
                      <w:color w:val="auto"/>
                    </w:rPr>
                    <w:t>8</w:t>
                  </w:r>
                </w:p>
              </w:tc>
              <w:tc>
                <w:tcPr>
                  <w:tcW w:w="1707" w:type="dxa"/>
                  <w:vAlign w:val="center"/>
                </w:tcPr>
                <w:p w14:paraId="7CE0C152">
                  <w:pPr>
                    <w:pStyle w:val="65"/>
                    <w:rPr>
                      <w:color w:val="auto"/>
                    </w:rPr>
                  </w:pPr>
                  <w:r>
                    <w:rPr>
                      <w:rFonts w:cs="Times New Roman"/>
                      <w:color w:val="auto"/>
                      <w:szCs w:val="21"/>
                    </w:rPr>
                    <w:t>光伏组件工作条件下的极限高温</w:t>
                  </w:r>
                </w:p>
              </w:tc>
              <w:tc>
                <w:tcPr>
                  <w:tcW w:w="1344" w:type="dxa"/>
                  <w:vAlign w:val="center"/>
                </w:tcPr>
                <w:p w14:paraId="556555FC">
                  <w:pPr>
                    <w:pStyle w:val="65"/>
                    <w:rPr>
                      <w:color w:val="auto"/>
                    </w:rPr>
                  </w:pPr>
                  <w:r>
                    <w:rPr>
                      <w:rFonts w:cs="Times New Roman"/>
                      <w:color w:val="auto"/>
                      <w:szCs w:val="21"/>
                    </w:rPr>
                    <w:t>℃</w:t>
                  </w:r>
                </w:p>
              </w:tc>
              <w:tc>
                <w:tcPr>
                  <w:tcW w:w="3075" w:type="dxa"/>
                  <w:vAlign w:val="center"/>
                </w:tcPr>
                <w:p w14:paraId="2BA078D8">
                  <w:pPr>
                    <w:pStyle w:val="65"/>
                    <w:rPr>
                      <w:color w:val="auto"/>
                    </w:rPr>
                  </w:pPr>
                  <w:r>
                    <w:rPr>
                      <w:rFonts w:cs="Times New Roman"/>
                      <w:color w:val="auto"/>
                      <w:szCs w:val="21"/>
                    </w:rPr>
                    <w:t>85</w:t>
                  </w:r>
                </w:p>
              </w:tc>
              <w:tc>
                <w:tcPr>
                  <w:tcW w:w="798" w:type="dxa"/>
                  <w:vAlign w:val="center"/>
                </w:tcPr>
                <w:p w14:paraId="4648B735">
                  <w:pPr>
                    <w:pStyle w:val="65"/>
                    <w:rPr>
                      <w:color w:val="auto"/>
                    </w:rPr>
                  </w:pPr>
                  <w:r>
                    <w:rPr>
                      <w:color w:val="auto"/>
                    </w:rPr>
                    <w:t>/</w:t>
                  </w:r>
                </w:p>
              </w:tc>
            </w:tr>
            <w:tr w14:paraId="3BBC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E96DC87">
                  <w:pPr>
                    <w:pStyle w:val="65"/>
                    <w:rPr>
                      <w:color w:val="auto"/>
                    </w:rPr>
                  </w:pPr>
                  <w:r>
                    <w:rPr>
                      <w:color w:val="auto"/>
                    </w:rPr>
                    <w:t>9</w:t>
                  </w:r>
                </w:p>
              </w:tc>
              <w:tc>
                <w:tcPr>
                  <w:tcW w:w="1707" w:type="dxa"/>
                  <w:vAlign w:val="center"/>
                </w:tcPr>
                <w:p w14:paraId="2C97115E">
                  <w:pPr>
                    <w:pStyle w:val="65"/>
                    <w:rPr>
                      <w:color w:val="auto"/>
                    </w:rPr>
                  </w:pPr>
                  <w:r>
                    <w:rPr>
                      <w:rFonts w:cs="Times New Roman"/>
                      <w:color w:val="auto"/>
                      <w:szCs w:val="21"/>
                    </w:rPr>
                    <w:t>首年功率衰减率</w:t>
                  </w:r>
                </w:p>
              </w:tc>
              <w:tc>
                <w:tcPr>
                  <w:tcW w:w="1344" w:type="dxa"/>
                  <w:vAlign w:val="center"/>
                </w:tcPr>
                <w:p w14:paraId="3A821366">
                  <w:pPr>
                    <w:pStyle w:val="65"/>
                    <w:rPr>
                      <w:color w:val="auto"/>
                    </w:rPr>
                  </w:pPr>
                  <w:r>
                    <w:rPr>
                      <w:rFonts w:cs="Times New Roman"/>
                      <w:color w:val="auto"/>
                      <w:szCs w:val="21"/>
                    </w:rPr>
                    <w:t>%</w:t>
                  </w:r>
                </w:p>
              </w:tc>
              <w:tc>
                <w:tcPr>
                  <w:tcW w:w="3075" w:type="dxa"/>
                  <w:vAlign w:val="center"/>
                </w:tcPr>
                <w:p w14:paraId="2B2EF823">
                  <w:pPr>
                    <w:pStyle w:val="65"/>
                    <w:rPr>
                      <w:color w:val="auto"/>
                    </w:rPr>
                  </w:pPr>
                  <w:r>
                    <w:rPr>
                      <w:rFonts w:cs="Times New Roman"/>
                      <w:color w:val="auto"/>
                      <w:szCs w:val="21"/>
                    </w:rPr>
                    <w:t>1</w:t>
                  </w:r>
                </w:p>
              </w:tc>
              <w:tc>
                <w:tcPr>
                  <w:tcW w:w="798" w:type="dxa"/>
                  <w:vAlign w:val="center"/>
                </w:tcPr>
                <w:p w14:paraId="43F22683">
                  <w:pPr>
                    <w:pStyle w:val="65"/>
                    <w:rPr>
                      <w:color w:val="auto"/>
                    </w:rPr>
                  </w:pPr>
                  <w:r>
                    <w:rPr>
                      <w:color w:val="auto"/>
                    </w:rPr>
                    <w:t>/</w:t>
                  </w:r>
                </w:p>
              </w:tc>
            </w:tr>
            <w:tr w14:paraId="6495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43EC1504">
                  <w:pPr>
                    <w:pStyle w:val="65"/>
                    <w:rPr>
                      <w:color w:val="auto"/>
                    </w:rPr>
                  </w:pPr>
                  <w:r>
                    <w:rPr>
                      <w:color w:val="auto"/>
                    </w:rPr>
                    <w:t>10</w:t>
                  </w:r>
                </w:p>
              </w:tc>
              <w:tc>
                <w:tcPr>
                  <w:tcW w:w="1707" w:type="dxa"/>
                  <w:vAlign w:val="center"/>
                </w:tcPr>
                <w:p w14:paraId="52EF2334">
                  <w:pPr>
                    <w:pStyle w:val="65"/>
                    <w:rPr>
                      <w:color w:val="auto"/>
                    </w:rPr>
                  </w:pPr>
                  <w:r>
                    <w:rPr>
                      <w:rFonts w:cs="Times New Roman"/>
                      <w:color w:val="auto"/>
                      <w:szCs w:val="21"/>
                    </w:rPr>
                    <w:t>首年后后逐年衰减率</w:t>
                  </w:r>
                </w:p>
              </w:tc>
              <w:tc>
                <w:tcPr>
                  <w:tcW w:w="1344" w:type="dxa"/>
                  <w:vAlign w:val="center"/>
                </w:tcPr>
                <w:p w14:paraId="3B26592F">
                  <w:pPr>
                    <w:pStyle w:val="65"/>
                    <w:rPr>
                      <w:color w:val="auto"/>
                    </w:rPr>
                  </w:pPr>
                  <w:r>
                    <w:rPr>
                      <w:rFonts w:cs="Times New Roman"/>
                      <w:color w:val="auto"/>
                      <w:szCs w:val="21"/>
                    </w:rPr>
                    <w:t>%</w:t>
                  </w:r>
                </w:p>
              </w:tc>
              <w:tc>
                <w:tcPr>
                  <w:tcW w:w="3075" w:type="dxa"/>
                  <w:vAlign w:val="center"/>
                </w:tcPr>
                <w:p w14:paraId="49382B01">
                  <w:pPr>
                    <w:pStyle w:val="65"/>
                    <w:rPr>
                      <w:color w:val="auto"/>
                    </w:rPr>
                  </w:pPr>
                  <w:r>
                    <w:rPr>
                      <w:rFonts w:cs="Times New Roman"/>
                      <w:color w:val="auto"/>
                      <w:szCs w:val="21"/>
                    </w:rPr>
                    <w:t>0.3</w:t>
                  </w:r>
                </w:p>
              </w:tc>
              <w:tc>
                <w:tcPr>
                  <w:tcW w:w="798" w:type="dxa"/>
                  <w:vAlign w:val="center"/>
                </w:tcPr>
                <w:p w14:paraId="0AD6916B">
                  <w:pPr>
                    <w:pStyle w:val="65"/>
                    <w:rPr>
                      <w:color w:val="auto"/>
                    </w:rPr>
                  </w:pPr>
                  <w:r>
                    <w:rPr>
                      <w:color w:val="auto"/>
                    </w:rPr>
                    <w:t>/</w:t>
                  </w:r>
                </w:p>
              </w:tc>
            </w:tr>
            <w:tr w14:paraId="76DD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5510D4D2">
                  <w:pPr>
                    <w:pStyle w:val="65"/>
                    <w:rPr>
                      <w:color w:val="auto"/>
                    </w:rPr>
                  </w:pPr>
                  <w:r>
                    <w:rPr>
                      <w:color w:val="auto"/>
                    </w:rPr>
                    <w:t>11</w:t>
                  </w:r>
                </w:p>
              </w:tc>
              <w:tc>
                <w:tcPr>
                  <w:tcW w:w="1707" w:type="dxa"/>
                  <w:vAlign w:val="center"/>
                </w:tcPr>
                <w:p w14:paraId="01C15250">
                  <w:pPr>
                    <w:pStyle w:val="65"/>
                    <w:rPr>
                      <w:color w:val="auto"/>
                    </w:rPr>
                  </w:pPr>
                  <w:r>
                    <w:rPr>
                      <w:color w:val="auto"/>
                    </w:rPr>
                    <w:t>外形尺寸</w:t>
                  </w:r>
                </w:p>
              </w:tc>
              <w:tc>
                <w:tcPr>
                  <w:tcW w:w="1344" w:type="dxa"/>
                  <w:vAlign w:val="center"/>
                </w:tcPr>
                <w:p w14:paraId="707F6841">
                  <w:pPr>
                    <w:pStyle w:val="65"/>
                    <w:rPr>
                      <w:color w:val="auto"/>
                    </w:rPr>
                  </w:pPr>
                  <w:r>
                    <w:rPr>
                      <w:color w:val="auto"/>
                    </w:rPr>
                    <w:t>mm</w:t>
                  </w:r>
                </w:p>
              </w:tc>
              <w:tc>
                <w:tcPr>
                  <w:tcW w:w="3075" w:type="dxa"/>
                  <w:vAlign w:val="center"/>
                </w:tcPr>
                <w:p w14:paraId="62CF715C">
                  <w:pPr>
                    <w:pStyle w:val="65"/>
                    <w:rPr>
                      <w:color w:val="auto"/>
                    </w:rPr>
                  </w:pPr>
                  <w:r>
                    <w:rPr>
                      <w:color w:val="auto"/>
                    </w:rPr>
                    <w:t>2384×1303×33</w:t>
                  </w:r>
                </w:p>
              </w:tc>
              <w:tc>
                <w:tcPr>
                  <w:tcW w:w="798" w:type="dxa"/>
                  <w:vAlign w:val="center"/>
                </w:tcPr>
                <w:p w14:paraId="4B3CCEFB">
                  <w:pPr>
                    <w:pStyle w:val="65"/>
                    <w:rPr>
                      <w:color w:val="auto"/>
                    </w:rPr>
                  </w:pPr>
                  <w:r>
                    <w:rPr>
                      <w:color w:val="auto"/>
                    </w:rPr>
                    <w:t>/</w:t>
                  </w:r>
                </w:p>
              </w:tc>
            </w:tr>
            <w:tr w14:paraId="3717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245EFFA7">
                  <w:pPr>
                    <w:pStyle w:val="65"/>
                    <w:rPr>
                      <w:color w:val="auto"/>
                    </w:rPr>
                  </w:pPr>
                  <w:r>
                    <w:rPr>
                      <w:color w:val="auto"/>
                    </w:rPr>
                    <w:t>12</w:t>
                  </w:r>
                </w:p>
              </w:tc>
              <w:tc>
                <w:tcPr>
                  <w:tcW w:w="1707" w:type="dxa"/>
                  <w:vAlign w:val="center"/>
                </w:tcPr>
                <w:p w14:paraId="6B82781E">
                  <w:pPr>
                    <w:pStyle w:val="65"/>
                    <w:rPr>
                      <w:color w:val="auto"/>
                    </w:rPr>
                  </w:pPr>
                  <w:r>
                    <w:rPr>
                      <w:color w:val="auto"/>
                    </w:rPr>
                    <w:t>重量</w:t>
                  </w:r>
                </w:p>
              </w:tc>
              <w:tc>
                <w:tcPr>
                  <w:tcW w:w="1344" w:type="dxa"/>
                  <w:vAlign w:val="center"/>
                </w:tcPr>
                <w:p w14:paraId="0746F78F">
                  <w:pPr>
                    <w:pStyle w:val="65"/>
                    <w:rPr>
                      <w:color w:val="auto"/>
                    </w:rPr>
                  </w:pPr>
                  <w:r>
                    <w:rPr>
                      <w:color w:val="auto"/>
                    </w:rPr>
                    <w:t>kg</w:t>
                  </w:r>
                </w:p>
              </w:tc>
              <w:tc>
                <w:tcPr>
                  <w:tcW w:w="3075" w:type="dxa"/>
                  <w:vAlign w:val="center"/>
                </w:tcPr>
                <w:p w14:paraId="4893E8B7">
                  <w:pPr>
                    <w:pStyle w:val="65"/>
                    <w:rPr>
                      <w:color w:val="auto"/>
                    </w:rPr>
                  </w:pPr>
                  <w:r>
                    <w:rPr>
                      <w:rStyle w:val="76"/>
                      <w:rFonts w:hint="default" w:ascii="Times New Roman" w:hAnsi="Times New Roman"/>
                      <w:b w:val="0"/>
                      <w:color w:val="auto"/>
                      <w:sz w:val="21"/>
                      <w:szCs w:val="21"/>
                      <w:lang w:bidi="ar"/>
                    </w:rPr>
                    <w:t>37.5</w:t>
                  </w:r>
                </w:p>
              </w:tc>
              <w:tc>
                <w:tcPr>
                  <w:tcW w:w="798" w:type="dxa"/>
                  <w:vAlign w:val="center"/>
                </w:tcPr>
                <w:p w14:paraId="6D537E0F">
                  <w:pPr>
                    <w:pStyle w:val="65"/>
                    <w:rPr>
                      <w:color w:val="auto"/>
                    </w:rPr>
                  </w:pPr>
                  <w:r>
                    <w:rPr>
                      <w:color w:val="auto"/>
                    </w:rPr>
                    <w:t>/</w:t>
                  </w:r>
                </w:p>
              </w:tc>
            </w:tr>
            <w:tr w14:paraId="0DD8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2C00130F">
                  <w:pPr>
                    <w:pStyle w:val="65"/>
                    <w:rPr>
                      <w:color w:val="auto"/>
                    </w:rPr>
                  </w:pPr>
                  <w:r>
                    <w:rPr>
                      <w:color w:val="auto"/>
                    </w:rPr>
                    <w:t>13</w:t>
                  </w:r>
                </w:p>
              </w:tc>
              <w:tc>
                <w:tcPr>
                  <w:tcW w:w="1707" w:type="dxa"/>
                  <w:vAlign w:val="center"/>
                </w:tcPr>
                <w:p w14:paraId="19E7F713">
                  <w:pPr>
                    <w:pStyle w:val="65"/>
                    <w:rPr>
                      <w:color w:val="auto"/>
                      <w:kern w:val="0"/>
                      <w:lang w:bidi="ar"/>
                    </w:rPr>
                  </w:pPr>
                  <w:r>
                    <w:rPr>
                      <w:color w:val="auto"/>
                    </w:rPr>
                    <w:t>数量</w:t>
                  </w:r>
                </w:p>
              </w:tc>
              <w:tc>
                <w:tcPr>
                  <w:tcW w:w="1344" w:type="dxa"/>
                  <w:vAlign w:val="center"/>
                </w:tcPr>
                <w:p w14:paraId="72FE5875">
                  <w:pPr>
                    <w:pStyle w:val="65"/>
                    <w:rPr>
                      <w:rStyle w:val="76"/>
                      <w:rFonts w:hint="default" w:ascii="Times New Roman" w:hAnsi="Times New Roman"/>
                      <w:b w:val="0"/>
                      <w:color w:val="auto"/>
                      <w:sz w:val="21"/>
                      <w:szCs w:val="21"/>
                      <w:lang w:bidi="ar"/>
                    </w:rPr>
                  </w:pPr>
                  <w:r>
                    <w:rPr>
                      <w:color w:val="auto"/>
                    </w:rPr>
                    <w:t>块</w:t>
                  </w:r>
                </w:p>
              </w:tc>
              <w:tc>
                <w:tcPr>
                  <w:tcW w:w="3075" w:type="dxa"/>
                  <w:vAlign w:val="center"/>
                </w:tcPr>
                <w:p w14:paraId="2294886D">
                  <w:pPr>
                    <w:pStyle w:val="65"/>
                    <w:rPr>
                      <w:rStyle w:val="76"/>
                      <w:rFonts w:hint="default" w:ascii="Times New Roman" w:hAnsi="Times New Roman"/>
                      <w:b w:val="0"/>
                      <w:color w:val="auto"/>
                      <w:sz w:val="21"/>
                      <w:szCs w:val="21"/>
                      <w:lang w:bidi="ar"/>
                    </w:rPr>
                  </w:pPr>
                  <w:r>
                    <w:rPr>
                      <w:color w:val="auto"/>
                    </w:rPr>
                    <w:t>104440</w:t>
                  </w:r>
                </w:p>
              </w:tc>
              <w:tc>
                <w:tcPr>
                  <w:tcW w:w="798" w:type="dxa"/>
                  <w:vAlign w:val="center"/>
                </w:tcPr>
                <w:p w14:paraId="37428442">
                  <w:pPr>
                    <w:pStyle w:val="65"/>
                    <w:rPr>
                      <w:color w:val="auto"/>
                    </w:rPr>
                  </w:pPr>
                </w:p>
              </w:tc>
            </w:tr>
            <w:tr w14:paraId="0775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49113FCD">
                  <w:pPr>
                    <w:pStyle w:val="65"/>
                    <w:rPr>
                      <w:color w:val="auto"/>
                    </w:rPr>
                  </w:pPr>
                  <w:r>
                    <w:rPr>
                      <w:color w:val="auto"/>
                    </w:rPr>
                    <w:t>14</w:t>
                  </w:r>
                </w:p>
              </w:tc>
              <w:tc>
                <w:tcPr>
                  <w:tcW w:w="1707" w:type="dxa"/>
                  <w:vAlign w:val="center"/>
                </w:tcPr>
                <w:p w14:paraId="35C97CE1">
                  <w:pPr>
                    <w:pStyle w:val="65"/>
                    <w:rPr>
                      <w:color w:val="auto"/>
                    </w:rPr>
                  </w:pPr>
                  <w:r>
                    <w:rPr>
                      <w:color w:val="auto"/>
                      <w:kern w:val="0"/>
                      <w:lang w:bidi="ar"/>
                    </w:rPr>
                    <w:t>跟踪方式</w:t>
                  </w:r>
                </w:p>
              </w:tc>
              <w:tc>
                <w:tcPr>
                  <w:tcW w:w="1344" w:type="dxa"/>
                  <w:vAlign w:val="center"/>
                </w:tcPr>
                <w:p w14:paraId="0DC8A2AD">
                  <w:pPr>
                    <w:pStyle w:val="65"/>
                    <w:rPr>
                      <w:color w:val="auto"/>
                    </w:rPr>
                  </w:pPr>
                  <w:r>
                    <w:rPr>
                      <w:color w:val="auto"/>
                    </w:rPr>
                    <w:t>/</w:t>
                  </w:r>
                </w:p>
              </w:tc>
              <w:tc>
                <w:tcPr>
                  <w:tcW w:w="3075" w:type="dxa"/>
                  <w:vAlign w:val="center"/>
                </w:tcPr>
                <w:p w14:paraId="65157FA4">
                  <w:pPr>
                    <w:pStyle w:val="65"/>
                    <w:rPr>
                      <w:color w:val="auto"/>
                    </w:rPr>
                  </w:pPr>
                  <w:r>
                    <w:rPr>
                      <w:color w:val="auto"/>
                    </w:rPr>
                    <w:t>固定</w:t>
                  </w:r>
                </w:p>
              </w:tc>
              <w:tc>
                <w:tcPr>
                  <w:tcW w:w="798" w:type="dxa"/>
                  <w:vAlign w:val="center"/>
                </w:tcPr>
                <w:p w14:paraId="04CEAAA5">
                  <w:pPr>
                    <w:pStyle w:val="65"/>
                    <w:rPr>
                      <w:color w:val="auto"/>
                    </w:rPr>
                  </w:pPr>
                  <w:r>
                    <w:rPr>
                      <w:color w:val="auto"/>
                    </w:rPr>
                    <w:t>/</w:t>
                  </w:r>
                </w:p>
              </w:tc>
            </w:tr>
            <w:tr w14:paraId="7561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37BCB59E">
                  <w:pPr>
                    <w:pStyle w:val="65"/>
                    <w:rPr>
                      <w:color w:val="auto"/>
                    </w:rPr>
                  </w:pPr>
                  <w:r>
                    <w:rPr>
                      <w:color w:val="auto"/>
                    </w:rPr>
                    <w:t>15</w:t>
                  </w:r>
                </w:p>
              </w:tc>
              <w:tc>
                <w:tcPr>
                  <w:tcW w:w="1707" w:type="dxa"/>
                  <w:vAlign w:val="center"/>
                </w:tcPr>
                <w:p w14:paraId="5D904CA8">
                  <w:pPr>
                    <w:pStyle w:val="65"/>
                    <w:rPr>
                      <w:color w:val="auto"/>
                    </w:rPr>
                  </w:pPr>
                  <w:r>
                    <w:rPr>
                      <w:color w:val="auto"/>
                      <w:kern w:val="0"/>
                      <w:lang w:bidi="ar"/>
                    </w:rPr>
                    <w:t>安装角度</w:t>
                  </w:r>
                </w:p>
              </w:tc>
              <w:tc>
                <w:tcPr>
                  <w:tcW w:w="1344" w:type="dxa"/>
                  <w:vAlign w:val="center"/>
                </w:tcPr>
                <w:p w14:paraId="03D9B635">
                  <w:pPr>
                    <w:pStyle w:val="65"/>
                    <w:rPr>
                      <w:color w:val="auto"/>
                    </w:rPr>
                  </w:pPr>
                  <w:r>
                    <w:rPr>
                      <w:color w:val="auto"/>
                    </w:rPr>
                    <w:t>°</w:t>
                  </w:r>
                </w:p>
              </w:tc>
              <w:tc>
                <w:tcPr>
                  <w:tcW w:w="3075" w:type="dxa"/>
                  <w:vAlign w:val="center"/>
                </w:tcPr>
                <w:p w14:paraId="522FB551">
                  <w:pPr>
                    <w:pStyle w:val="65"/>
                    <w:rPr>
                      <w:color w:val="auto"/>
                    </w:rPr>
                  </w:pPr>
                  <w:r>
                    <w:rPr>
                      <w:color w:val="auto"/>
                      <w:kern w:val="0"/>
                      <w:lang w:bidi="ar"/>
                    </w:rPr>
                    <w:t>2</w:t>
                  </w:r>
                  <w:r>
                    <w:rPr>
                      <w:rFonts w:hint="eastAsia"/>
                      <w:color w:val="auto"/>
                      <w:kern w:val="0"/>
                      <w:lang w:bidi="ar"/>
                    </w:rPr>
                    <w:t>4</w:t>
                  </w:r>
                </w:p>
              </w:tc>
              <w:tc>
                <w:tcPr>
                  <w:tcW w:w="798" w:type="dxa"/>
                  <w:vAlign w:val="center"/>
                </w:tcPr>
                <w:p w14:paraId="0B4BC8C2">
                  <w:pPr>
                    <w:pStyle w:val="65"/>
                    <w:rPr>
                      <w:color w:val="auto"/>
                    </w:rPr>
                  </w:pPr>
                  <w:r>
                    <w:rPr>
                      <w:color w:val="auto"/>
                    </w:rPr>
                    <w:t>/</w:t>
                  </w:r>
                </w:p>
              </w:tc>
            </w:tr>
            <w:tr w14:paraId="0B14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9" w:type="dxa"/>
                  <w:gridSpan w:val="5"/>
                  <w:vAlign w:val="center"/>
                </w:tcPr>
                <w:p w14:paraId="37030CF5">
                  <w:pPr>
                    <w:pStyle w:val="65"/>
                    <w:rPr>
                      <w:color w:val="auto"/>
                    </w:rPr>
                  </w:pPr>
                  <w:r>
                    <w:rPr>
                      <w:color w:val="auto"/>
                    </w:rPr>
                    <w:t>2、逆变器（型号：3</w:t>
                  </w:r>
                  <w:r>
                    <w:rPr>
                      <w:rFonts w:hint="eastAsia"/>
                      <w:color w:val="auto"/>
                    </w:rPr>
                    <w:t>2</w:t>
                  </w:r>
                  <w:r>
                    <w:rPr>
                      <w:color w:val="auto"/>
                    </w:rPr>
                    <w:t>0kW型组串式逆变器）</w:t>
                  </w:r>
                </w:p>
              </w:tc>
            </w:tr>
            <w:tr w14:paraId="4647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3D30A7BE">
                  <w:pPr>
                    <w:pStyle w:val="65"/>
                    <w:rPr>
                      <w:color w:val="auto"/>
                    </w:rPr>
                  </w:pPr>
                  <w:r>
                    <w:rPr>
                      <w:rFonts w:hint="eastAsia"/>
                      <w:color w:val="auto"/>
                    </w:rPr>
                    <w:t>1</w:t>
                  </w:r>
                </w:p>
              </w:tc>
              <w:tc>
                <w:tcPr>
                  <w:tcW w:w="1707" w:type="dxa"/>
                  <w:vAlign w:val="center"/>
                </w:tcPr>
                <w:p w14:paraId="0EA00AC1">
                  <w:pPr>
                    <w:pStyle w:val="65"/>
                    <w:rPr>
                      <w:color w:val="auto"/>
                    </w:rPr>
                  </w:pPr>
                  <w:r>
                    <w:rPr>
                      <w:rFonts w:hint="eastAsia"/>
                      <w:color w:val="auto"/>
                    </w:rPr>
                    <w:t>额定输出功率</w:t>
                  </w:r>
                </w:p>
              </w:tc>
              <w:tc>
                <w:tcPr>
                  <w:tcW w:w="1344" w:type="dxa"/>
                  <w:vAlign w:val="center"/>
                </w:tcPr>
                <w:p w14:paraId="2CC942B7">
                  <w:pPr>
                    <w:pStyle w:val="65"/>
                    <w:rPr>
                      <w:color w:val="auto"/>
                    </w:rPr>
                  </w:pPr>
                  <w:r>
                    <w:rPr>
                      <w:rFonts w:hint="eastAsia"/>
                      <w:color w:val="auto"/>
                    </w:rPr>
                    <w:t>kW</w:t>
                  </w:r>
                </w:p>
              </w:tc>
              <w:tc>
                <w:tcPr>
                  <w:tcW w:w="3075" w:type="dxa"/>
                  <w:vAlign w:val="center"/>
                </w:tcPr>
                <w:p w14:paraId="40112D96">
                  <w:pPr>
                    <w:pStyle w:val="65"/>
                    <w:rPr>
                      <w:color w:val="auto"/>
                    </w:rPr>
                  </w:pPr>
                  <w:r>
                    <w:rPr>
                      <w:rFonts w:hint="eastAsia"/>
                      <w:color w:val="auto"/>
                    </w:rPr>
                    <w:t>320</w:t>
                  </w:r>
                </w:p>
              </w:tc>
              <w:tc>
                <w:tcPr>
                  <w:tcW w:w="798" w:type="dxa"/>
                  <w:vAlign w:val="center"/>
                </w:tcPr>
                <w:p w14:paraId="6E0EBBCA">
                  <w:pPr>
                    <w:pStyle w:val="65"/>
                    <w:rPr>
                      <w:color w:val="auto"/>
                    </w:rPr>
                  </w:pPr>
                  <w:r>
                    <w:rPr>
                      <w:rFonts w:hint="eastAsia"/>
                      <w:color w:val="auto"/>
                    </w:rPr>
                    <w:t>/</w:t>
                  </w:r>
                </w:p>
              </w:tc>
            </w:tr>
            <w:tr w14:paraId="0F59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33D33A96">
                  <w:pPr>
                    <w:pStyle w:val="65"/>
                    <w:rPr>
                      <w:color w:val="auto"/>
                    </w:rPr>
                  </w:pPr>
                  <w:r>
                    <w:rPr>
                      <w:rFonts w:hint="eastAsia"/>
                      <w:color w:val="auto"/>
                    </w:rPr>
                    <w:t>2</w:t>
                  </w:r>
                </w:p>
              </w:tc>
              <w:tc>
                <w:tcPr>
                  <w:tcW w:w="1707" w:type="dxa"/>
                  <w:vAlign w:val="center"/>
                </w:tcPr>
                <w:p w14:paraId="497B5D44">
                  <w:pPr>
                    <w:pStyle w:val="65"/>
                    <w:rPr>
                      <w:color w:val="auto"/>
                    </w:rPr>
                  </w:pPr>
                  <w:r>
                    <w:rPr>
                      <w:rFonts w:hint="eastAsia"/>
                      <w:color w:val="auto"/>
                    </w:rPr>
                    <w:t>最大直流功率</w:t>
                  </w:r>
                </w:p>
              </w:tc>
              <w:tc>
                <w:tcPr>
                  <w:tcW w:w="1344" w:type="dxa"/>
                  <w:vAlign w:val="center"/>
                </w:tcPr>
                <w:p w14:paraId="1CB5CC34">
                  <w:pPr>
                    <w:pStyle w:val="65"/>
                    <w:rPr>
                      <w:color w:val="auto"/>
                    </w:rPr>
                  </w:pPr>
                  <w:r>
                    <w:rPr>
                      <w:rFonts w:hint="eastAsia"/>
                      <w:color w:val="auto"/>
                    </w:rPr>
                    <w:t>kW</w:t>
                  </w:r>
                </w:p>
              </w:tc>
              <w:tc>
                <w:tcPr>
                  <w:tcW w:w="3075" w:type="dxa"/>
                  <w:vAlign w:val="center"/>
                </w:tcPr>
                <w:p w14:paraId="056799D9">
                  <w:pPr>
                    <w:pStyle w:val="65"/>
                    <w:rPr>
                      <w:color w:val="auto"/>
                    </w:rPr>
                  </w:pPr>
                  <w:r>
                    <w:rPr>
                      <w:rFonts w:hint="eastAsia"/>
                      <w:color w:val="auto"/>
                    </w:rPr>
                    <w:t>352</w:t>
                  </w:r>
                </w:p>
              </w:tc>
              <w:tc>
                <w:tcPr>
                  <w:tcW w:w="798" w:type="dxa"/>
                  <w:vAlign w:val="center"/>
                </w:tcPr>
                <w:p w14:paraId="7285BAB9">
                  <w:pPr>
                    <w:pStyle w:val="65"/>
                    <w:rPr>
                      <w:color w:val="auto"/>
                    </w:rPr>
                  </w:pPr>
                  <w:r>
                    <w:rPr>
                      <w:rFonts w:hint="eastAsia"/>
                      <w:color w:val="auto"/>
                    </w:rPr>
                    <w:t>/</w:t>
                  </w:r>
                </w:p>
              </w:tc>
            </w:tr>
            <w:tr w14:paraId="37FB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E307E2A">
                  <w:pPr>
                    <w:pStyle w:val="65"/>
                    <w:rPr>
                      <w:color w:val="auto"/>
                    </w:rPr>
                  </w:pPr>
                  <w:r>
                    <w:rPr>
                      <w:rFonts w:hint="eastAsia"/>
                      <w:color w:val="auto"/>
                    </w:rPr>
                    <w:t>3</w:t>
                  </w:r>
                </w:p>
              </w:tc>
              <w:tc>
                <w:tcPr>
                  <w:tcW w:w="1707" w:type="dxa"/>
                  <w:vAlign w:val="center"/>
                </w:tcPr>
                <w:p w14:paraId="55650399">
                  <w:pPr>
                    <w:pStyle w:val="65"/>
                    <w:rPr>
                      <w:color w:val="auto"/>
                    </w:rPr>
                  </w:pPr>
                  <w:r>
                    <w:rPr>
                      <w:rFonts w:hint="eastAsia"/>
                      <w:color w:val="auto"/>
                    </w:rPr>
                    <w:t>最大直流电压</w:t>
                  </w:r>
                </w:p>
              </w:tc>
              <w:tc>
                <w:tcPr>
                  <w:tcW w:w="1344" w:type="dxa"/>
                  <w:vAlign w:val="center"/>
                </w:tcPr>
                <w:p w14:paraId="1F47E59E">
                  <w:pPr>
                    <w:pStyle w:val="65"/>
                    <w:rPr>
                      <w:color w:val="auto"/>
                    </w:rPr>
                  </w:pPr>
                  <w:r>
                    <w:rPr>
                      <w:rFonts w:hint="eastAsia"/>
                      <w:color w:val="auto"/>
                    </w:rPr>
                    <w:t>V</w:t>
                  </w:r>
                </w:p>
              </w:tc>
              <w:tc>
                <w:tcPr>
                  <w:tcW w:w="3075" w:type="dxa"/>
                  <w:vAlign w:val="center"/>
                </w:tcPr>
                <w:p w14:paraId="24409A7E">
                  <w:pPr>
                    <w:pStyle w:val="65"/>
                    <w:rPr>
                      <w:color w:val="auto"/>
                    </w:rPr>
                  </w:pPr>
                  <w:r>
                    <w:rPr>
                      <w:rFonts w:hint="eastAsia"/>
                      <w:color w:val="auto"/>
                    </w:rPr>
                    <w:t>1500</w:t>
                  </w:r>
                </w:p>
              </w:tc>
              <w:tc>
                <w:tcPr>
                  <w:tcW w:w="798" w:type="dxa"/>
                  <w:vAlign w:val="center"/>
                </w:tcPr>
                <w:p w14:paraId="5D73A12C">
                  <w:pPr>
                    <w:pStyle w:val="65"/>
                    <w:rPr>
                      <w:color w:val="auto"/>
                    </w:rPr>
                  </w:pPr>
                  <w:r>
                    <w:rPr>
                      <w:rFonts w:hint="eastAsia"/>
                      <w:color w:val="auto"/>
                    </w:rPr>
                    <w:t>/</w:t>
                  </w:r>
                </w:p>
              </w:tc>
            </w:tr>
            <w:tr w14:paraId="7E56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344F1C4B">
                  <w:pPr>
                    <w:pStyle w:val="65"/>
                    <w:rPr>
                      <w:color w:val="auto"/>
                    </w:rPr>
                  </w:pPr>
                  <w:r>
                    <w:rPr>
                      <w:rFonts w:hint="eastAsia"/>
                      <w:color w:val="auto"/>
                    </w:rPr>
                    <w:t>4</w:t>
                  </w:r>
                </w:p>
              </w:tc>
              <w:tc>
                <w:tcPr>
                  <w:tcW w:w="1707" w:type="dxa"/>
                  <w:vAlign w:val="center"/>
                </w:tcPr>
                <w:p w14:paraId="59FD4602">
                  <w:pPr>
                    <w:pStyle w:val="65"/>
                    <w:rPr>
                      <w:color w:val="auto"/>
                    </w:rPr>
                  </w:pPr>
                  <w:r>
                    <w:rPr>
                      <w:rFonts w:hint="eastAsia"/>
                      <w:color w:val="auto"/>
                    </w:rPr>
                    <w:t>最高转换效率</w:t>
                  </w:r>
                </w:p>
              </w:tc>
              <w:tc>
                <w:tcPr>
                  <w:tcW w:w="1344" w:type="dxa"/>
                  <w:vAlign w:val="center"/>
                </w:tcPr>
                <w:p w14:paraId="64738F9E">
                  <w:pPr>
                    <w:pStyle w:val="65"/>
                    <w:rPr>
                      <w:color w:val="auto"/>
                    </w:rPr>
                  </w:pPr>
                  <w:r>
                    <w:rPr>
                      <w:rFonts w:hint="eastAsia"/>
                      <w:color w:val="auto"/>
                    </w:rPr>
                    <w:t>%</w:t>
                  </w:r>
                </w:p>
              </w:tc>
              <w:tc>
                <w:tcPr>
                  <w:tcW w:w="3075" w:type="dxa"/>
                  <w:vAlign w:val="center"/>
                </w:tcPr>
                <w:p w14:paraId="405998E2">
                  <w:pPr>
                    <w:pStyle w:val="65"/>
                    <w:rPr>
                      <w:color w:val="auto"/>
                    </w:rPr>
                  </w:pPr>
                  <w:r>
                    <w:rPr>
                      <w:rFonts w:hint="eastAsia"/>
                      <w:color w:val="auto"/>
                    </w:rPr>
                    <w:t>99.03</w:t>
                  </w:r>
                </w:p>
              </w:tc>
              <w:tc>
                <w:tcPr>
                  <w:tcW w:w="798" w:type="dxa"/>
                  <w:vAlign w:val="center"/>
                </w:tcPr>
                <w:p w14:paraId="484AF2F0">
                  <w:pPr>
                    <w:pStyle w:val="65"/>
                    <w:rPr>
                      <w:color w:val="auto"/>
                    </w:rPr>
                  </w:pPr>
                  <w:r>
                    <w:rPr>
                      <w:rFonts w:hint="eastAsia"/>
                      <w:color w:val="auto"/>
                    </w:rPr>
                    <w:t>/</w:t>
                  </w:r>
                </w:p>
              </w:tc>
            </w:tr>
            <w:tr w14:paraId="3AB5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09F69B9">
                  <w:pPr>
                    <w:pStyle w:val="65"/>
                    <w:rPr>
                      <w:color w:val="auto"/>
                    </w:rPr>
                  </w:pPr>
                  <w:r>
                    <w:rPr>
                      <w:rFonts w:hint="eastAsia"/>
                      <w:color w:val="auto"/>
                    </w:rPr>
                    <w:t>5</w:t>
                  </w:r>
                </w:p>
              </w:tc>
              <w:tc>
                <w:tcPr>
                  <w:tcW w:w="1707" w:type="dxa"/>
                  <w:vAlign w:val="center"/>
                </w:tcPr>
                <w:p w14:paraId="5EA7BB7E">
                  <w:pPr>
                    <w:pStyle w:val="65"/>
                    <w:rPr>
                      <w:color w:val="auto"/>
                    </w:rPr>
                  </w:pPr>
                  <w:r>
                    <w:rPr>
                      <w:rFonts w:hint="eastAsia"/>
                      <w:color w:val="auto"/>
                    </w:rPr>
                    <w:t>最大功率跟踪（MPPT）范围</w:t>
                  </w:r>
                </w:p>
              </w:tc>
              <w:tc>
                <w:tcPr>
                  <w:tcW w:w="1344" w:type="dxa"/>
                  <w:vAlign w:val="center"/>
                </w:tcPr>
                <w:p w14:paraId="63D0B015">
                  <w:pPr>
                    <w:pStyle w:val="65"/>
                    <w:rPr>
                      <w:color w:val="auto"/>
                    </w:rPr>
                  </w:pPr>
                  <w:r>
                    <w:rPr>
                      <w:rFonts w:hint="eastAsia"/>
                      <w:color w:val="auto"/>
                    </w:rPr>
                    <w:t>V</w:t>
                  </w:r>
                </w:p>
              </w:tc>
              <w:tc>
                <w:tcPr>
                  <w:tcW w:w="3075" w:type="dxa"/>
                  <w:vAlign w:val="center"/>
                </w:tcPr>
                <w:p w14:paraId="57FFF144">
                  <w:pPr>
                    <w:pStyle w:val="65"/>
                    <w:rPr>
                      <w:color w:val="auto"/>
                    </w:rPr>
                  </w:pPr>
                  <w:r>
                    <w:rPr>
                      <w:rFonts w:hint="eastAsia"/>
                      <w:color w:val="auto"/>
                    </w:rPr>
                    <w:t>500~1500</w:t>
                  </w:r>
                </w:p>
              </w:tc>
              <w:tc>
                <w:tcPr>
                  <w:tcW w:w="798" w:type="dxa"/>
                  <w:vAlign w:val="center"/>
                </w:tcPr>
                <w:p w14:paraId="10D79D2A">
                  <w:pPr>
                    <w:pStyle w:val="65"/>
                    <w:rPr>
                      <w:color w:val="auto"/>
                    </w:rPr>
                  </w:pPr>
                  <w:r>
                    <w:rPr>
                      <w:rFonts w:hint="eastAsia"/>
                      <w:color w:val="auto"/>
                    </w:rPr>
                    <w:t>/</w:t>
                  </w:r>
                </w:p>
              </w:tc>
            </w:tr>
            <w:tr w14:paraId="2607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50522DCF">
                  <w:pPr>
                    <w:pStyle w:val="65"/>
                    <w:rPr>
                      <w:color w:val="auto"/>
                    </w:rPr>
                  </w:pPr>
                  <w:r>
                    <w:rPr>
                      <w:rFonts w:hint="eastAsia"/>
                      <w:color w:val="auto"/>
                    </w:rPr>
                    <w:t>6</w:t>
                  </w:r>
                </w:p>
              </w:tc>
              <w:tc>
                <w:tcPr>
                  <w:tcW w:w="1707" w:type="dxa"/>
                  <w:vAlign w:val="center"/>
                </w:tcPr>
                <w:p w14:paraId="7BB44885">
                  <w:pPr>
                    <w:pStyle w:val="65"/>
                    <w:rPr>
                      <w:color w:val="auto"/>
                    </w:rPr>
                  </w:pPr>
                  <w:r>
                    <w:rPr>
                      <w:rFonts w:hint="eastAsia"/>
                      <w:color w:val="auto"/>
                    </w:rPr>
                    <w:t>最大直流输入电流</w:t>
                  </w:r>
                </w:p>
              </w:tc>
              <w:tc>
                <w:tcPr>
                  <w:tcW w:w="1344" w:type="dxa"/>
                  <w:vAlign w:val="center"/>
                </w:tcPr>
                <w:p w14:paraId="4E4F0CDA">
                  <w:pPr>
                    <w:pStyle w:val="65"/>
                    <w:rPr>
                      <w:color w:val="auto"/>
                    </w:rPr>
                  </w:pPr>
                  <w:r>
                    <w:rPr>
                      <w:rFonts w:hint="eastAsia"/>
                      <w:color w:val="auto"/>
                    </w:rPr>
                    <w:t>A</w:t>
                  </w:r>
                </w:p>
              </w:tc>
              <w:tc>
                <w:tcPr>
                  <w:tcW w:w="3075" w:type="dxa"/>
                  <w:vAlign w:val="center"/>
                </w:tcPr>
                <w:p w14:paraId="49ACEED2">
                  <w:pPr>
                    <w:pStyle w:val="65"/>
                    <w:rPr>
                      <w:color w:val="auto"/>
                    </w:rPr>
                  </w:pPr>
                  <w:r>
                    <w:rPr>
                      <w:rFonts w:hint="eastAsia"/>
                      <w:color w:val="auto"/>
                    </w:rPr>
                    <w:t>70</w:t>
                  </w:r>
                </w:p>
              </w:tc>
              <w:tc>
                <w:tcPr>
                  <w:tcW w:w="798" w:type="dxa"/>
                  <w:vAlign w:val="center"/>
                </w:tcPr>
                <w:p w14:paraId="0A52D026">
                  <w:pPr>
                    <w:pStyle w:val="65"/>
                    <w:rPr>
                      <w:color w:val="auto"/>
                    </w:rPr>
                  </w:pPr>
                  <w:r>
                    <w:rPr>
                      <w:rFonts w:hint="eastAsia"/>
                      <w:color w:val="auto"/>
                    </w:rPr>
                    <w:t>/</w:t>
                  </w:r>
                </w:p>
              </w:tc>
            </w:tr>
            <w:tr w14:paraId="778A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1BA14E16">
                  <w:pPr>
                    <w:pStyle w:val="65"/>
                    <w:rPr>
                      <w:color w:val="auto"/>
                    </w:rPr>
                  </w:pPr>
                  <w:r>
                    <w:rPr>
                      <w:rFonts w:hint="eastAsia"/>
                      <w:color w:val="auto"/>
                    </w:rPr>
                    <w:t>7</w:t>
                  </w:r>
                </w:p>
              </w:tc>
              <w:tc>
                <w:tcPr>
                  <w:tcW w:w="1707" w:type="dxa"/>
                  <w:vAlign w:val="center"/>
                </w:tcPr>
                <w:p w14:paraId="163D71F2">
                  <w:pPr>
                    <w:pStyle w:val="65"/>
                    <w:rPr>
                      <w:color w:val="auto"/>
                    </w:rPr>
                  </w:pPr>
                  <w:r>
                    <w:rPr>
                      <w:rFonts w:hint="eastAsia"/>
                      <w:color w:val="auto"/>
                    </w:rPr>
                    <w:t>交流输出电压</w:t>
                  </w:r>
                </w:p>
              </w:tc>
              <w:tc>
                <w:tcPr>
                  <w:tcW w:w="1344" w:type="dxa"/>
                  <w:vAlign w:val="center"/>
                </w:tcPr>
                <w:p w14:paraId="4E48FD1F">
                  <w:pPr>
                    <w:pStyle w:val="65"/>
                    <w:rPr>
                      <w:color w:val="auto"/>
                    </w:rPr>
                  </w:pPr>
                  <w:r>
                    <w:rPr>
                      <w:rFonts w:hint="eastAsia"/>
                      <w:color w:val="auto"/>
                    </w:rPr>
                    <w:t>V</w:t>
                  </w:r>
                </w:p>
              </w:tc>
              <w:tc>
                <w:tcPr>
                  <w:tcW w:w="3075" w:type="dxa"/>
                  <w:vAlign w:val="center"/>
                </w:tcPr>
                <w:p w14:paraId="61236E8B">
                  <w:pPr>
                    <w:pStyle w:val="65"/>
                    <w:rPr>
                      <w:color w:val="auto"/>
                    </w:rPr>
                  </w:pPr>
                  <w:r>
                    <w:rPr>
                      <w:rFonts w:hint="eastAsia"/>
                      <w:color w:val="auto"/>
                    </w:rPr>
                    <w:t>800</w:t>
                  </w:r>
                </w:p>
              </w:tc>
              <w:tc>
                <w:tcPr>
                  <w:tcW w:w="798" w:type="dxa"/>
                  <w:vAlign w:val="center"/>
                </w:tcPr>
                <w:p w14:paraId="2754B3FF">
                  <w:pPr>
                    <w:pStyle w:val="65"/>
                    <w:rPr>
                      <w:color w:val="auto"/>
                    </w:rPr>
                  </w:pPr>
                  <w:r>
                    <w:rPr>
                      <w:rFonts w:hint="eastAsia"/>
                      <w:color w:val="auto"/>
                    </w:rPr>
                    <w:t>/</w:t>
                  </w:r>
                </w:p>
              </w:tc>
            </w:tr>
            <w:tr w14:paraId="78A8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0643858D">
                  <w:pPr>
                    <w:pStyle w:val="65"/>
                    <w:rPr>
                      <w:color w:val="auto"/>
                    </w:rPr>
                  </w:pPr>
                  <w:r>
                    <w:rPr>
                      <w:rFonts w:hint="eastAsia"/>
                      <w:color w:val="auto"/>
                    </w:rPr>
                    <w:t>8</w:t>
                  </w:r>
                </w:p>
              </w:tc>
              <w:tc>
                <w:tcPr>
                  <w:tcW w:w="1707" w:type="dxa"/>
                  <w:vAlign w:val="center"/>
                </w:tcPr>
                <w:p w14:paraId="67671BCE">
                  <w:pPr>
                    <w:pStyle w:val="65"/>
                    <w:rPr>
                      <w:color w:val="auto"/>
                    </w:rPr>
                  </w:pPr>
                  <w:r>
                    <w:rPr>
                      <w:rFonts w:hint="eastAsia"/>
                      <w:color w:val="auto"/>
                    </w:rPr>
                    <w:t>输出频率要求</w:t>
                  </w:r>
                </w:p>
              </w:tc>
              <w:tc>
                <w:tcPr>
                  <w:tcW w:w="1344" w:type="dxa"/>
                  <w:vAlign w:val="center"/>
                </w:tcPr>
                <w:p w14:paraId="79A2A6C4">
                  <w:pPr>
                    <w:pStyle w:val="65"/>
                    <w:rPr>
                      <w:color w:val="auto"/>
                    </w:rPr>
                  </w:pPr>
                  <w:r>
                    <w:rPr>
                      <w:rFonts w:hint="eastAsia"/>
                      <w:color w:val="auto"/>
                    </w:rPr>
                    <w:t>Hz</w:t>
                  </w:r>
                </w:p>
              </w:tc>
              <w:tc>
                <w:tcPr>
                  <w:tcW w:w="3075" w:type="dxa"/>
                  <w:vAlign w:val="center"/>
                </w:tcPr>
                <w:p w14:paraId="6FE4B3D9">
                  <w:pPr>
                    <w:pStyle w:val="65"/>
                    <w:rPr>
                      <w:color w:val="auto"/>
                    </w:rPr>
                  </w:pPr>
                  <w:r>
                    <w:rPr>
                      <w:rFonts w:hint="eastAsia"/>
                      <w:color w:val="auto"/>
                    </w:rPr>
                    <w:t>50±5Hz</w:t>
                  </w:r>
                </w:p>
              </w:tc>
              <w:tc>
                <w:tcPr>
                  <w:tcW w:w="798" w:type="dxa"/>
                  <w:vAlign w:val="center"/>
                </w:tcPr>
                <w:p w14:paraId="33D47568">
                  <w:pPr>
                    <w:pStyle w:val="65"/>
                    <w:rPr>
                      <w:color w:val="auto"/>
                    </w:rPr>
                  </w:pPr>
                  <w:r>
                    <w:rPr>
                      <w:rFonts w:hint="eastAsia"/>
                      <w:color w:val="auto"/>
                    </w:rPr>
                    <w:t>/</w:t>
                  </w:r>
                </w:p>
              </w:tc>
            </w:tr>
            <w:tr w14:paraId="15AD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03C219D6">
                  <w:pPr>
                    <w:pStyle w:val="65"/>
                    <w:rPr>
                      <w:color w:val="auto"/>
                    </w:rPr>
                  </w:pPr>
                  <w:r>
                    <w:rPr>
                      <w:rFonts w:hint="eastAsia"/>
                      <w:color w:val="auto"/>
                    </w:rPr>
                    <w:t>9</w:t>
                  </w:r>
                </w:p>
              </w:tc>
              <w:tc>
                <w:tcPr>
                  <w:tcW w:w="1707" w:type="dxa"/>
                  <w:vAlign w:val="center"/>
                </w:tcPr>
                <w:p w14:paraId="4865CC6E">
                  <w:pPr>
                    <w:pStyle w:val="65"/>
                    <w:rPr>
                      <w:color w:val="auto"/>
                    </w:rPr>
                  </w:pPr>
                  <w:r>
                    <w:rPr>
                      <w:rFonts w:hint="eastAsia"/>
                      <w:color w:val="auto"/>
                    </w:rPr>
                    <w:t>功率因数</w:t>
                  </w:r>
                </w:p>
              </w:tc>
              <w:tc>
                <w:tcPr>
                  <w:tcW w:w="1344" w:type="dxa"/>
                  <w:vAlign w:val="center"/>
                </w:tcPr>
                <w:p w14:paraId="04607FD1">
                  <w:pPr>
                    <w:pStyle w:val="65"/>
                    <w:rPr>
                      <w:color w:val="auto"/>
                    </w:rPr>
                  </w:pPr>
                  <w:r>
                    <w:rPr>
                      <w:rFonts w:hint="eastAsia"/>
                      <w:color w:val="auto"/>
                    </w:rPr>
                    <w:t>/</w:t>
                  </w:r>
                </w:p>
              </w:tc>
              <w:tc>
                <w:tcPr>
                  <w:tcW w:w="3075" w:type="dxa"/>
                  <w:vAlign w:val="center"/>
                </w:tcPr>
                <w:p w14:paraId="05141EF7">
                  <w:pPr>
                    <w:pStyle w:val="65"/>
                    <w:rPr>
                      <w:color w:val="auto"/>
                    </w:rPr>
                  </w:pPr>
                  <w:r>
                    <w:rPr>
                      <w:rFonts w:hint="eastAsia"/>
                      <w:color w:val="auto"/>
                    </w:rPr>
                    <w:t>0.8超前~0.8滞后</w:t>
                  </w:r>
                </w:p>
              </w:tc>
              <w:tc>
                <w:tcPr>
                  <w:tcW w:w="798" w:type="dxa"/>
                  <w:vAlign w:val="center"/>
                </w:tcPr>
                <w:p w14:paraId="6FF49962">
                  <w:pPr>
                    <w:pStyle w:val="65"/>
                    <w:rPr>
                      <w:color w:val="auto"/>
                    </w:rPr>
                  </w:pPr>
                  <w:r>
                    <w:rPr>
                      <w:rFonts w:hint="eastAsia"/>
                      <w:color w:val="auto"/>
                    </w:rPr>
                    <w:t>/</w:t>
                  </w:r>
                </w:p>
              </w:tc>
            </w:tr>
            <w:tr w14:paraId="714B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30780424">
                  <w:pPr>
                    <w:pStyle w:val="65"/>
                    <w:rPr>
                      <w:color w:val="auto"/>
                    </w:rPr>
                  </w:pPr>
                  <w:r>
                    <w:rPr>
                      <w:rFonts w:hint="eastAsia"/>
                      <w:color w:val="auto"/>
                    </w:rPr>
                    <w:t>10</w:t>
                  </w:r>
                </w:p>
              </w:tc>
              <w:tc>
                <w:tcPr>
                  <w:tcW w:w="1707" w:type="dxa"/>
                  <w:vAlign w:val="center"/>
                </w:tcPr>
                <w:p w14:paraId="07439B2B">
                  <w:pPr>
                    <w:pStyle w:val="65"/>
                    <w:rPr>
                      <w:color w:val="auto"/>
                    </w:rPr>
                  </w:pPr>
                  <w:r>
                    <w:rPr>
                      <w:rFonts w:hint="eastAsia"/>
                      <w:color w:val="auto"/>
                    </w:rPr>
                    <w:t>外形尺寸</w:t>
                  </w:r>
                </w:p>
              </w:tc>
              <w:tc>
                <w:tcPr>
                  <w:tcW w:w="1344" w:type="dxa"/>
                  <w:vAlign w:val="center"/>
                </w:tcPr>
                <w:p w14:paraId="47A47C0A">
                  <w:pPr>
                    <w:pStyle w:val="65"/>
                    <w:rPr>
                      <w:color w:val="auto"/>
                    </w:rPr>
                  </w:pPr>
                  <w:r>
                    <w:rPr>
                      <w:rFonts w:hint="eastAsia"/>
                      <w:color w:val="auto"/>
                    </w:rPr>
                    <w:t>mm</w:t>
                  </w:r>
                </w:p>
              </w:tc>
              <w:tc>
                <w:tcPr>
                  <w:tcW w:w="3075" w:type="dxa"/>
                  <w:vAlign w:val="center"/>
                </w:tcPr>
                <w:p w14:paraId="0C37670C">
                  <w:pPr>
                    <w:pStyle w:val="65"/>
                    <w:rPr>
                      <w:color w:val="auto"/>
                    </w:rPr>
                  </w:pPr>
                  <w:r>
                    <w:rPr>
                      <w:rFonts w:hint="eastAsia"/>
                      <w:color w:val="auto"/>
                    </w:rPr>
                    <w:t>1045×730×405</w:t>
                  </w:r>
                </w:p>
              </w:tc>
              <w:tc>
                <w:tcPr>
                  <w:tcW w:w="798" w:type="dxa"/>
                  <w:vAlign w:val="center"/>
                </w:tcPr>
                <w:p w14:paraId="447901EA">
                  <w:pPr>
                    <w:pStyle w:val="65"/>
                    <w:rPr>
                      <w:color w:val="auto"/>
                    </w:rPr>
                  </w:pPr>
                  <w:r>
                    <w:rPr>
                      <w:rFonts w:hint="eastAsia"/>
                      <w:color w:val="auto"/>
                    </w:rPr>
                    <w:t>/</w:t>
                  </w:r>
                </w:p>
              </w:tc>
            </w:tr>
            <w:tr w14:paraId="521C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E865338">
                  <w:pPr>
                    <w:pStyle w:val="65"/>
                    <w:rPr>
                      <w:color w:val="auto"/>
                    </w:rPr>
                  </w:pPr>
                  <w:r>
                    <w:rPr>
                      <w:rFonts w:hint="eastAsia"/>
                      <w:color w:val="auto"/>
                    </w:rPr>
                    <w:t>11</w:t>
                  </w:r>
                </w:p>
              </w:tc>
              <w:tc>
                <w:tcPr>
                  <w:tcW w:w="1707" w:type="dxa"/>
                  <w:vAlign w:val="center"/>
                </w:tcPr>
                <w:p w14:paraId="3233804F">
                  <w:pPr>
                    <w:pStyle w:val="65"/>
                    <w:rPr>
                      <w:color w:val="auto"/>
                    </w:rPr>
                  </w:pPr>
                  <w:r>
                    <w:rPr>
                      <w:rFonts w:hint="eastAsia"/>
                      <w:color w:val="auto"/>
                    </w:rPr>
                    <w:t>重量</w:t>
                  </w:r>
                </w:p>
              </w:tc>
              <w:tc>
                <w:tcPr>
                  <w:tcW w:w="1344" w:type="dxa"/>
                  <w:vAlign w:val="center"/>
                </w:tcPr>
                <w:p w14:paraId="7CCE1F00">
                  <w:pPr>
                    <w:pStyle w:val="65"/>
                    <w:rPr>
                      <w:color w:val="auto"/>
                    </w:rPr>
                  </w:pPr>
                  <w:r>
                    <w:rPr>
                      <w:rFonts w:hint="eastAsia"/>
                      <w:color w:val="auto"/>
                    </w:rPr>
                    <w:t>kg</w:t>
                  </w:r>
                </w:p>
              </w:tc>
              <w:tc>
                <w:tcPr>
                  <w:tcW w:w="3075" w:type="dxa"/>
                  <w:vAlign w:val="center"/>
                </w:tcPr>
                <w:p w14:paraId="0A884E12">
                  <w:pPr>
                    <w:pStyle w:val="65"/>
                    <w:rPr>
                      <w:color w:val="auto"/>
                    </w:rPr>
                  </w:pPr>
                  <w:r>
                    <w:rPr>
                      <w:rFonts w:hint="eastAsia"/>
                      <w:color w:val="auto"/>
                    </w:rPr>
                    <w:t>116</w:t>
                  </w:r>
                </w:p>
              </w:tc>
              <w:tc>
                <w:tcPr>
                  <w:tcW w:w="798" w:type="dxa"/>
                  <w:vAlign w:val="center"/>
                </w:tcPr>
                <w:p w14:paraId="2A27C0D0">
                  <w:pPr>
                    <w:pStyle w:val="65"/>
                    <w:rPr>
                      <w:color w:val="auto"/>
                    </w:rPr>
                  </w:pPr>
                  <w:r>
                    <w:rPr>
                      <w:rFonts w:hint="eastAsia"/>
                      <w:color w:val="auto"/>
                    </w:rPr>
                    <w:t>/</w:t>
                  </w:r>
                </w:p>
              </w:tc>
            </w:tr>
            <w:tr w14:paraId="7C23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316C9905">
                  <w:pPr>
                    <w:pStyle w:val="65"/>
                    <w:rPr>
                      <w:color w:val="auto"/>
                    </w:rPr>
                  </w:pPr>
                  <w:r>
                    <w:rPr>
                      <w:rFonts w:hint="eastAsia"/>
                      <w:color w:val="auto"/>
                    </w:rPr>
                    <w:t>12</w:t>
                  </w:r>
                </w:p>
              </w:tc>
              <w:tc>
                <w:tcPr>
                  <w:tcW w:w="1707" w:type="dxa"/>
                  <w:vAlign w:val="center"/>
                </w:tcPr>
                <w:p w14:paraId="2E3714A8">
                  <w:pPr>
                    <w:pStyle w:val="65"/>
                    <w:rPr>
                      <w:color w:val="auto"/>
                    </w:rPr>
                  </w:pPr>
                  <w:r>
                    <w:rPr>
                      <w:rFonts w:hint="eastAsia"/>
                      <w:color w:val="auto"/>
                    </w:rPr>
                    <w:t>工作环境温度范围</w:t>
                  </w:r>
                </w:p>
              </w:tc>
              <w:tc>
                <w:tcPr>
                  <w:tcW w:w="1344" w:type="dxa"/>
                  <w:vAlign w:val="center"/>
                </w:tcPr>
                <w:p w14:paraId="12204195">
                  <w:pPr>
                    <w:pStyle w:val="65"/>
                    <w:rPr>
                      <w:color w:val="auto"/>
                    </w:rPr>
                  </w:pPr>
                  <w:r>
                    <w:rPr>
                      <w:rFonts w:hint="eastAsia"/>
                      <w:color w:val="auto"/>
                    </w:rPr>
                    <w:t>℃</w:t>
                  </w:r>
                </w:p>
              </w:tc>
              <w:tc>
                <w:tcPr>
                  <w:tcW w:w="3075" w:type="dxa"/>
                  <w:vAlign w:val="center"/>
                </w:tcPr>
                <w:p w14:paraId="7A80AEB7">
                  <w:pPr>
                    <w:pStyle w:val="65"/>
                    <w:rPr>
                      <w:color w:val="auto"/>
                    </w:rPr>
                  </w:pPr>
                  <w:r>
                    <w:rPr>
                      <w:rFonts w:hint="eastAsia"/>
                      <w:color w:val="auto"/>
                    </w:rPr>
                    <w:t>-25～+60</w:t>
                  </w:r>
                </w:p>
              </w:tc>
              <w:tc>
                <w:tcPr>
                  <w:tcW w:w="798" w:type="dxa"/>
                  <w:vAlign w:val="center"/>
                </w:tcPr>
                <w:p w14:paraId="35BBAE86">
                  <w:pPr>
                    <w:pStyle w:val="65"/>
                    <w:rPr>
                      <w:color w:val="auto"/>
                    </w:rPr>
                  </w:pPr>
                  <w:r>
                    <w:rPr>
                      <w:rFonts w:hint="eastAsia"/>
                      <w:color w:val="auto"/>
                    </w:rPr>
                    <w:t>/</w:t>
                  </w:r>
                </w:p>
              </w:tc>
            </w:tr>
            <w:tr w14:paraId="56CA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84BB5DF">
                  <w:pPr>
                    <w:pStyle w:val="65"/>
                    <w:rPr>
                      <w:color w:val="auto"/>
                    </w:rPr>
                  </w:pPr>
                  <w:r>
                    <w:rPr>
                      <w:rFonts w:hint="eastAsia"/>
                      <w:color w:val="auto"/>
                    </w:rPr>
                    <w:t>13</w:t>
                  </w:r>
                </w:p>
              </w:tc>
              <w:tc>
                <w:tcPr>
                  <w:tcW w:w="1707" w:type="dxa"/>
                  <w:vAlign w:val="center"/>
                </w:tcPr>
                <w:p w14:paraId="3B8D0AF2">
                  <w:pPr>
                    <w:pStyle w:val="65"/>
                    <w:rPr>
                      <w:color w:val="auto"/>
                    </w:rPr>
                  </w:pPr>
                  <w:r>
                    <w:rPr>
                      <w:rFonts w:hint="eastAsia"/>
                      <w:color w:val="auto"/>
                    </w:rPr>
                    <w:t>数量</w:t>
                  </w:r>
                </w:p>
              </w:tc>
              <w:tc>
                <w:tcPr>
                  <w:tcW w:w="1344" w:type="dxa"/>
                  <w:vAlign w:val="center"/>
                </w:tcPr>
                <w:p w14:paraId="2CE9C513">
                  <w:pPr>
                    <w:pStyle w:val="65"/>
                    <w:rPr>
                      <w:color w:val="auto"/>
                    </w:rPr>
                  </w:pPr>
                  <w:r>
                    <w:rPr>
                      <w:rFonts w:hint="eastAsia"/>
                      <w:color w:val="auto"/>
                    </w:rPr>
                    <w:t>台</w:t>
                  </w:r>
                </w:p>
              </w:tc>
              <w:tc>
                <w:tcPr>
                  <w:tcW w:w="3075" w:type="dxa"/>
                  <w:vAlign w:val="center"/>
                </w:tcPr>
                <w:p w14:paraId="1F3A379B">
                  <w:pPr>
                    <w:pStyle w:val="65"/>
                    <w:rPr>
                      <w:color w:val="auto"/>
                    </w:rPr>
                  </w:pPr>
                  <w:r>
                    <w:rPr>
                      <w:rFonts w:hint="eastAsia"/>
                      <w:color w:val="auto"/>
                    </w:rPr>
                    <w:t>188</w:t>
                  </w:r>
                </w:p>
              </w:tc>
              <w:tc>
                <w:tcPr>
                  <w:tcW w:w="798" w:type="dxa"/>
                  <w:vAlign w:val="center"/>
                </w:tcPr>
                <w:p w14:paraId="1773F6A6">
                  <w:pPr>
                    <w:pStyle w:val="65"/>
                    <w:rPr>
                      <w:color w:val="auto"/>
                    </w:rPr>
                  </w:pPr>
                  <w:r>
                    <w:rPr>
                      <w:rFonts w:hint="eastAsia"/>
                      <w:color w:val="auto"/>
                    </w:rPr>
                    <w:t>/</w:t>
                  </w:r>
                </w:p>
              </w:tc>
            </w:tr>
            <w:tr w14:paraId="051E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9" w:type="dxa"/>
                  <w:gridSpan w:val="5"/>
                  <w:vAlign w:val="center"/>
                </w:tcPr>
                <w:p w14:paraId="1E8C3D77">
                  <w:pPr>
                    <w:pStyle w:val="65"/>
                    <w:rPr>
                      <w:color w:val="auto"/>
                    </w:rPr>
                  </w:pPr>
                  <w:r>
                    <w:rPr>
                      <w:color w:val="auto"/>
                    </w:rPr>
                    <w:t>3、箱变</w:t>
                  </w:r>
                </w:p>
              </w:tc>
            </w:tr>
            <w:tr w14:paraId="3628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0879DD10">
                  <w:pPr>
                    <w:pStyle w:val="65"/>
                    <w:rPr>
                      <w:color w:val="auto"/>
                    </w:rPr>
                  </w:pPr>
                  <w:r>
                    <w:rPr>
                      <w:color w:val="auto"/>
                    </w:rPr>
                    <w:t>3.1</w:t>
                  </w:r>
                </w:p>
              </w:tc>
              <w:tc>
                <w:tcPr>
                  <w:tcW w:w="1707" w:type="dxa"/>
                  <w:vAlign w:val="center"/>
                </w:tcPr>
                <w:p w14:paraId="46226CC7">
                  <w:pPr>
                    <w:pStyle w:val="65"/>
                    <w:rPr>
                      <w:color w:val="auto"/>
                    </w:rPr>
                  </w:pPr>
                  <w:r>
                    <w:rPr>
                      <w:color w:val="auto"/>
                    </w:rPr>
                    <w:t>台数</w:t>
                  </w:r>
                </w:p>
              </w:tc>
              <w:tc>
                <w:tcPr>
                  <w:tcW w:w="1344" w:type="dxa"/>
                  <w:vAlign w:val="center"/>
                </w:tcPr>
                <w:p w14:paraId="31B3F073">
                  <w:pPr>
                    <w:pStyle w:val="65"/>
                    <w:rPr>
                      <w:color w:val="auto"/>
                    </w:rPr>
                  </w:pPr>
                  <w:r>
                    <w:rPr>
                      <w:color w:val="auto"/>
                    </w:rPr>
                    <w:t>台</w:t>
                  </w:r>
                </w:p>
              </w:tc>
              <w:tc>
                <w:tcPr>
                  <w:tcW w:w="3075" w:type="dxa"/>
                  <w:vAlign w:val="center"/>
                </w:tcPr>
                <w:p w14:paraId="5F1C43AB">
                  <w:pPr>
                    <w:pStyle w:val="65"/>
                    <w:rPr>
                      <w:color w:val="auto"/>
                    </w:rPr>
                  </w:pPr>
                  <w:r>
                    <w:rPr>
                      <w:rFonts w:hint="eastAsia"/>
                      <w:color w:val="auto"/>
                    </w:rPr>
                    <w:t>22</w:t>
                  </w:r>
                </w:p>
              </w:tc>
              <w:tc>
                <w:tcPr>
                  <w:tcW w:w="798" w:type="dxa"/>
                  <w:vAlign w:val="center"/>
                </w:tcPr>
                <w:p w14:paraId="5A5CD36E">
                  <w:pPr>
                    <w:pStyle w:val="65"/>
                    <w:rPr>
                      <w:color w:val="auto"/>
                    </w:rPr>
                  </w:pPr>
                  <w:r>
                    <w:rPr>
                      <w:color w:val="auto"/>
                    </w:rPr>
                    <w:t>/</w:t>
                  </w:r>
                </w:p>
              </w:tc>
            </w:tr>
            <w:tr w14:paraId="760E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3B97E26A">
                  <w:pPr>
                    <w:pStyle w:val="65"/>
                    <w:rPr>
                      <w:color w:val="auto"/>
                    </w:rPr>
                  </w:pPr>
                  <w:r>
                    <w:rPr>
                      <w:color w:val="auto"/>
                    </w:rPr>
                    <w:t>3.2</w:t>
                  </w:r>
                </w:p>
              </w:tc>
              <w:tc>
                <w:tcPr>
                  <w:tcW w:w="1707" w:type="dxa"/>
                  <w:vAlign w:val="center"/>
                </w:tcPr>
                <w:p w14:paraId="4CD5D718">
                  <w:pPr>
                    <w:pStyle w:val="65"/>
                    <w:rPr>
                      <w:color w:val="auto"/>
                    </w:rPr>
                  </w:pPr>
                  <w:r>
                    <w:rPr>
                      <w:color w:val="auto"/>
                    </w:rPr>
                    <w:t>容量</w:t>
                  </w:r>
                </w:p>
              </w:tc>
              <w:tc>
                <w:tcPr>
                  <w:tcW w:w="1344" w:type="dxa"/>
                  <w:vAlign w:val="center"/>
                </w:tcPr>
                <w:p w14:paraId="42A9A4B6">
                  <w:pPr>
                    <w:pStyle w:val="65"/>
                    <w:rPr>
                      <w:color w:val="auto"/>
                    </w:rPr>
                  </w:pPr>
                  <w:r>
                    <w:rPr>
                      <w:color w:val="auto"/>
                    </w:rPr>
                    <w:t>kVA</w:t>
                  </w:r>
                </w:p>
              </w:tc>
              <w:tc>
                <w:tcPr>
                  <w:tcW w:w="3075" w:type="dxa"/>
                  <w:vAlign w:val="center"/>
                </w:tcPr>
                <w:p w14:paraId="0120B0AA">
                  <w:pPr>
                    <w:pStyle w:val="65"/>
                    <w:rPr>
                      <w:color w:val="auto"/>
                    </w:rPr>
                  </w:pPr>
                  <w:r>
                    <w:rPr>
                      <w:color w:val="auto"/>
                      <w:lang w:bidi="zh-CN"/>
                    </w:rPr>
                    <w:t>3</w:t>
                  </w:r>
                  <w:r>
                    <w:rPr>
                      <w:rFonts w:hint="eastAsia"/>
                      <w:color w:val="auto"/>
                      <w:lang w:bidi="zh-CN"/>
                    </w:rPr>
                    <w:t>2</w:t>
                  </w:r>
                  <w:r>
                    <w:rPr>
                      <w:color w:val="auto"/>
                      <w:lang w:bidi="zh-CN"/>
                    </w:rPr>
                    <w:t>00/</w:t>
                  </w:r>
                  <w:r>
                    <w:rPr>
                      <w:rFonts w:hint="eastAsia"/>
                      <w:color w:val="auto"/>
                      <w:lang w:bidi="zh-CN"/>
                    </w:rPr>
                    <w:t>26</w:t>
                  </w:r>
                  <w:r>
                    <w:rPr>
                      <w:color w:val="auto"/>
                      <w:lang w:bidi="zh-CN"/>
                    </w:rPr>
                    <w:t>00/</w:t>
                  </w:r>
                  <w:r>
                    <w:rPr>
                      <w:rFonts w:hint="eastAsia"/>
                      <w:color w:val="auto"/>
                      <w:lang w:bidi="zh-CN"/>
                    </w:rPr>
                    <w:t>20</w:t>
                  </w:r>
                  <w:r>
                    <w:rPr>
                      <w:color w:val="auto"/>
                      <w:lang w:bidi="zh-CN"/>
                    </w:rPr>
                    <w:t>00</w:t>
                  </w:r>
                </w:p>
              </w:tc>
              <w:tc>
                <w:tcPr>
                  <w:tcW w:w="798" w:type="dxa"/>
                  <w:vAlign w:val="center"/>
                </w:tcPr>
                <w:p w14:paraId="5E26155D">
                  <w:pPr>
                    <w:pStyle w:val="65"/>
                    <w:rPr>
                      <w:color w:val="auto"/>
                    </w:rPr>
                  </w:pPr>
                  <w:r>
                    <w:rPr>
                      <w:color w:val="auto"/>
                    </w:rPr>
                    <w:t>/</w:t>
                  </w:r>
                </w:p>
              </w:tc>
            </w:tr>
            <w:tr w14:paraId="1266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263969EE">
                  <w:pPr>
                    <w:pStyle w:val="65"/>
                    <w:rPr>
                      <w:color w:val="auto"/>
                    </w:rPr>
                  </w:pPr>
                  <w:r>
                    <w:rPr>
                      <w:color w:val="auto"/>
                    </w:rPr>
                    <w:t>3.3</w:t>
                  </w:r>
                </w:p>
              </w:tc>
              <w:tc>
                <w:tcPr>
                  <w:tcW w:w="1707" w:type="dxa"/>
                  <w:vAlign w:val="center"/>
                </w:tcPr>
                <w:p w14:paraId="03A194C6">
                  <w:pPr>
                    <w:pStyle w:val="65"/>
                    <w:rPr>
                      <w:color w:val="auto"/>
                    </w:rPr>
                  </w:pPr>
                  <w:r>
                    <w:rPr>
                      <w:color w:val="auto"/>
                    </w:rPr>
                    <w:t>额定电压</w:t>
                  </w:r>
                  <w:r>
                    <w:rPr>
                      <w:rFonts w:hint="eastAsia"/>
                      <w:color w:val="auto"/>
                    </w:rPr>
                    <w:t>比</w:t>
                  </w:r>
                </w:p>
              </w:tc>
              <w:tc>
                <w:tcPr>
                  <w:tcW w:w="1344" w:type="dxa"/>
                  <w:vAlign w:val="center"/>
                </w:tcPr>
                <w:p w14:paraId="68D52414">
                  <w:pPr>
                    <w:pStyle w:val="65"/>
                    <w:rPr>
                      <w:color w:val="auto"/>
                    </w:rPr>
                  </w:pPr>
                  <w:r>
                    <w:rPr>
                      <w:color w:val="auto"/>
                    </w:rPr>
                    <w:t>kV</w:t>
                  </w:r>
                </w:p>
              </w:tc>
              <w:tc>
                <w:tcPr>
                  <w:tcW w:w="3075" w:type="dxa"/>
                  <w:vAlign w:val="center"/>
                </w:tcPr>
                <w:p w14:paraId="53D5FD4A">
                  <w:pPr>
                    <w:pStyle w:val="65"/>
                    <w:rPr>
                      <w:color w:val="auto"/>
                    </w:rPr>
                  </w:pPr>
                  <w:r>
                    <w:rPr>
                      <w:color w:val="auto"/>
                      <w:lang w:bidi="zh-CN"/>
                    </w:rPr>
                    <w:t>35±2</w:t>
                  </w:r>
                  <w:r>
                    <w:rPr>
                      <w:rFonts w:hint="eastAsia"/>
                      <w:color w:val="auto"/>
                      <w:lang w:bidi="zh-CN"/>
                    </w:rPr>
                    <w:t>×</w:t>
                  </w:r>
                  <w:r>
                    <w:rPr>
                      <w:color w:val="auto"/>
                      <w:lang w:bidi="zh-CN"/>
                    </w:rPr>
                    <w:t>2.5%/0.8kV</w:t>
                  </w:r>
                </w:p>
              </w:tc>
              <w:tc>
                <w:tcPr>
                  <w:tcW w:w="798" w:type="dxa"/>
                  <w:vAlign w:val="center"/>
                </w:tcPr>
                <w:p w14:paraId="5362DA8C">
                  <w:pPr>
                    <w:pStyle w:val="65"/>
                    <w:rPr>
                      <w:color w:val="auto"/>
                    </w:rPr>
                  </w:pPr>
                  <w:r>
                    <w:rPr>
                      <w:color w:val="auto"/>
                    </w:rPr>
                    <w:t>/</w:t>
                  </w:r>
                </w:p>
              </w:tc>
            </w:tr>
            <w:tr w14:paraId="74F6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9" w:type="dxa"/>
                  <w:gridSpan w:val="5"/>
                  <w:vAlign w:val="center"/>
                </w:tcPr>
                <w:p w14:paraId="143CA0EE">
                  <w:pPr>
                    <w:pStyle w:val="65"/>
                    <w:rPr>
                      <w:color w:val="auto"/>
                    </w:rPr>
                  </w:pPr>
                  <w:r>
                    <w:rPr>
                      <w:rFonts w:hint="eastAsia"/>
                      <w:color w:val="auto"/>
                    </w:rPr>
                    <w:t>4</w:t>
                  </w:r>
                  <w:r>
                    <w:rPr>
                      <w:color w:val="auto"/>
                    </w:rPr>
                    <w:t>、升压站出线回路数和电压等级</w:t>
                  </w:r>
                </w:p>
              </w:tc>
            </w:tr>
            <w:tr w14:paraId="0511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2E2ABECB">
                  <w:pPr>
                    <w:pStyle w:val="65"/>
                    <w:rPr>
                      <w:color w:val="auto"/>
                    </w:rPr>
                  </w:pPr>
                  <w:r>
                    <w:rPr>
                      <w:rFonts w:hint="eastAsia"/>
                      <w:color w:val="auto"/>
                    </w:rPr>
                    <w:t>4</w:t>
                  </w:r>
                  <w:r>
                    <w:rPr>
                      <w:color w:val="auto"/>
                    </w:rPr>
                    <w:t>.1</w:t>
                  </w:r>
                </w:p>
              </w:tc>
              <w:tc>
                <w:tcPr>
                  <w:tcW w:w="1707" w:type="dxa"/>
                  <w:vAlign w:val="center"/>
                </w:tcPr>
                <w:p w14:paraId="38E64165">
                  <w:pPr>
                    <w:pStyle w:val="65"/>
                    <w:rPr>
                      <w:color w:val="auto"/>
                    </w:rPr>
                  </w:pPr>
                  <w:r>
                    <w:rPr>
                      <w:color w:val="auto"/>
                    </w:rPr>
                    <w:t>出线回路数</w:t>
                  </w:r>
                </w:p>
              </w:tc>
              <w:tc>
                <w:tcPr>
                  <w:tcW w:w="1344" w:type="dxa"/>
                  <w:vAlign w:val="center"/>
                </w:tcPr>
                <w:p w14:paraId="74679CC0">
                  <w:pPr>
                    <w:pStyle w:val="65"/>
                    <w:rPr>
                      <w:color w:val="auto"/>
                    </w:rPr>
                  </w:pPr>
                  <w:r>
                    <w:rPr>
                      <w:color w:val="auto"/>
                    </w:rPr>
                    <w:t>回</w:t>
                  </w:r>
                </w:p>
              </w:tc>
              <w:tc>
                <w:tcPr>
                  <w:tcW w:w="3075" w:type="dxa"/>
                  <w:vAlign w:val="center"/>
                </w:tcPr>
                <w:p w14:paraId="45F56284">
                  <w:pPr>
                    <w:pStyle w:val="65"/>
                    <w:rPr>
                      <w:color w:val="auto"/>
                    </w:rPr>
                  </w:pPr>
                  <w:r>
                    <w:rPr>
                      <w:color w:val="auto"/>
                    </w:rPr>
                    <w:t>1</w:t>
                  </w:r>
                </w:p>
              </w:tc>
              <w:tc>
                <w:tcPr>
                  <w:tcW w:w="798" w:type="dxa"/>
                  <w:vMerge w:val="restart"/>
                  <w:vAlign w:val="center"/>
                </w:tcPr>
                <w:p w14:paraId="71D14A07">
                  <w:pPr>
                    <w:pStyle w:val="65"/>
                    <w:rPr>
                      <w:color w:val="auto"/>
                    </w:rPr>
                  </w:pPr>
                  <w:r>
                    <w:rPr>
                      <w:rFonts w:hint="eastAsia"/>
                      <w:color w:val="auto"/>
                    </w:rPr>
                    <w:t>依托德安升压站</w:t>
                  </w:r>
                </w:p>
              </w:tc>
            </w:tr>
            <w:tr w14:paraId="5FB0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17F8F57D">
                  <w:pPr>
                    <w:pStyle w:val="65"/>
                    <w:rPr>
                      <w:color w:val="auto"/>
                    </w:rPr>
                  </w:pPr>
                  <w:r>
                    <w:rPr>
                      <w:rFonts w:hint="eastAsia"/>
                      <w:color w:val="auto"/>
                    </w:rPr>
                    <w:t>4</w:t>
                  </w:r>
                  <w:r>
                    <w:rPr>
                      <w:color w:val="auto"/>
                    </w:rPr>
                    <w:t>.2</w:t>
                  </w:r>
                </w:p>
              </w:tc>
              <w:tc>
                <w:tcPr>
                  <w:tcW w:w="1707" w:type="dxa"/>
                  <w:vAlign w:val="center"/>
                </w:tcPr>
                <w:p w14:paraId="44EE8517">
                  <w:pPr>
                    <w:pStyle w:val="65"/>
                    <w:rPr>
                      <w:color w:val="auto"/>
                    </w:rPr>
                  </w:pPr>
                  <w:r>
                    <w:rPr>
                      <w:color w:val="auto"/>
                    </w:rPr>
                    <w:t>电压等级</w:t>
                  </w:r>
                </w:p>
              </w:tc>
              <w:tc>
                <w:tcPr>
                  <w:tcW w:w="1344" w:type="dxa"/>
                  <w:vAlign w:val="center"/>
                </w:tcPr>
                <w:p w14:paraId="0D74A48A">
                  <w:pPr>
                    <w:pStyle w:val="65"/>
                    <w:rPr>
                      <w:color w:val="auto"/>
                    </w:rPr>
                  </w:pPr>
                  <w:r>
                    <w:rPr>
                      <w:color w:val="auto"/>
                    </w:rPr>
                    <w:t>kV</w:t>
                  </w:r>
                </w:p>
              </w:tc>
              <w:tc>
                <w:tcPr>
                  <w:tcW w:w="3075" w:type="dxa"/>
                  <w:vAlign w:val="center"/>
                </w:tcPr>
                <w:p w14:paraId="4ED90C29">
                  <w:pPr>
                    <w:pStyle w:val="65"/>
                    <w:rPr>
                      <w:color w:val="auto"/>
                    </w:rPr>
                  </w:pPr>
                  <w:r>
                    <w:rPr>
                      <w:rFonts w:hint="eastAsia"/>
                      <w:color w:val="auto"/>
                    </w:rPr>
                    <w:t>22</w:t>
                  </w:r>
                  <w:r>
                    <w:rPr>
                      <w:color w:val="auto"/>
                    </w:rPr>
                    <w:t>0</w:t>
                  </w:r>
                </w:p>
              </w:tc>
              <w:tc>
                <w:tcPr>
                  <w:tcW w:w="798" w:type="dxa"/>
                  <w:vMerge w:val="continue"/>
                  <w:vAlign w:val="center"/>
                </w:tcPr>
                <w:p w14:paraId="77B46C6A">
                  <w:pPr>
                    <w:pStyle w:val="65"/>
                    <w:rPr>
                      <w:color w:val="auto"/>
                    </w:rPr>
                  </w:pPr>
                </w:p>
              </w:tc>
            </w:tr>
            <w:tr w14:paraId="36E9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09" w:type="dxa"/>
                  <w:gridSpan w:val="5"/>
                  <w:vAlign w:val="center"/>
                </w:tcPr>
                <w:p w14:paraId="009A34D5">
                  <w:pPr>
                    <w:pStyle w:val="65"/>
                    <w:rPr>
                      <w:color w:val="auto"/>
                    </w:rPr>
                  </w:pPr>
                  <w:r>
                    <w:rPr>
                      <w:color w:val="auto"/>
                    </w:rPr>
                    <w:t>四、土建施工</w:t>
                  </w:r>
                </w:p>
              </w:tc>
            </w:tr>
            <w:tr w14:paraId="2102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3967650C">
                  <w:pPr>
                    <w:pStyle w:val="65"/>
                    <w:rPr>
                      <w:color w:val="auto"/>
                    </w:rPr>
                  </w:pPr>
                  <w:r>
                    <w:rPr>
                      <w:color w:val="auto"/>
                    </w:rPr>
                    <w:t>编号</w:t>
                  </w:r>
                </w:p>
              </w:tc>
              <w:tc>
                <w:tcPr>
                  <w:tcW w:w="1707" w:type="dxa"/>
                  <w:vAlign w:val="center"/>
                </w:tcPr>
                <w:p w14:paraId="4E9C5ED7">
                  <w:pPr>
                    <w:pStyle w:val="65"/>
                    <w:rPr>
                      <w:color w:val="auto"/>
                    </w:rPr>
                  </w:pPr>
                  <w:r>
                    <w:rPr>
                      <w:color w:val="auto"/>
                    </w:rPr>
                    <w:t>名    称</w:t>
                  </w:r>
                </w:p>
              </w:tc>
              <w:tc>
                <w:tcPr>
                  <w:tcW w:w="1344" w:type="dxa"/>
                  <w:vAlign w:val="center"/>
                </w:tcPr>
                <w:p w14:paraId="5FEF4402">
                  <w:pPr>
                    <w:pStyle w:val="65"/>
                    <w:rPr>
                      <w:color w:val="auto"/>
                    </w:rPr>
                  </w:pPr>
                  <w:r>
                    <w:rPr>
                      <w:color w:val="auto"/>
                    </w:rPr>
                    <w:t>单位</w:t>
                  </w:r>
                </w:p>
              </w:tc>
              <w:tc>
                <w:tcPr>
                  <w:tcW w:w="3075" w:type="dxa"/>
                  <w:vAlign w:val="center"/>
                </w:tcPr>
                <w:p w14:paraId="7910DBC3">
                  <w:pPr>
                    <w:pStyle w:val="65"/>
                    <w:rPr>
                      <w:color w:val="auto"/>
                    </w:rPr>
                  </w:pPr>
                  <w:r>
                    <w:rPr>
                      <w:color w:val="auto"/>
                    </w:rPr>
                    <w:t>数量</w:t>
                  </w:r>
                </w:p>
              </w:tc>
              <w:tc>
                <w:tcPr>
                  <w:tcW w:w="798" w:type="dxa"/>
                  <w:vAlign w:val="center"/>
                </w:tcPr>
                <w:p w14:paraId="16CBBC48">
                  <w:pPr>
                    <w:pStyle w:val="65"/>
                    <w:rPr>
                      <w:color w:val="auto"/>
                    </w:rPr>
                  </w:pPr>
                  <w:r>
                    <w:rPr>
                      <w:color w:val="auto"/>
                    </w:rPr>
                    <w:t>备注</w:t>
                  </w:r>
                </w:p>
              </w:tc>
            </w:tr>
            <w:tr w14:paraId="516F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04908B6C">
                  <w:pPr>
                    <w:pStyle w:val="65"/>
                    <w:rPr>
                      <w:color w:val="auto"/>
                    </w:rPr>
                  </w:pPr>
                  <w:r>
                    <w:rPr>
                      <w:color w:val="auto"/>
                      <w:kern w:val="0"/>
                      <w:lang w:bidi="ar"/>
                    </w:rPr>
                    <w:t>1</w:t>
                  </w:r>
                </w:p>
              </w:tc>
              <w:tc>
                <w:tcPr>
                  <w:tcW w:w="1707" w:type="dxa"/>
                  <w:vAlign w:val="center"/>
                </w:tcPr>
                <w:p w14:paraId="38415FC3">
                  <w:pPr>
                    <w:pStyle w:val="65"/>
                    <w:rPr>
                      <w:color w:val="auto"/>
                    </w:rPr>
                  </w:pPr>
                  <w:r>
                    <w:rPr>
                      <w:color w:val="auto"/>
                      <w:kern w:val="0"/>
                      <w:lang w:bidi="ar"/>
                    </w:rPr>
                    <w:t>光伏组件支架钢材量</w:t>
                  </w:r>
                </w:p>
              </w:tc>
              <w:tc>
                <w:tcPr>
                  <w:tcW w:w="1344" w:type="dxa"/>
                  <w:vAlign w:val="center"/>
                </w:tcPr>
                <w:p w14:paraId="3F039827">
                  <w:pPr>
                    <w:pStyle w:val="65"/>
                    <w:rPr>
                      <w:color w:val="auto"/>
                    </w:rPr>
                  </w:pPr>
                  <w:r>
                    <w:rPr>
                      <w:color w:val="auto"/>
                      <w:kern w:val="0"/>
                      <w:lang w:bidi="ar"/>
                    </w:rPr>
                    <w:t>t</w:t>
                  </w:r>
                </w:p>
              </w:tc>
              <w:tc>
                <w:tcPr>
                  <w:tcW w:w="3075" w:type="dxa"/>
                  <w:vAlign w:val="center"/>
                </w:tcPr>
                <w:p w14:paraId="07F0E19E">
                  <w:pPr>
                    <w:pStyle w:val="65"/>
                    <w:rPr>
                      <w:color w:val="auto"/>
                    </w:rPr>
                  </w:pPr>
                  <w:r>
                    <w:rPr>
                      <w:rFonts w:hint="eastAsia"/>
                      <w:color w:val="auto"/>
                    </w:rPr>
                    <w:t>3252</w:t>
                  </w:r>
                </w:p>
              </w:tc>
              <w:tc>
                <w:tcPr>
                  <w:tcW w:w="798" w:type="dxa"/>
                  <w:vAlign w:val="center"/>
                </w:tcPr>
                <w:p w14:paraId="3F0C2EE2">
                  <w:pPr>
                    <w:pStyle w:val="65"/>
                    <w:rPr>
                      <w:color w:val="auto"/>
                    </w:rPr>
                  </w:pPr>
                  <w:r>
                    <w:rPr>
                      <w:color w:val="auto"/>
                    </w:rPr>
                    <w:t>/</w:t>
                  </w:r>
                </w:p>
              </w:tc>
            </w:tr>
            <w:tr w14:paraId="220D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3AF646EE">
                  <w:pPr>
                    <w:pStyle w:val="65"/>
                    <w:rPr>
                      <w:color w:val="auto"/>
                    </w:rPr>
                  </w:pPr>
                  <w:r>
                    <w:rPr>
                      <w:color w:val="auto"/>
                      <w:kern w:val="0"/>
                      <w:lang w:bidi="ar"/>
                    </w:rPr>
                    <w:t>2</w:t>
                  </w:r>
                </w:p>
              </w:tc>
              <w:tc>
                <w:tcPr>
                  <w:tcW w:w="1707" w:type="dxa"/>
                  <w:vAlign w:val="center"/>
                </w:tcPr>
                <w:p w14:paraId="150BEF02">
                  <w:pPr>
                    <w:pStyle w:val="65"/>
                    <w:rPr>
                      <w:color w:val="auto"/>
                    </w:rPr>
                  </w:pPr>
                  <w:r>
                    <w:rPr>
                      <w:color w:val="auto"/>
                    </w:rPr>
                    <w:t>土石方开挖</w:t>
                  </w:r>
                </w:p>
              </w:tc>
              <w:tc>
                <w:tcPr>
                  <w:tcW w:w="1344" w:type="dxa"/>
                  <w:vAlign w:val="center"/>
                </w:tcPr>
                <w:p w14:paraId="05DCCB57">
                  <w:pPr>
                    <w:pStyle w:val="65"/>
                    <w:rPr>
                      <w:color w:val="auto"/>
                    </w:rPr>
                  </w:pPr>
                  <w:r>
                    <w:rPr>
                      <w:color w:val="auto"/>
                    </w:rPr>
                    <w:t>万m³</w:t>
                  </w:r>
                </w:p>
              </w:tc>
              <w:tc>
                <w:tcPr>
                  <w:tcW w:w="3075" w:type="dxa"/>
                  <w:vAlign w:val="center"/>
                </w:tcPr>
                <w:p w14:paraId="02717125">
                  <w:pPr>
                    <w:pStyle w:val="65"/>
                    <w:rPr>
                      <w:color w:val="auto"/>
                    </w:rPr>
                  </w:pPr>
                  <w:r>
                    <w:rPr>
                      <w:rFonts w:hint="eastAsia"/>
                      <w:color w:val="auto"/>
                    </w:rPr>
                    <w:t>13.21</w:t>
                  </w:r>
                </w:p>
              </w:tc>
              <w:tc>
                <w:tcPr>
                  <w:tcW w:w="798" w:type="dxa"/>
                  <w:vAlign w:val="center"/>
                </w:tcPr>
                <w:p w14:paraId="550E562E">
                  <w:pPr>
                    <w:pStyle w:val="65"/>
                    <w:rPr>
                      <w:color w:val="auto"/>
                    </w:rPr>
                  </w:pPr>
                  <w:r>
                    <w:rPr>
                      <w:color w:val="auto"/>
                    </w:rPr>
                    <w:t>/</w:t>
                  </w:r>
                </w:p>
              </w:tc>
            </w:tr>
            <w:tr w14:paraId="540F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6B1E6968">
                  <w:pPr>
                    <w:pStyle w:val="65"/>
                    <w:rPr>
                      <w:color w:val="auto"/>
                      <w:kern w:val="0"/>
                      <w:lang w:bidi="ar"/>
                    </w:rPr>
                  </w:pPr>
                  <w:r>
                    <w:rPr>
                      <w:color w:val="auto"/>
                      <w:kern w:val="0"/>
                      <w:lang w:bidi="ar"/>
                    </w:rPr>
                    <w:t>3</w:t>
                  </w:r>
                </w:p>
              </w:tc>
              <w:tc>
                <w:tcPr>
                  <w:tcW w:w="1707" w:type="dxa"/>
                  <w:vAlign w:val="center"/>
                </w:tcPr>
                <w:p w14:paraId="08BEB345">
                  <w:pPr>
                    <w:pStyle w:val="65"/>
                    <w:rPr>
                      <w:color w:val="auto"/>
                      <w:kern w:val="0"/>
                      <w:lang w:bidi="ar"/>
                    </w:rPr>
                  </w:pPr>
                  <w:r>
                    <w:rPr>
                      <w:color w:val="auto"/>
                    </w:rPr>
                    <w:t>土石方回填</w:t>
                  </w:r>
                </w:p>
              </w:tc>
              <w:tc>
                <w:tcPr>
                  <w:tcW w:w="1344" w:type="dxa"/>
                  <w:vAlign w:val="center"/>
                </w:tcPr>
                <w:p w14:paraId="16F0148B">
                  <w:pPr>
                    <w:pStyle w:val="65"/>
                    <w:rPr>
                      <w:color w:val="auto"/>
                      <w:kern w:val="0"/>
                      <w:lang w:bidi="ar"/>
                    </w:rPr>
                  </w:pPr>
                  <w:r>
                    <w:rPr>
                      <w:color w:val="auto"/>
                    </w:rPr>
                    <w:t>万m³</w:t>
                  </w:r>
                </w:p>
              </w:tc>
              <w:tc>
                <w:tcPr>
                  <w:tcW w:w="3075" w:type="dxa"/>
                  <w:vAlign w:val="center"/>
                </w:tcPr>
                <w:p w14:paraId="1350CDFF">
                  <w:pPr>
                    <w:pStyle w:val="65"/>
                    <w:rPr>
                      <w:color w:val="auto"/>
                    </w:rPr>
                  </w:pPr>
                  <w:r>
                    <w:rPr>
                      <w:rFonts w:hint="eastAsia"/>
                      <w:color w:val="auto"/>
                    </w:rPr>
                    <w:t>13.21</w:t>
                  </w:r>
                </w:p>
              </w:tc>
              <w:tc>
                <w:tcPr>
                  <w:tcW w:w="798" w:type="dxa"/>
                  <w:vAlign w:val="center"/>
                </w:tcPr>
                <w:p w14:paraId="1DFB7DA4">
                  <w:pPr>
                    <w:pStyle w:val="65"/>
                    <w:rPr>
                      <w:color w:val="auto"/>
                    </w:rPr>
                  </w:pPr>
                  <w:r>
                    <w:rPr>
                      <w:color w:val="auto"/>
                    </w:rPr>
                    <w:t>/</w:t>
                  </w:r>
                </w:p>
              </w:tc>
            </w:tr>
            <w:tr w14:paraId="5731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796334EF">
                  <w:pPr>
                    <w:pStyle w:val="65"/>
                    <w:rPr>
                      <w:color w:val="auto"/>
                      <w:kern w:val="0"/>
                      <w:lang w:bidi="ar"/>
                    </w:rPr>
                  </w:pPr>
                  <w:r>
                    <w:rPr>
                      <w:color w:val="auto"/>
                      <w:kern w:val="0"/>
                      <w:lang w:bidi="ar"/>
                    </w:rPr>
                    <w:t>4</w:t>
                  </w:r>
                </w:p>
              </w:tc>
              <w:tc>
                <w:tcPr>
                  <w:tcW w:w="1707" w:type="dxa"/>
                  <w:vAlign w:val="center"/>
                </w:tcPr>
                <w:p w14:paraId="6DF2BAF2">
                  <w:pPr>
                    <w:pStyle w:val="65"/>
                    <w:rPr>
                      <w:color w:val="auto"/>
                      <w:kern w:val="0"/>
                      <w:lang w:bidi="ar"/>
                    </w:rPr>
                  </w:pPr>
                  <w:r>
                    <w:rPr>
                      <w:color w:val="auto"/>
                    </w:rPr>
                    <w:t>混凝土</w:t>
                  </w:r>
                </w:p>
              </w:tc>
              <w:tc>
                <w:tcPr>
                  <w:tcW w:w="1344" w:type="dxa"/>
                  <w:vAlign w:val="center"/>
                </w:tcPr>
                <w:p w14:paraId="13FAB527">
                  <w:pPr>
                    <w:pStyle w:val="65"/>
                    <w:rPr>
                      <w:color w:val="auto"/>
                      <w:kern w:val="0"/>
                      <w:lang w:bidi="ar"/>
                    </w:rPr>
                  </w:pPr>
                  <w:r>
                    <w:rPr>
                      <w:color w:val="auto"/>
                    </w:rPr>
                    <w:t>m³</w:t>
                  </w:r>
                </w:p>
              </w:tc>
              <w:tc>
                <w:tcPr>
                  <w:tcW w:w="3075" w:type="dxa"/>
                  <w:vAlign w:val="center"/>
                </w:tcPr>
                <w:p w14:paraId="1404478D">
                  <w:pPr>
                    <w:pStyle w:val="65"/>
                    <w:rPr>
                      <w:color w:val="auto"/>
                    </w:rPr>
                  </w:pPr>
                  <w:r>
                    <w:rPr>
                      <w:rFonts w:hint="eastAsia"/>
                      <w:color w:val="auto"/>
                    </w:rPr>
                    <w:t>290</w:t>
                  </w:r>
                </w:p>
              </w:tc>
              <w:tc>
                <w:tcPr>
                  <w:tcW w:w="798" w:type="dxa"/>
                  <w:vAlign w:val="center"/>
                </w:tcPr>
                <w:p w14:paraId="0339B069">
                  <w:pPr>
                    <w:pStyle w:val="65"/>
                    <w:rPr>
                      <w:color w:val="auto"/>
                    </w:rPr>
                  </w:pPr>
                  <w:r>
                    <w:rPr>
                      <w:color w:val="auto"/>
                    </w:rPr>
                    <w:t>/</w:t>
                  </w:r>
                </w:p>
              </w:tc>
            </w:tr>
            <w:tr w14:paraId="3FFC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1DDD550A">
                  <w:pPr>
                    <w:pStyle w:val="65"/>
                    <w:rPr>
                      <w:color w:val="auto"/>
                      <w:kern w:val="0"/>
                      <w:lang w:bidi="ar"/>
                    </w:rPr>
                  </w:pPr>
                  <w:r>
                    <w:rPr>
                      <w:color w:val="auto"/>
                      <w:kern w:val="0"/>
                      <w:lang w:bidi="ar"/>
                    </w:rPr>
                    <w:t>5</w:t>
                  </w:r>
                </w:p>
              </w:tc>
              <w:tc>
                <w:tcPr>
                  <w:tcW w:w="1707" w:type="dxa"/>
                  <w:vAlign w:val="center"/>
                </w:tcPr>
                <w:p w14:paraId="4F142651">
                  <w:pPr>
                    <w:pStyle w:val="65"/>
                    <w:rPr>
                      <w:color w:val="auto"/>
                      <w:kern w:val="0"/>
                      <w:lang w:bidi="ar"/>
                    </w:rPr>
                  </w:pPr>
                  <w:r>
                    <w:rPr>
                      <w:rFonts w:hint="eastAsia"/>
                      <w:color w:val="auto"/>
                    </w:rPr>
                    <w:t>基础</w:t>
                  </w:r>
                  <w:r>
                    <w:rPr>
                      <w:color w:val="auto"/>
                    </w:rPr>
                    <w:t>钢筋</w:t>
                  </w:r>
                </w:p>
              </w:tc>
              <w:tc>
                <w:tcPr>
                  <w:tcW w:w="1344" w:type="dxa"/>
                  <w:vAlign w:val="center"/>
                </w:tcPr>
                <w:p w14:paraId="530EC86B">
                  <w:pPr>
                    <w:pStyle w:val="65"/>
                    <w:rPr>
                      <w:color w:val="auto"/>
                      <w:kern w:val="0"/>
                      <w:lang w:bidi="ar"/>
                    </w:rPr>
                  </w:pPr>
                  <w:r>
                    <w:rPr>
                      <w:color w:val="auto"/>
                    </w:rPr>
                    <w:t>t</w:t>
                  </w:r>
                </w:p>
              </w:tc>
              <w:tc>
                <w:tcPr>
                  <w:tcW w:w="3075" w:type="dxa"/>
                  <w:vAlign w:val="center"/>
                </w:tcPr>
                <w:p w14:paraId="792B8649">
                  <w:pPr>
                    <w:pStyle w:val="65"/>
                    <w:rPr>
                      <w:color w:val="auto"/>
                    </w:rPr>
                  </w:pPr>
                  <w:r>
                    <w:rPr>
                      <w:color w:val="auto"/>
                    </w:rPr>
                    <w:t>354</w:t>
                  </w:r>
                </w:p>
              </w:tc>
              <w:tc>
                <w:tcPr>
                  <w:tcW w:w="798" w:type="dxa"/>
                  <w:vAlign w:val="center"/>
                </w:tcPr>
                <w:p w14:paraId="15CBA16C">
                  <w:pPr>
                    <w:pStyle w:val="65"/>
                    <w:rPr>
                      <w:color w:val="auto"/>
                    </w:rPr>
                  </w:pPr>
                  <w:r>
                    <w:rPr>
                      <w:color w:val="auto"/>
                    </w:rPr>
                    <w:t>/</w:t>
                  </w:r>
                </w:p>
              </w:tc>
            </w:tr>
            <w:tr w14:paraId="0068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5" w:type="dxa"/>
                  <w:vAlign w:val="center"/>
                </w:tcPr>
                <w:p w14:paraId="51D38510">
                  <w:pPr>
                    <w:pStyle w:val="65"/>
                    <w:rPr>
                      <w:color w:val="auto"/>
                    </w:rPr>
                  </w:pPr>
                  <w:r>
                    <w:rPr>
                      <w:color w:val="auto"/>
                    </w:rPr>
                    <w:t>6</w:t>
                  </w:r>
                </w:p>
              </w:tc>
              <w:tc>
                <w:tcPr>
                  <w:tcW w:w="1707" w:type="dxa"/>
                  <w:vAlign w:val="center"/>
                </w:tcPr>
                <w:p w14:paraId="3AA48E68">
                  <w:pPr>
                    <w:pStyle w:val="65"/>
                    <w:rPr>
                      <w:color w:val="auto"/>
                    </w:rPr>
                  </w:pPr>
                  <w:r>
                    <w:rPr>
                      <w:color w:val="auto"/>
                      <w:kern w:val="0"/>
                      <w:lang w:bidi="ar"/>
                    </w:rPr>
                    <w:t>施工总工期</w:t>
                  </w:r>
                </w:p>
              </w:tc>
              <w:tc>
                <w:tcPr>
                  <w:tcW w:w="1344" w:type="dxa"/>
                  <w:vAlign w:val="center"/>
                </w:tcPr>
                <w:p w14:paraId="55F7EC38">
                  <w:pPr>
                    <w:pStyle w:val="65"/>
                    <w:rPr>
                      <w:color w:val="auto"/>
                    </w:rPr>
                  </w:pPr>
                  <w:r>
                    <w:rPr>
                      <w:color w:val="auto"/>
                      <w:kern w:val="0"/>
                      <w:lang w:bidi="ar"/>
                    </w:rPr>
                    <w:t>月</w:t>
                  </w:r>
                </w:p>
              </w:tc>
              <w:tc>
                <w:tcPr>
                  <w:tcW w:w="3075" w:type="dxa"/>
                  <w:vAlign w:val="center"/>
                </w:tcPr>
                <w:p w14:paraId="232E0247">
                  <w:pPr>
                    <w:pStyle w:val="65"/>
                    <w:rPr>
                      <w:color w:val="auto"/>
                    </w:rPr>
                  </w:pPr>
                  <w:r>
                    <w:rPr>
                      <w:rFonts w:hint="eastAsia"/>
                      <w:color w:val="auto"/>
                    </w:rPr>
                    <w:t>6</w:t>
                  </w:r>
                </w:p>
              </w:tc>
              <w:tc>
                <w:tcPr>
                  <w:tcW w:w="798" w:type="dxa"/>
                  <w:vAlign w:val="center"/>
                </w:tcPr>
                <w:p w14:paraId="371A20C8">
                  <w:pPr>
                    <w:pStyle w:val="65"/>
                    <w:rPr>
                      <w:color w:val="auto"/>
                    </w:rPr>
                  </w:pPr>
                  <w:r>
                    <w:rPr>
                      <w:color w:val="auto"/>
                    </w:rPr>
                    <w:t>/</w:t>
                  </w:r>
                </w:p>
              </w:tc>
            </w:tr>
          </w:tbl>
          <w:p w14:paraId="7FDCB01D">
            <w:pPr>
              <w:pStyle w:val="5"/>
              <w:rPr>
                <w:color w:val="auto"/>
              </w:rPr>
            </w:pPr>
            <w:r>
              <w:rPr>
                <w:color w:val="auto"/>
              </w:rPr>
              <w:t>光伏阵列区</w:t>
            </w:r>
          </w:p>
          <w:p w14:paraId="505D42AB">
            <w:pPr>
              <w:ind w:firstLine="482"/>
              <w:rPr>
                <w:b/>
                <w:bCs/>
                <w:color w:val="auto"/>
                <w:szCs w:val="24"/>
              </w:rPr>
            </w:pPr>
            <w:r>
              <w:rPr>
                <w:b/>
                <w:bCs/>
                <w:color w:val="auto"/>
                <w:szCs w:val="24"/>
              </w:rPr>
              <w:t>（</w:t>
            </w:r>
            <w:r>
              <w:rPr>
                <w:rFonts w:hint="eastAsia"/>
                <w:b/>
                <w:bCs/>
                <w:color w:val="auto"/>
                <w:szCs w:val="24"/>
              </w:rPr>
              <w:t>1</w:t>
            </w:r>
            <w:r>
              <w:rPr>
                <w:b/>
                <w:bCs/>
                <w:color w:val="auto"/>
                <w:szCs w:val="24"/>
              </w:rPr>
              <w:t>）光伏组件选择</w:t>
            </w:r>
          </w:p>
          <w:p w14:paraId="24D376F6">
            <w:pPr>
              <w:ind w:firstLine="480"/>
              <w:rPr>
                <w:color w:val="auto"/>
                <w:szCs w:val="21"/>
              </w:rPr>
            </w:pPr>
            <w:r>
              <w:rPr>
                <w:color w:val="auto"/>
                <w:szCs w:val="21"/>
              </w:rPr>
              <w:t>本项目采用峰值功率</w:t>
            </w:r>
            <w:r>
              <w:rPr>
                <w:rFonts w:hint="eastAsia"/>
                <w:color w:val="auto"/>
                <w:szCs w:val="21"/>
              </w:rPr>
              <w:t>71</w:t>
            </w:r>
            <w:r>
              <w:rPr>
                <w:color w:val="auto"/>
                <w:szCs w:val="21"/>
              </w:rPr>
              <w:t>0W</w:t>
            </w:r>
            <w:r>
              <w:rPr>
                <w:rFonts w:hint="eastAsia"/>
                <w:color w:val="auto"/>
                <w:szCs w:val="21"/>
              </w:rPr>
              <w:t>异质结</w:t>
            </w:r>
            <w:r>
              <w:rPr>
                <w:color w:val="auto"/>
                <w:szCs w:val="21"/>
              </w:rPr>
              <w:t>电池组件，其典型参数见</w:t>
            </w:r>
            <w:r>
              <w:rPr>
                <w:rFonts w:hint="eastAsia"/>
                <w:color w:val="auto"/>
                <w:szCs w:val="21"/>
              </w:rPr>
              <w:t>下</w:t>
            </w:r>
            <w:r>
              <w:rPr>
                <w:color w:val="auto"/>
                <w:szCs w:val="21"/>
              </w:rPr>
              <w:t>表。</w:t>
            </w:r>
          </w:p>
          <w:p w14:paraId="5F8770DD">
            <w:pPr>
              <w:adjustRightInd w:val="0"/>
              <w:snapToGrid w:val="0"/>
              <w:ind w:firstLine="482"/>
              <w:jc w:val="center"/>
              <w:rPr>
                <w:b/>
                <w:bCs/>
                <w:color w:val="auto"/>
                <w:kern w:val="0"/>
                <w:szCs w:val="21"/>
              </w:rPr>
            </w:pPr>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2.6</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3</w:t>
            </w:r>
            <w:r>
              <w:rPr>
                <w:b/>
                <w:bCs/>
                <w:color w:val="auto"/>
                <w:szCs w:val="24"/>
              </w:rPr>
              <w:fldChar w:fldCharType="end"/>
            </w:r>
            <w:r>
              <w:rPr>
                <w:b/>
                <w:bCs/>
                <w:color w:val="auto"/>
                <w:szCs w:val="24"/>
              </w:rPr>
              <w:t xml:space="preserve">  </w:t>
            </w:r>
            <w:r>
              <w:rPr>
                <w:rFonts w:hint="eastAsia"/>
                <w:b/>
                <w:bCs/>
                <w:color w:val="auto"/>
                <w:kern w:val="0"/>
                <w:szCs w:val="21"/>
              </w:rPr>
              <w:t>71</w:t>
            </w:r>
            <w:r>
              <w:rPr>
                <w:b/>
                <w:bCs/>
                <w:color w:val="auto"/>
                <w:kern w:val="0"/>
                <w:szCs w:val="21"/>
              </w:rPr>
              <w:t>0Wp</w:t>
            </w:r>
            <w:r>
              <w:rPr>
                <w:rFonts w:hint="eastAsia"/>
                <w:b/>
                <w:bCs/>
                <w:color w:val="auto"/>
                <w:kern w:val="0"/>
                <w:szCs w:val="21"/>
              </w:rPr>
              <w:t>异质结</w:t>
            </w:r>
            <w:r>
              <w:rPr>
                <w:b/>
                <w:bCs/>
                <w:color w:val="auto"/>
                <w:kern w:val="0"/>
                <w:szCs w:val="21"/>
              </w:rPr>
              <w:t>电池组件主要性能参数表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7"/>
              <w:gridCol w:w="2083"/>
              <w:gridCol w:w="2500"/>
            </w:tblGrid>
            <w:tr w14:paraId="5575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6A01C2A6">
                  <w:pPr>
                    <w:pStyle w:val="201"/>
                    <w:textAlignment w:val="center"/>
                    <w:rPr>
                      <w:b/>
                      <w:bCs/>
                      <w:color w:val="auto"/>
                      <w:sz w:val="21"/>
                      <w:szCs w:val="21"/>
                    </w:rPr>
                  </w:pPr>
                  <w:r>
                    <w:rPr>
                      <w:b/>
                      <w:bCs/>
                      <w:color w:val="auto"/>
                      <w:sz w:val="21"/>
                      <w:szCs w:val="21"/>
                    </w:rPr>
                    <w:t>项目</w:t>
                  </w:r>
                </w:p>
              </w:tc>
              <w:tc>
                <w:tcPr>
                  <w:tcW w:w="1320" w:type="pct"/>
                  <w:vAlign w:val="center"/>
                </w:tcPr>
                <w:p w14:paraId="60953784">
                  <w:pPr>
                    <w:pStyle w:val="201"/>
                    <w:textAlignment w:val="center"/>
                    <w:rPr>
                      <w:b/>
                      <w:bCs/>
                      <w:color w:val="auto"/>
                      <w:sz w:val="21"/>
                      <w:szCs w:val="21"/>
                    </w:rPr>
                  </w:pPr>
                  <w:r>
                    <w:rPr>
                      <w:b/>
                      <w:bCs/>
                      <w:color w:val="auto"/>
                      <w:sz w:val="21"/>
                      <w:szCs w:val="21"/>
                    </w:rPr>
                    <w:t>单位</w:t>
                  </w:r>
                </w:p>
              </w:tc>
              <w:tc>
                <w:tcPr>
                  <w:tcW w:w="1585" w:type="pct"/>
                  <w:vAlign w:val="center"/>
                </w:tcPr>
                <w:p w14:paraId="577F9B4B">
                  <w:pPr>
                    <w:pStyle w:val="201"/>
                    <w:textAlignment w:val="center"/>
                    <w:rPr>
                      <w:b/>
                      <w:bCs/>
                      <w:color w:val="auto"/>
                      <w:sz w:val="21"/>
                      <w:szCs w:val="21"/>
                    </w:rPr>
                  </w:pPr>
                  <w:r>
                    <w:rPr>
                      <w:b/>
                      <w:bCs/>
                      <w:color w:val="auto"/>
                      <w:sz w:val="21"/>
                      <w:szCs w:val="21"/>
                    </w:rPr>
                    <w:t>参数</w:t>
                  </w:r>
                </w:p>
              </w:tc>
            </w:tr>
            <w:tr w14:paraId="0AA1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14BD4173">
                  <w:pPr>
                    <w:pStyle w:val="201"/>
                    <w:textAlignment w:val="center"/>
                    <w:rPr>
                      <w:color w:val="auto"/>
                      <w:sz w:val="21"/>
                      <w:szCs w:val="21"/>
                    </w:rPr>
                  </w:pPr>
                  <w:r>
                    <w:rPr>
                      <w:rFonts w:hint="eastAsia"/>
                      <w:color w:val="auto"/>
                      <w:sz w:val="21"/>
                      <w:szCs w:val="21"/>
                    </w:rPr>
                    <w:t>峰值功率</w:t>
                  </w:r>
                </w:p>
              </w:tc>
              <w:tc>
                <w:tcPr>
                  <w:tcW w:w="1320" w:type="pct"/>
                  <w:vAlign w:val="center"/>
                </w:tcPr>
                <w:p w14:paraId="3B849F83">
                  <w:pPr>
                    <w:pStyle w:val="201"/>
                    <w:textAlignment w:val="center"/>
                    <w:rPr>
                      <w:color w:val="auto"/>
                      <w:sz w:val="21"/>
                      <w:szCs w:val="21"/>
                    </w:rPr>
                  </w:pPr>
                  <w:r>
                    <w:rPr>
                      <w:rFonts w:hint="eastAsia"/>
                      <w:color w:val="auto"/>
                      <w:sz w:val="21"/>
                      <w:szCs w:val="21"/>
                    </w:rPr>
                    <w:t>Wp</w:t>
                  </w:r>
                </w:p>
              </w:tc>
              <w:tc>
                <w:tcPr>
                  <w:tcW w:w="1585" w:type="pct"/>
                  <w:vAlign w:val="center"/>
                </w:tcPr>
                <w:p w14:paraId="69E82A0C">
                  <w:pPr>
                    <w:pStyle w:val="201"/>
                    <w:textAlignment w:val="center"/>
                    <w:rPr>
                      <w:color w:val="auto"/>
                      <w:sz w:val="21"/>
                      <w:szCs w:val="21"/>
                    </w:rPr>
                  </w:pPr>
                  <w:r>
                    <w:rPr>
                      <w:rFonts w:hint="eastAsia"/>
                      <w:color w:val="auto"/>
                      <w:sz w:val="21"/>
                      <w:szCs w:val="21"/>
                    </w:rPr>
                    <w:t>710</w:t>
                  </w:r>
                </w:p>
              </w:tc>
            </w:tr>
            <w:tr w14:paraId="6753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028644FC">
                  <w:pPr>
                    <w:pStyle w:val="201"/>
                    <w:textAlignment w:val="center"/>
                    <w:rPr>
                      <w:color w:val="auto"/>
                      <w:sz w:val="21"/>
                      <w:szCs w:val="21"/>
                    </w:rPr>
                  </w:pPr>
                  <w:r>
                    <w:rPr>
                      <w:rFonts w:hint="eastAsia"/>
                      <w:color w:val="auto"/>
                      <w:sz w:val="21"/>
                      <w:szCs w:val="21"/>
                    </w:rPr>
                    <w:t>组件尺寸</w:t>
                  </w:r>
                </w:p>
              </w:tc>
              <w:tc>
                <w:tcPr>
                  <w:tcW w:w="1320" w:type="pct"/>
                  <w:vAlign w:val="center"/>
                </w:tcPr>
                <w:p w14:paraId="74112C98">
                  <w:pPr>
                    <w:pStyle w:val="201"/>
                    <w:textAlignment w:val="center"/>
                    <w:rPr>
                      <w:color w:val="auto"/>
                      <w:sz w:val="21"/>
                      <w:szCs w:val="21"/>
                    </w:rPr>
                  </w:pPr>
                  <w:r>
                    <w:rPr>
                      <w:color w:val="auto"/>
                      <w:sz w:val="21"/>
                      <w:szCs w:val="21"/>
                    </w:rPr>
                    <w:t>mm</w:t>
                  </w:r>
                </w:p>
              </w:tc>
              <w:tc>
                <w:tcPr>
                  <w:tcW w:w="1585" w:type="pct"/>
                  <w:vAlign w:val="center"/>
                </w:tcPr>
                <w:p w14:paraId="51E8B423">
                  <w:pPr>
                    <w:pStyle w:val="201"/>
                    <w:textAlignment w:val="center"/>
                    <w:rPr>
                      <w:color w:val="auto"/>
                      <w:sz w:val="21"/>
                      <w:szCs w:val="21"/>
                    </w:rPr>
                  </w:pPr>
                  <w:r>
                    <w:rPr>
                      <w:color w:val="auto"/>
                      <w:sz w:val="21"/>
                      <w:szCs w:val="21"/>
                    </w:rPr>
                    <w:t>2384×1303×33</w:t>
                  </w:r>
                </w:p>
              </w:tc>
            </w:tr>
            <w:tr w14:paraId="2229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0AC6CF47">
                  <w:pPr>
                    <w:pStyle w:val="201"/>
                    <w:textAlignment w:val="center"/>
                    <w:rPr>
                      <w:color w:val="auto"/>
                      <w:sz w:val="21"/>
                      <w:szCs w:val="21"/>
                    </w:rPr>
                  </w:pPr>
                  <w:r>
                    <w:rPr>
                      <w:rFonts w:hint="eastAsia"/>
                      <w:color w:val="auto"/>
                      <w:sz w:val="21"/>
                      <w:szCs w:val="21"/>
                    </w:rPr>
                    <w:t>开路电压</w:t>
                  </w:r>
                </w:p>
              </w:tc>
              <w:tc>
                <w:tcPr>
                  <w:tcW w:w="1320" w:type="pct"/>
                  <w:vAlign w:val="center"/>
                </w:tcPr>
                <w:p w14:paraId="080A7FC8">
                  <w:pPr>
                    <w:pStyle w:val="201"/>
                    <w:textAlignment w:val="center"/>
                    <w:rPr>
                      <w:color w:val="auto"/>
                      <w:sz w:val="21"/>
                      <w:szCs w:val="21"/>
                    </w:rPr>
                  </w:pPr>
                  <w:r>
                    <w:rPr>
                      <w:rFonts w:hint="eastAsia"/>
                      <w:color w:val="auto"/>
                      <w:sz w:val="21"/>
                      <w:szCs w:val="21"/>
                    </w:rPr>
                    <w:t>V</w:t>
                  </w:r>
                </w:p>
              </w:tc>
              <w:tc>
                <w:tcPr>
                  <w:tcW w:w="1585" w:type="pct"/>
                  <w:vAlign w:val="center"/>
                </w:tcPr>
                <w:p w14:paraId="15D4DCD9">
                  <w:pPr>
                    <w:pStyle w:val="201"/>
                    <w:textAlignment w:val="center"/>
                    <w:rPr>
                      <w:color w:val="auto"/>
                      <w:sz w:val="21"/>
                      <w:szCs w:val="21"/>
                    </w:rPr>
                  </w:pPr>
                  <w:r>
                    <w:rPr>
                      <w:color w:val="auto"/>
                      <w:sz w:val="21"/>
                      <w:szCs w:val="21"/>
                    </w:rPr>
                    <w:t>50.01</w:t>
                  </w:r>
                </w:p>
              </w:tc>
            </w:tr>
            <w:tr w14:paraId="07B2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1F8AFA90">
                  <w:pPr>
                    <w:pStyle w:val="201"/>
                    <w:textAlignment w:val="center"/>
                    <w:rPr>
                      <w:color w:val="auto"/>
                      <w:sz w:val="21"/>
                      <w:szCs w:val="21"/>
                    </w:rPr>
                  </w:pPr>
                  <w:r>
                    <w:rPr>
                      <w:rFonts w:hint="eastAsia"/>
                      <w:color w:val="auto"/>
                      <w:sz w:val="21"/>
                      <w:szCs w:val="21"/>
                    </w:rPr>
                    <w:t>短路电流</w:t>
                  </w:r>
                </w:p>
              </w:tc>
              <w:tc>
                <w:tcPr>
                  <w:tcW w:w="1320" w:type="pct"/>
                  <w:vAlign w:val="center"/>
                </w:tcPr>
                <w:p w14:paraId="31BB2C5F">
                  <w:pPr>
                    <w:pStyle w:val="201"/>
                    <w:textAlignment w:val="center"/>
                    <w:rPr>
                      <w:color w:val="auto"/>
                      <w:sz w:val="21"/>
                      <w:szCs w:val="21"/>
                    </w:rPr>
                  </w:pPr>
                  <w:r>
                    <w:rPr>
                      <w:rFonts w:hint="eastAsia"/>
                      <w:color w:val="auto"/>
                      <w:sz w:val="21"/>
                      <w:szCs w:val="21"/>
                    </w:rPr>
                    <w:t>A</w:t>
                  </w:r>
                </w:p>
              </w:tc>
              <w:tc>
                <w:tcPr>
                  <w:tcW w:w="1585" w:type="pct"/>
                  <w:vAlign w:val="center"/>
                </w:tcPr>
                <w:p w14:paraId="74A20BFB">
                  <w:pPr>
                    <w:pStyle w:val="201"/>
                    <w:textAlignment w:val="center"/>
                    <w:rPr>
                      <w:color w:val="auto"/>
                      <w:sz w:val="21"/>
                      <w:szCs w:val="21"/>
                    </w:rPr>
                  </w:pPr>
                  <w:r>
                    <w:rPr>
                      <w:color w:val="auto"/>
                      <w:sz w:val="21"/>
                      <w:szCs w:val="21"/>
                    </w:rPr>
                    <w:t>18</w:t>
                  </w:r>
                </w:p>
              </w:tc>
            </w:tr>
            <w:tr w14:paraId="2965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66663EE8">
                  <w:pPr>
                    <w:pStyle w:val="201"/>
                    <w:textAlignment w:val="center"/>
                    <w:rPr>
                      <w:color w:val="auto"/>
                      <w:sz w:val="21"/>
                      <w:szCs w:val="21"/>
                    </w:rPr>
                  </w:pPr>
                  <w:r>
                    <w:rPr>
                      <w:rFonts w:hint="eastAsia"/>
                      <w:color w:val="auto"/>
                      <w:sz w:val="21"/>
                      <w:szCs w:val="21"/>
                    </w:rPr>
                    <w:t>光伏组件的工作电压</w:t>
                  </w:r>
                </w:p>
              </w:tc>
              <w:tc>
                <w:tcPr>
                  <w:tcW w:w="1320" w:type="pct"/>
                  <w:vAlign w:val="center"/>
                </w:tcPr>
                <w:p w14:paraId="7B8825FD">
                  <w:pPr>
                    <w:pStyle w:val="201"/>
                    <w:textAlignment w:val="center"/>
                    <w:rPr>
                      <w:color w:val="auto"/>
                      <w:sz w:val="21"/>
                      <w:szCs w:val="21"/>
                    </w:rPr>
                  </w:pPr>
                  <w:r>
                    <w:rPr>
                      <w:rFonts w:hint="eastAsia"/>
                      <w:color w:val="auto"/>
                      <w:sz w:val="21"/>
                      <w:szCs w:val="21"/>
                    </w:rPr>
                    <w:t>V</w:t>
                  </w:r>
                </w:p>
              </w:tc>
              <w:tc>
                <w:tcPr>
                  <w:tcW w:w="1585" w:type="pct"/>
                  <w:vAlign w:val="center"/>
                </w:tcPr>
                <w:p w14:paraId="312667B4">
                  <w:pPr>
                    <w:pStyle w:val="201"/>
                    <w:textAlignment w:val="center"/>
                    <w:rPr>
                      <w:color w:val="auto"/>
                      <w:sz w:val="21"/>
                      <w:szCs w:val="21"/>
                    </w:rPr>
                  </w:pPr>
                  <w:r>
                    <w:rPr>
                      <w:color w:val="auto"/>
                      <w:sz w:val="21"/>
                      <w:szCs w:val="21"/>
                    </w:rPr>
                    <w:t>41.93</w:t>
                  </w:r>
                </w:p>
              </w:tc>
            </w:tr>
            <w:tr w14:paraId="5D3A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2811DD26">
                  <w:pPr>
                    <w:pStyle w:val="201"/>
                    <w:textAlignment w:val="center"/>
                    <w:rPr>
                      <w:color w:val="auto"/>
                      <w:sz w:val="21"/>
                      <w:szCs w:val="21"/>
                    </w:rPr>
                  </w:pPr>
                  <w:r>
                    <w:rPr>
                      <w:rFonts w:hint="eastAsia"/>
                      <w:color w:val="auto"/>
                      <w:sz w:val="21"/>
                      <w:szCs w:val="21"/>
                    </w:rPr>
                    <w:t>光伏组件的工作电流</w:t>
                  </w:r>
                </w:p>
              </w:tc>
              <w:tc>
                <w:tcPr>
                  <w:tcW w:w="1320" w:type="pct"/>
                  <w:vAlign w:val="center"/>
                </w:tcPr>
                <w:p w14:paraId="505DB71F">
                  <w:pPr>
                    <w:pStyle w:val="201"/>
                    <w:textAlignment w:val="center"/>
                    <w:rPr>
                      <w:color w:val="auto"/>
                      <w:kern w:val="0"/>
                      <w:sz w:val="21"/>
                      <w:szCs w:val="21"/>
                      <w:lang w:bidi="ar"/>
                    </w:rPr>
                  </w:pPr>
                  <w:r>
                    <w:rPr>
                      <w:rFonts w:hint="eastAsia"/>
                      <w:color w:val="auto"/>
                      <w:sz w:val="21"/>
                      <w:szCs w:val="21"/>
                    </w:rPr>
                    <w:t>A</w:t>
                  </w:r>
                </w:p>
              </w:tc>
              <w:tc>
                <w:tcPr>
                  <w:tcW w:w="1585" w:type="pct"/>
                  <w:vAlign w:val="center"/>
                </w:tcPr>
                <w:p w14:paraId="36470292">
                  <w:pPr>
                    <w:pStyle w:val="201"/>
                    <w:textAlignment w:val="center"/>
                    <w:rPr>
                      <w:color w:val="auto"/>
                      <w:kern w:val="0"/>
                      <w:sz w:val="21"/>
                      <w:szCs w:val="21"/>
                      <w:lang w:bidi="ar"/>
                    </w:rPr>
                  </w:pPr>
                  <w:r>
                    <w:rPr>
                      <w:color w:val="auto"/>
                      <w:kern w:val="0"/>
                      <w:sz w:val="21"/>
                      <w:szCs w:val="21"/>
                      <w:lang w:bidi="ar"/>
                    </w:rPr>
                    <w:t>16.95</w:t>
                  </w:r>
                </w:p>
              </w:tc>
            </w:tr>
            <w:tr w14:paraId="498C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22AEDAEF">
                  <w:pPr>
                    <w:pStyle w:val="201"/>
                    <w:textAlignment w:val="center"/>
                    <w:rPr>
                      <w:color w:val="auto"/>
                      <w:sz w:val="21"/>
                      <w:szCs w:val="21"/>
                    </w:rPr>
                  </w:pPr>
                  <w:r>
                    <w:rPr>
                      <w:rFonts w:hint="eastAsia"/>
                      <w:color w:val="auto"/>
                      <w:sz w:val="21"/>
                      <w:szCs w:val="21"/>
                    </w:rPr>
                    <w:t>光伏组件的开路电压温度系数</w:t>
                  </w:r>
                </w:p>
              </w:tc>
              <w:tc>
                <w:tcPr>
                  <w:tcW w:w="1320" w:type="pct"/>
                  <w:vAlign w:val="center"/>
                </w:tcPr>
                <w:p w14:paraId="2911D506">
                  <w:pPr>
                    <w:pStyle w:val="201"/>
                    <w:textAlignment w:val="center"/>
                    <w:rPr>
                      <w:color w:val="auto"/>
                      <w:sz w:val="21"/>
                      <w:szCs w:val="21"/>
                    </w:rPr>
                  </w:pPr>
                  <w:r>
                    <w:rPr>
                      <w:rFonts w:hint="eastAsia"/>
                      <w:color w:val="auto"/>
                      <w:sz w:val="21"/>
                      <w:szCs w:val="21"/>
                    </w:rPr>
                    <w:t>%/℃</w:t>
                  </w:r>
                </w:p>
              </w:tc>
              <w:tc>
                <w:tcPr>
                  <w:tcW w:w="1585" w:type="pct"/>
                  <w:vAlign w:val="center"/>
                </w:tcPr>
                <w:p w14:paraId="2C26049F">
                  <w:pPr>
                    <w:pStyle w:val="201"/>
                    <w:textAlignment w:val="center"/>
                    <w:rPr>
                      <w:color w:val="auto"/>
                      <w:kern w:val="0"/>
                      <w:sz w:val="21"/>
                      <w:szCs w:val="21"/>
                      <w:lang w:bidi="ar"/>
                    </w:rPr>
                  </w:pPr>
                  <w:r>
                    <w:rPr>
                      <w:color w:val="auto"/>
                      <w:kern w:val="0"/>
                      <w:sz w:val="21"/>
                      <w:szCs w:val="21"/>
                      <w:lang w:bidi="ar"/>
                    </w:rPr>
                    <w:t>-0.22</w:t>
                  </w:r>
                </w:p>
              </w:tc>
            </w:tr>
            <w:tr w14:paraId="43E9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1FA1663E">
                  <w:pPr>
                    <w:pStyle w:val="201"/>
                    <w:textAlignment w:val="center"/>
                    <w:rPr>
                      <w:color w:val="auto"/>
                      <w:sz w:val="21"/>
                      <w:szCs w:val="21"/>
                    </w:rPr>
                  </w:pPr>
                  <w:r>
                    <w:rPr>
                      <w:rFonts w:hint="eastAsia"/>
                      <w:color w:val="auto"/>
                      <w:sz w:val="21"/>
                      <w:szCs w:val="21"/>
                    </w:rPr>
                    <w:t>光伏组件的工作电压温度系数</w:t>
                  </w:r>
                </w:p>
              </w:tc>
              <w:tc>
                <w:tcPr>
                  <w:tcW w:w="1320" w:type="pct"/>
                  <w:vAlign w:val="center"/>
                </w:tcPr>
                <w:p w14:paraId="0DDC0BDA">
                  <w:pPr>
                    <w:pStyle w:val="201"/>
                    <w:textAlignment w:val="center"/>
                    <w:rPr>
                      <w:color w:val="auto"/>
                      <w:sz w:val="21"/>
                      <w:szCs w:val="21"/>
                    </w:rPr>
                  </w:pPr>
                  <w:r>
                    <w:rPr>
                      <w:rFonts w:hint="eastAsia"/>
                      <w:color w:val="auto"/>
                      <w:sz w:val="21"/>
                      <w:szCs w:val="21"/>
                    </w:rPr>
                    <w:t>%/℃</w:t>
                  </w:r>
                </w:p>
              </w:tc>
              <w:tc>
                <w:tcPr>
                  <w:tcW w:w="1585" w:type="pct"/>
                  <w:vAlign w:val="center"/>
                </w:tcPr>
                <w:p w14:paraId="4DBF6DEE">
                  <w:pPr>
                    <w:pStyle w:val="201"/>
                    <w:textAlignment w:val="center"/>
                    <w:rPr>
                      <w:color w:val="auto"/>
                      <w:kern w:val="0"/>
                      <w:sz w:val="21"/>
                      <w:szCs w:val="21"/>
                      <w:lang w:bidi="ar"/>
                    </w:rPr>
                  </w:pPr>
                  <w:r>
                    <w:rPr>
                      <w:color w:val="auto"/>
                      <w:kern w:val="0"/>
                      <w:sz w:val="21"/>
                      <w:szCs w:val="21"/>
                      <w:lang w:bidi="ar"/>
                    </w:rPr>
                    <w:t>-0.24</w:t>
                  </w:r>
                </w:p>
              </w:tc>
            </w:tr>
            <w:tr w14:paraId="15E6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6240D731">
                  <w:pPr>
                    <w:pStyle w:val="201"/>
                    <w:textAlignment w:val="center"/>
                    <w:rPr>
                      <w:color w:val="auto"/>
                      <w:sz w:val="21"/>
                      <w:szCs w:val="21"/>
                    </w:rPr>
                  </w:pPr>
                  <w:r>
                    <w:rPr>
                      <w:rFonts w:hint="eastAsia"/>
                      <w:color w:val="auto"/>
                      <w:sz w:val="21"/>
                      <w:szCs w:val="21"/>
                    </w:rPr>
                    <w:t>光伏组件工作条件下的极限低温</w:t>
                  </w:r>
                </w:p>
              </w:tc>
              <w:tc>
                <w:tcPr>
                  <w:tcW w:w="1320" w:type="pct"/>
                  <w:vAlign w:val="center"/>
                </w:tcPr>
                <w:p w14:paraId="6C8C6BF5">
                  <w:pPr>
                    <w:pStyle w:val="201"/>
                    <w:textAlignment w:val="center"/>
                    <w:rPr>
                      <w:color w:val="auto"/>
                      <w:kern w:val="0"/>
                      <w:sz w:val="21"/>
                      <w:szCs w:val="21"/>
                      <w:lang w:bidi="ar"/>
                    </w:rPr>
                  </w:pPr>
                  <w:r>
                    <w:rPr>
                      <w:rFonts w:hint="eastAsia"/>
                      <w:color w:val="auto"/>
                      <w:sz w:val="21"/>
                      <w:szCs w:val="21"/>
                    </w:rPr>
                    <w:t>℃</w:t>
                  </w:r>
                </w:p>
              </w:tc>
              <w:tc>
                <w:tcPr>
                  <w:tcW w:w="1585" w:type="pct"/>
                  <w:vAlign w:val="center"/>
                </w:tcPr>
                <w:p w14:paraId="62168B31">
                  <w:pPr>
                    <w:pStyle w:val="201"/>
                    <w:textAlignment w:val="center"/>
                    <w:rPr>
                      <w:color w:val="auto"/>
                      <w:kern w:val="0"/>
                      <w:sz w:val="21"/>
                      <w:szCs w:val="21"/>
                      <w:lang w:bidi="ar"/>
                    </w:rPr>
                  </w:pPr>
                  <w:r>
                    <w:rPr>
                      <w:color w:val="auto"/>
                      <w:kern w:val="0"/>
                      <w:sz w:val="21"/>
                      <w:szCs w:val="21"/>
                      <w:lang w:bidi="ar"/>
                    </w:rPr>
                    <w:t>-40</w:t>
                  </w:r>
                </w:p>
              </w:tc>
            </w:tr>
            <w:tr w14:paraId="3CE1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4E91CF8F">
                  <w:pPr>
                    <w:pStyle w:val="201"/>
                    <w:textAlignment w:val="center"/>
                    <w:rPr>
                      <w:color w:val="auto"/>
                      <w:sz w:val="21"/>
                      <w:szCs w:val="21"/>
                    </w:rPr>
                  </w:pPr>
                  <w:r>
                    <w:rPr>
                      <w:rFonts w:hint="eastAsia"/>
                      <w:color w:val="auto"/>
                      <w:sz w:val="21"/>
                      <w:szCs w:val="21"/>
                    </w:rPr>
                    <w:t>光伏组件工作条件下的极限高温</w:t>
                  </w:r>
                </w:p>
              </w:tc>
              <w:tc>
                <w:tcPr>
                  <w:tcW w:w="1320" w:type="pct"/>
                  <w:vAlign w:val="center"/>
                </w:tcPr>
                <w:p w14:paraId="4AD484D4">
                  <w:pPr>
                    <w:pStyle w:val="201"/>
                    <w:textAlignment w:val="center"/>
                    <w:rPr>
                      <w:color w:val="auto"/>
                      <w:kern w:val="0"/>
                      <w:sz w:val="21"/>
                      <w:szCs w:val="21"/>
                      <w:lang w:bidi="ar"/>
                    </w:rPr>
                  </w:pPr>
                  <w:r>
                    <w:rPr>
                      <w:rFonts w:hint="eastAsia"/>
                      <w:color w:val="auto"/>
                      <w:sz w:val="21"/>
                      <w:szCs w:val="21"/>
                    </w:rPr>
                    <w:t>℃</w:t>
                  </w:r>
                </w:p>
              </w:tc>
              <w:tc>
                <w:tcPr>
                  <w:tcW w:w="1585" w:type="pct"/>
                  <w:vAlign w:val="center"/>
                </w:tcPr>
                <w:p w14:paraId="55F897B9">
                  <w:pPr>
                    <w:pStyle w:val="201"/>
                    <w:textAlignment w:val="center"/>
                    <w:rPr>
                      <w:color w:val="auto"/>
                      <w:kern w:val="0"/>
                      <w:sz w:val="21"/>
                      <w:szCs w:val="21"/>
                      <w:lang w:bidi="ar"/>
                    </w:rPr>
                  </w:pPr>
                  <w:r>
                    <w:rPr>
                      <w:color w:val="auto"/>
                      <w:kern w:val="0"/>
                      <w:sz w:val="21"/>
                      <w:szCs w:val="21"/>
                      <w:lang w:bidi="ar"/>
                    </w:rPr>
                    <w:t>85</w:t>
                  </w:r>
                </w:p>
              </w:tc>
            </w:tr>
            <w:tr w14:paraId="4E25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32B16CB8">
                  <w:pPr>
                    <w:pStyle w:val="201"/>
                    <w:textAlignment w:val="center"/>
                    <w:rPr>
                      <w:color w:val="auto"/>
                      <w:sz w:val="21"/>
                      <w:szCs w:val="21"/>
                    </w:rPr>
                  </w:pPr>
                  <w:r>
                    <w:rPr>
                      <w:rFonts w:hint="eastAsia"/>
                      <w:color w:val="auto"/>
                      <w:sz w:val="21"/>
                      <w:szCs w:val="21"/>
                    </w:rPr>
                    <w:t>组件重量</w:t>
                  </w:r>
                </w:p>
              </w:tc>
              <w:tc>
                <w:tcPr>
                  <w:tcW w:w="1320" w:type="pct"/>
                  <w:vAlign w:val="center"/>
                </w:tcPr>
                <w:p w14:paraId="5BA48F0E">
                  <w:pPr>
                    <w:pStyle w:val="201"/>
                    <w:textAlignment w:val="center"/>
                    <w:rPr>
                      <w:color w:val="auto"/>
                      <w:kern w:val="0"/>
                      <w:sz w:val="21"/>
                      <w:szCs w:val="21"/>
                      <w:lang w:bidi="ar"/>
                    </w:rPr>
                  </w:pPr>
                  <w:r>
                    <w:rPr>
                      <w:rFonts w:hint="eastAsia"/>
                      <w:color w:val="auto"/>
                      <w:sz w:val="21"/>
                      <w:szCs w:val="21"/>
                    </w:rPr>
                    <w:t>kg</w:t>
                  </w:r>
                </w:p>
              </w:tc>
              <w:tc>
                <w:tcPr>
                  <w:tcW w:w="1585" w:type="pct"/>
                  <w:vAlign w:val="center"/>
                </w:tcPr>
                <w:p w14:paraId="5310FF7A">
                  <w:pPr>
                    <w:pStyle w:val="201"/>
                    <w:textAlignment w:val="center"/>
                    <w:rPr>
                      <w:color w:val="auto"/>
                      <w:kern w:val="0"/>
                      <w:sz w:val="21"/>
                      <w:szCs w:val="21"/>
                      <w:lang w:bidi="ar"/>
                    </w:rPr>
                  </w:pPr>
                  <w:r>
                    <w:rPr>
                      <w:rFonts w:hint="eastAsia"/>
                      <w:color w:val="auto"/>
                      <w:sz w:val="21"/>
                      <w:szCs w:val="21"/>
                    </w:rPr>
                    <w:t>37.5</w:t>
                  </w:r>
                </w:p>
              </w:tc>
            </w:tr>
            <w:tr w14:paraId="1127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187719AD">
                  <w:pPr>
                    <w:pStyle w:val="201"/>
                    <w:textAlignment w:val="center"/>
                    <w:rPr>
                      <w:color w:val="auto"/>
                      <w:sz w:val="21"/>
                      <w:szCs w:val="21"/>
                    </w:rPr>
                  </w:pPr>
                  <w:r>
                    <w:rPr>
                      <w:rFonts w:hint="eastAsia"/>
                      <w:color w:val="auto"/>
                      <w:sz w:val="21"/>
                      <w:szCs w:val="21"/>
                    </w:rPr>
                    <w:t>首年功率衰减率</w:t>
                  </w:r>
                </w:p>
              </w:tc>
              <w:tc>
                <w:tcPr>
                  <w:tcW w:w="1320" w:type="pct"/>
                  <w:vAlign w:val="center"/>
                </w:tcPr>
                <w:p w14:paraId="2C20B660">
                  <w:pPr>
                    <w:pStyle w:val="201"/>
                    <w:textAlignment w:val="center"/>
                    <w:rPr>
                      <w:color w:val="auto"/>
                      <w:kern w:val="0"/>
                      <w:sz w:val="21"/>
                      <w:szCs w:val="21"/>
                      <w:lang w:bidi="ar"/>
                    </w:rPr>
                  </w:pPr>
                  <w:r>
                    <w:rPr>
                      <w:rFonts w:hint="eastAsia"/>
                      <w:color w:val="auto"/>
                      <w:sz w:val="21"/>
                      <w:szCs w:val="21"/>
                    </w:rPr>
                    <w:t>%</w:t>
                  </w:r>
                </w:p>
              </w:tc>
              <w:tc>
                <w:tcPr>
                  <w:tcW w:w="1585" w:type="pct"/>
                  <w:vAlign w:val="center"/>
                </w:tcPr>
                <w:p w14:paraId="7E014103">
                  <w:pPr>
                    <w:pStyle w:val="201"/>
                    <w:textAlignment w:val="center"/>
                    <w:rPr>
                      <w:color w:val="auto"/>
                      <w:kern w:val="0"/>
                      <w:sz w:val="21"/>
                      <w:szCs w:val="21"/>
                      <w:lang w:bidi="ar"/>
                    </w:rPr>
                  </w:pPr>
                  <w:r>
                    <w:rPr>
                      <w:rFonts w:hint="eastAsia"/>
                      <w:color w:val="auto"/>
                      <w:sz w:val="21"/>
                      <w:szCs w:val="21"/>
                    </w:rPr>
                    <w:t>1</w:t>
                  </w:r>
                </w:p>
              </w:tc>
            </w:tr>
            <w:tr w14:paraId="24E5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96" w:type="pct"/>
                  <w:vAlign w:val="center"/>
                </w:tcPr>
                <w:p w14:paraId="460F0123">
                  <w:pPr>
                    <w:pStyle w:val="201"/>
                    <w:textAlignment w:val="center"/>
                    <w:rPr>
                      <w:color w:val="auto"/>
                      <w:sz w:val="21"/>
                      <w:szCs w:val="21"/>
                    </w:rPr>
                  </w:pPr>
                  <w:r>
                    <w:rPr>
                      <w:rFonts w:hint="eastAsia"/>
                      <w:color w:val="auto"/>
                      <w:sz w:val="21"/>
                      <w:szCs w:val="21"/>
                    </w:rPr>
                    <w:t>首年后后逐年衰减率</w:t>
                  </w:r>
                </w:p>
              </w:tc>
              <w:tc>
                <w:tcPr>
                  <w:tcW w:w="1320" w:type="pct"/>
                  <w:vAlign w:val="center"/>
                </w:tcPr>
                <w:p w14:paraId="48AB637F">
                  <w:pPr>
                    <w:pStyle w:val="201"/>
                    <w:textAlignment w:val="center"/>
                    <w:rPr>
                      <w:color w:val="auto"/>
                      <w:kern w:val="0"/>
                      <w:sz w:val="21"/>
                      <w:szCs w:val="21"/>
                      <w:lang w:bidi="ar"/>
                    </w:rPr>
                  </w:pPr>
                  <w:r>
                    <w:rPr>
                      <w:rFonts w:hint="eastAsia"/>
                      <w:color w:val="auto"/>
                      <w:sz w:val="21"/>
                      <w:szCs w:val="21"/>
                    </w:rPr>
                    <w:t>%</w:t>
                  </w:r>
                </w:p>
              </w:tc>
              <w:tc>
                <w:tcPr>
                  <w:tcW w:w="1585" w:type="pct"/>
                  <w:vAlign w:val="center"/>
                </w:tcPr>
                <w:p w14:paraId="7214D96C">
                  <w:pPr>
                    <w:pStyle w:val="201"/>
                    <w:textAlignment w:val="center"/>
                    <w:rPr>
                      <w:color w:val="auto"/>
                      <w:kern w:val="0"/>
                      <w:sz w:val="21"/>
                      <w:szCs w:val="21"/>
                      <w:lang w:bidi="ar"/>
                    </w:rPr>
                  </w:pPr>
                  <w:r>
                    <w:rPr>
                      <w:rFonts w:hint="eastAsia"/>
                      <w:color w:val="auto"/>
                      <w:sz w:val="21"/>
                      <w:szCs w:val="21"/>
                    </w:rPr>
                    <w:t>0.3</w:t>
                  </w:r>
                </w:p>
              </w:tc>
            </w:tr>
          </w:tbl>
          <w:p w14:paraId="268FF682">
            <w:pPr>
              <w:ind w:firstLine="482"/>
              <w:rPr>
                <w:b/>
                <w:bCs/>
                <w:color w:val="auto"/>
                <w:szCs w:val="21"/>
              </w:rPr>
            </w:pPr>
            <w:r>
              <w:rPr>
                <w:b/>
                <w:bCs/>
                <w:color w:val="auto"/>
                <w:szCs w:val="21"/>
              </w:rPr>
              <w:t>（</w:t>
            </w:r>
            <w:r>
              <w:rPr>
                <w:rFonts w:hint="eastAsia"/>
                <w:b/>
                <w:bCs/>
                <w:color w:val="auto"/>
                <w:szCs w:val="21"/>
              </w:rPr>
              <w:t>2</w:t>
            </w:r>
            <w:r>
              <w:rPr>
                <w:b/>
                <w:bCs/>
                <w:color w:val="auto"/>
                <w:szCs w:val="21"/>
              </w:rPr>
              <w:t>）逆变器选择</w:t>
            </w:r>
          </w:p>
          <w:p w14:paraId="7BF0A9B2">
            <w:pPr>
              <w:ind w:firstLine="480"/>
              <w:rPr>
                <w:color w:val="auto"/>
                <w:szCs w:val="21"/>
              </w:rPr>
            </w:pPr>
            <w:r>
              <w:rPr>
                <w:color w:val="auto"/>
                <w:szCs w:val="21"/>
              </w:rPr>
              <w:t>本</w:t>
            </w:r>
            <w:r>
              <w:rPr>
                <w:rFonts w:hint="eastAsia"/>
                <w:color w:val="auto"/>
                <w:szCs w:val="21"/>
              </w:rPr>
              <w:t>项目</w:t>
            </w:r>
            <w:r>
              <w:rPr>
                <w:color w:val="auto"/>
                <w:szCs w:val="21"/>
              </w:rPr>
              <w:t>光伏电站采用功率为3</w:t>
            </w:r>
            <w:r>
              <w:rPr>
                <w:rFonts w:hint="eastAsia"/>
                <w:color w:val="auto"/>
                <w:szCs w:val="21"/>
              </w:rPr>
              <w:t>20</w:t>
            </w:r>
            <w:r>
              <w:rPr>
                <w:color w:val="auto"/>
                <w:szCs w:val="21"/>
              </w:rPr>
              <w:t>kW组串式逆变器，共设置</w:t>
            </w:r>
            <w:r>
              <w:rPr>
                <w:rFonts w:hint="eastAsia"/>
                <w:color w:val="auto"/>
                <w:szCs w:val="21"/>
              </w:rPr>
              <w:t>188</w:t>
            </w:r>
            <w:r>
              <w:rPr>
                <w:color w:val="auto"/>
                <w:szCs w:val="21"/>
              </w:rPr>
              <w:t>采用IP66防护等级，满足室外安装要求。逆变器主要参数见下表。</w:t>
            </w:r>
          </w:p>
          <w:p w14:paraId="5AAB1503">
            <w:pPr>
              <w:adjustRightInd w:val="0"/>
              <w:snapToGrid w:val="0"/>
              <w:ind w:firstLine="482"/>
              <w:jc w:val="center"/>
              <w:rPr>
                <w:b/>
                <w:bCs/>
                <w:color w:val="auto"/>
                <w:szCs w:val="21"/>
              </w:rPr>
            </w:pPr>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2.6</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4</w:t>
            </w:r>
            <w:r>
              <w:rPr>
                <w:b/>
                <w:bCs/>
                <w:color w:val="auto"/>
                <w:szCs w:val="24"/>
              </w:rPr>
              <w:fldChar w:fldCharType="end"/>
            </w:r>
            <w:r>
              <w:rPr>
                <w:b/>
                <w:bCs/>
                <w:color w:val="auto"/>
                <w:szCs w:val="24"/>
              </w:rPr>
              <w:t xml:space="preserve">  </w:t>
            </w:r>
            <w:r>
              <w:rPr>
                <w:b/>
                <w:bCs/>
                <w:color w:val="auto"/>
                <w:szCs w:val="21"/>
              </w:rPr>
              <w:t>3</w:t>
            </w:r>
            <w:r>
              <w:rPr>
                <w:rFonts w:hint="eastAsia"/>
                <w:b/>
                <w:bCs/>
                <w:color w:val="auto"/>
                <w:szCs w:val="21"/>
              </w:rPr>
              <w:t>20</w:t>
            </w:r>
            <w:r>
              <w:rPr>
                <w:b/>
                <w:bCs/>
                <w:color w:val="auto"/>
                <w:szCs w:val="21"/>
              </w:rPr>
              <w:t>kW组串式逆变器主要技术参数表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4"/>
              <w:gridCol w:w="4589"/>
            </w:tblGrid>
            <w:tr w14:paraId="5C3F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93" w:type="pct"/>
                  <w:vAlign w:val="center"/>
                </w:tcPr>
                <w:p w14:paraId="7051FDF6">
                  <w:pPr>
                    <w:widowControl/>
                    <w:spacing w:line="240" w:lineRule="auto"/>
                    <w:ind w:firstLine="0" w:firstLineChars="0"/>
                    <w:jc w:val="center"/>
                    <w:rPr>
                      <w:b/>
                      <w:bCs/>
                      <w:color w:val="auto"/>
                      <w:kern w:val="0"/>
                      <w:sz w:val="21"/>
                      <w:szCs w:val="21"/>
                    </w:rPr>
                  </w:pPr>
                  <w:r>
                    <w:rPr>
                      <w:b/>
                      <w:bCs/>
                      <w:color w:val="auto"/>
                      <w:kern w:val="0"/>
                      <w:sz w:val="21"/>
                      <w:szCs w:val="21"/>
                    </w:rPr>
                    <w:t>型号</w:t>
                  </w:r>
                </w:p>
              </w:tc>
              <w:tc>
                <w:tcPr>
                  <w:tcW w:w="2907" w:type="pct"/>
                  <w:vAlign w:val="center"/>
                </w:tcPr>
                <w:p w14:paraId="1488B976">
                  <w:pPr>
                    <w:widowControl/>
                    <w:spacing w:line="240" w:lineRule="auto"/>
                    <w:ind w:firstLine="0" w:firstLineChars="0"/>
                    <w:jc w:val="center"/>
                    <w:rPr>
                      <w:b/>
                      <w:bCs/>
                      <w:color w:val="auto"/>
                      <w:kern w:val="0"/>
                      <w:sz w:val="21"/>
                      <w:szCs w:val="21"/>
                    </w:rPr>
                  </w:pPr>
                  <w:r>
                    <w:rPr>
                      <w:b/>
                      <w:bCs/>
                      <w:color w:val="auto"/>
                      <w:kern w:val="0"/>
                      <w:sz w:val="21"/>
                      <w:szCs w:val="21"/>
                    </w:rPr>
                    <w:t>3</w:t>
                  </w:r>
                  <w:r>
                    <w:rPr>
                      <w:rFonts w:hint="eastAsia"/>
                      <w:b/>
                      <w:bCs/>
                      <w:color w:val="auto"/>
                      <w:kern w:val="0"/>
                      <w:sz w:val="21"/>
                      <w:szCs w:val="21"/>
                    </w:rPr>
                    <w:t>2</w:t>
                  </w:r>
                  <w:r>
                    <w:rPr>
                      <w:b/>
                      <w:bCs/>
                      <w:color w:val="auto"/>
                      <w:kern w:val="0"/>
                      <w:sz w:val="21"/>
                      <w:szCs w:val="21"/>
                    </w:rPr>
                    <w:t>0kW 型</w:t>
                  </w:r>
                </w:p>
              </w:tc>
            </w:tr>
            <w:tr w14:paraId="5926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vAlign w:val="center"/>
                </w:tcPr>
                <w:p w14:paraId="0E9DDCA5">
                  <w:pPr>
                    <w:widowControl/>
                    <w:spacing w:line="240" w:lineRule="auto"/>
                    <w:ind w:firstLine="0" w:firstLineChars="0"/>
                    <w:jc w:val="center"/>
                    <w:rPr>
                      <w:color w:val="auto"/>
                      <w:kern w:val="0"/>
                      <w:sz w:val="21"/>
                      <w:szCs w:val="21"/>
                    </w:rPr>
                  </w:pPr>
                  <w:r>
                    <w:rPr>
                      <w:rFonts w:hint="eastAsia"/>
                      <w:color w:val="auto"/>
                      <w:kern w:val="0"/>
                      <w:sz w:val="21"/>
                      <w:szCs w:val="21"/>
                    </w:rPr>
                    <w:t>逆变器</w:t>
                  </w:r>
                  <w:r>
                    <w:rPr>
                      <w:color w:val="auto"/>
                      <w:kern w:val="0"/>
                      <w:sz w:val="21"/>
                      <w:szCs w:val="21"/>
                    </w:rPr>
                    <w:t>效率</w:t>
                  </w:r>
                </w:p>
              </w:tc>
            </w:tr>
            <w:tr w14:paraId="2D2F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2F2FF052">
                  <w:pPr>
                    <w:widowControl/>
                    <w:spacing w:line="240" w:lineRule="auto"/>
                    <w:ind w:firstLine="0" w:firstLineChars="0"/>
                    <w:jc w:val="center"/>
                    <w:rPr>
                      <w:color w:val="auto"/>
                      <w:kern w:val="0"/>
                      <w:sz w:val="21"/>
                      <w:szCs w:val="21"/>
                    </w:rPr>
                  </w:pPr>
                  <w:r>
                    <w:rPr>
                      <w:color w:val="auto"/>
                      <w:kern w:val="0"/>
                      <w:sz w:val="21"/>
                      <w:szCs w:val="21"/>
                    </w:rPr>
                    <w:t>最大效率</w:t>
                  </w:r>
                </w:p>
              </w:tc>
              <w:tc>
                <w:tcPr>
                  <w:tcW w:w="2907" w:type="pct"/>
                  <w:vAlign w:val="center"/>
                </w:tcPr>
                <w:p w14:paraId="5D23458A">
                  <w:pPr>
                    <w:widowControl/>
                    <w:spacing w:line="240" w:lineRule="auto"/>
                    <w:ind w:firstLine="0" w:firstLineChars="0"/>
                    <w:jc w:val="center"/>
                    <w:rPr>
                      <w:color w:val="auto"/>
                      <w:kern w:val="0"/>
                      <w:sz w:val="21"/>
                      <w:szCs w:val="21"/>
                    </w:rPr>
                  </w:pPr>
                  <w:r>
                    <w:rPr>
                      <w:color w:val="auto"/>
                      <w:kern w:val="0"/>
                      <w:sz w:val="21"/>
                      <w:szCs w:val="21"/>
                    </w:rPr>
                    <w:t>99.01%</w:t>
                  </w:r>
                </w:p>
              </w:tc>
            </w:tr>
            <w:tr w14:paraId="4EDB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vAlign w:val="center"/>
                </w:tcPr>
                <w:p w14:paraId="19B84FD8">
                  <w:pPr>
                    <w:widowControl/>
                    <w:spacing w:line="240" w:lineRule="auto"/>
                    <w:ind w:firstLine="0" w:firstLineChars="0"/>
                    <w:jc w:val="center"/>
                    <w:rPr>
                      <w:color w:val="auto"/>
                      <w:kern w:val="0"/>
                      <w:sz w:val="21"/>
                      <w:szCs w:val="21"/>
                    </w:rPr>
                  </w:pPr>
                  <w:r>
                    <w:rPr>
                      <w:rFonts w:hint="eastAsia"/>
                      <w:color w:val="auto"/>
                      <w:kern w:val="0"/>
                      <w:sz w:val="21"/>
                      <w:szCs w:val="21"/>
                    </w:rPr>
                    <w:t>逆变器</w:t>
                  </w:r>
                  <w:r>
                    <w:rPr>
                      <w:color w:val="auto"/>
                      <w:kern w:val="0"/>
                      <w:sz w:val="21"/>
                      <w:szCs w:val="21"/>
                    </w:rPr>
                    <w:t>输入</w:t>
                  </w:r>
                  <w:r>
                    <w:rPr>
                      <w:rFonts w:hint="eastAsia"/>
                      <w:color w:val="auto"/>
                      <w:kern w:val="0"/>
                      <w:sz w:val="21"/>
                      <w:szCs w:val="21"/>
                    </w:rPr>
                    <w:t>参数</w:t>
                  </w:r>
                </w:p>
              </w:tc>
            </w:tr>
            <w:tr w14:paraId="53A0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5F5332C4">
                  <w:pPr>
                    <w:widowControl/>
                    <w:spacing w:line="240" w:lineRule="auto"/>
                    <w:ind w:firstLine="0" w:firstLineChars="0"/>
                    <w:jc w:val="center"/>
                    <w:rPr>
                      <w:color w:val="auto"/>
                      <w:kern w:val="0"/>
                      <w:sz w:val="21"/>
                      <w:szCs w:val="21"/>
                    </w:rPr>
                  </w:pPr>
                  <w:r>
                    <w:rPr>
                      <w:color w:val="auto"/>
                      <w:kern w:val="0"/>
                      <w:sz w:val="21"/>
                      <w:szCs w:val="21"/>
                    </w:rPr>
                    <w:t>最大输入电压</w:t>
                  </w:r>
                </w:p>
              </w:tc>
              <w:tc>
                <w:tcPr>
                  <w:tcW w:w="2907" w:type="pct"/>
                  <w:vAlign w:val="center"/>
                </w:tcPr>
                <w:p w14:paraId="15CF7AA6">
                  <w:pPr>
                    <w:widowControl/>
                    <w:spacing w:line="240" w:lineRule="auto"/>
                    <w:ind w:firstLine="0" w:firstLineChars="0"/>
                    <w:jc w:val="center"/>
                    <w:rPr>
                      <w:color w:val="auto"/>
                      <w:kern w:val="0"/>
                      <w:sz w:val="21"/>
                      <w:szCs w:val="21"/>
                    </w:rPr>
                  </w:pPr>
                  <w:r>
                    <w:rPr>
                      <w:color w:val="auto"/>
                      <w:kern w:val="0"/>
                      <w:sz w:val="21"/>
                      <w:szCs w:val="21"/>
                    </w:rPr>
                    <w:t>1500V</w:t>
                  </w:r>
                </w:p>
              </w:tc>
            </w:tr>
            <w:tr w14:paraId="7646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5EA1BB11">
                  <w:pPr>
                    <w:widowControl/>
                    <w:spacing w:line="240" w:lineRule="auto"/>
                    <w:ind w:firstLine="0" w:firstLineChars="0"/>
                    <w:jc w:val="center"/>
                    <w:rPr>
                      <w:color w:val="auto"/>
                      <w:kern w:val="0"/>
                      <w:sz w:val="21"/>
                      <w:szCs w:val="21"/>
                    </w:rPr>
                  </w:pPr>
                  <w:r>
                    <w:rPr>
                      <w:color w:val="auto"/>
                      <w:kern w:val="0"/>
                      <w:sz w:val="21"/>
                      <w:szCs w:val="21"/>
                    </w:rPr>
                    <w:t>MPPT 电压范围</w:t>
                  </w:r>
                </w:p>
              </w:tc>
              <w:tc>
                <w:tcPr>
                  <w:tcW w:w="2907" w:type="pct"/>
                  <w:vAlign w:val="center"/>
                </w:tcPr>
                <w:p w14:paraId="7D9272AF">
                  <w:pPr>
                    <w:widowControl/>
                    <w:spacing w:line="240" w:lineRule="auto"/>
                    <w:ind w:firstLine="0" w:firstLineChars="0"/>
                    <w:jc w:val="center"/>
                    <w:rPr>
                      <w:color w:val="auto"/>
                      <w:kern w:val="0"/>
                      <w:sz w:val="21"/>
                      <w:szCs w:val="21"/>
                    </w:rPr>
                  </w:pPr>
                  <w:r>
                    <w:rPr>
                      <w:color w:val="auto"/>
                      <w:kern w:val="0"/>
                      <w:sz w:val="21"/>
                      <w:szCs w:val="21"/>
                    </w:rPr>
                    <w:t>500V～1500 V</w:t>
                  </w:r>
                </w:p>
              </w:tc>
            </w:tr>
            <w:tr w14:paraId="24DD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0D650DDF">
                  <w:pPr>
                    <w:widowControl/>
                    <w:spacing w:line="240" w:lineRule="auto"/>
                    <w:ind w:firstLine="0" w:firstLineChars="0"/>
                    <w:jc w:val="center"/>
                    <w:rPr>
                      <w:color w:val="auto"/>
                      <w:kern w:val="0"/>
                      <w:sz w:val="21"/>
                      <w:szCs w:val="21"/>
                    </w:rPr>
                  </w:pPr>
                  <w:r>
                    <w:rPr>
                      <w:color w:val="auto"/>
                      <w:kern w:val="0"/>
                      <w:sz w:val="21"/>
                      <w:szCs w:val="21"/>
                    </w:rPr>
                    <w:t>型号</w:t>
                  </w:r>
                </w:p>
              </w:tc>
              <w:tc>
                <w:tcPr>
                  <w:tcW w:w="2907" w:type="pct"/>
                  <w:vAlign w:val="center"/>
                </w:tcPr>
                <w:p w14:paraId="78D1D4C9">
                  <w:pPr>
                    <w:widowControl/>
                    <w:spacing w:line="240" w:lineRule="auto"/>
                    <w:ind w:firstLine="0" w:firstLineChars="0"/>
                    <w:jc w:val="center"/>
                    <w:rPr>
                      <w:color w:val="auto"/>
                      <w:kern w:val="0"/>
                      <w:sz w:val="21"/>
                      <w:szCs w:val="21"/>
                    </w:rPr>
                  </w:pPr>
                  <w:r>
                    <w:rPr>
                      <w:color w:val="auto"/>
                      <w:kern w:val="0"/>
                      <w:sz w:val="21"/>
                      <w:szCs w:val="21"/>
                    </w:rPr>
                    <w:t>3</w:t>
                  </w:r>
                  <w:r>
                    <w:rPr>
                      <w:rFonts w:hint="eastAsia"/>
                      <w:color w:val="auto"/>
                      <w:kern w:val="0"/>
                      <w:sz w:val="21"/>
                      <w:szCs w:val="21"/>
                    </w:rPr>
                    <w:t>2</w:t>
                  </w:r>
                  <w:r>
                    <w:rPr>
                      <w:color w:val="auto"/>
                      <w:kern w:val="0"/>
                      <w:sz w:val="21"/>
                      <w:szCs w:val="21"/>
                    </w:rPr>
                    <w:t>0kW 型</w:t>
                  </w:r>
                </w:p>
              </w:tc>
            </w:tr>
            <w:tr w14:paraId="0567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540A231A">
                  <w:pPr>
                    <w:widowControl/>
                    <w:spacing w:line="240" w:lineRule="auto"/>
                    <w:ind w:firstLine="0" w:firstLineChars="0"/>
                    <w:jc w:val="center"/>
                    <w:rPr>
                      <w:color w:val="auto"/>
                      <w:kern w:val="0"/>
                      <w:sz w:val="21"/>
                      <w:szCs w:val="21"/>
                    </w:rPr>
                  </w:pPr>
                  <w:r>
                    <w:rPr>
                      <w:color w:val="auto"/>
                      <w:kern w:val="0"/>
                      <w:sz w:val="21"/>
                      <w:szCs w:val="21"/>
                    </w:rPr>
                    <w:t>每路MPPT最大输入电流</w:t>
                  </w:r>
                </w:p>
              </w:tc>
              <w:tc>
                <w:tcPr>
                  <w:tcW w:w="2907" w:type="pct"/>
                  <w:vAlign w:val="center"/>
                </w:tcPr>
                <w:p w14:paraId="23F1917C">
                  <w:pPr>
                    <w:widowControl/>
                    <w:spacing w:line="240" w:lineRule="auto"/>
                    <w:ind w:firstLine="0" w:firstLineChars="0"/>
                    <w:jc w:val="center"/>
                    <w:rPr>
                      <w:color w:val="auto"/>
                      <w:kern w:val="0"/>
                      <w:sz w:val="21"/>
                      <w:szCs w:val="21"/>
                    </w:rPr>
                  </w:pPr>
                  <w:r>
                    <w:rPr>
                      <w:rFonts w:hint="eastAsia"/>
                      <w:color w:val="auto"/>
                      <w:kern w:val="0"/>
                      <w:sz w:val="21"/>
                      <w:szCs w:val="21"/>
                    </w:rPr>
                    <w:t>40</w:t>
                  </w:r>
                  <w:r>
                    <w:rPr>
                      <w:color w:val="auto"/>
                      <w:kern w:val="0"/>
                      <w:sz w:val="21"/>
                      <w:szCs w:val="21"/>
                    </w:rPr>
                    <w:t>A</w:t>
                  </w:r>
                </w:p>
              </w:tc>
            </w:tr>
            <w:tr w14:paraId="45AE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vAlign w:val="center"/>
                </w:tcPr>
                <w:p w14:paraId="5E0D7780">
                  <w:pPr>
                    <w:widowControl/>
                    <w:spacing w:line="240" w:lineRule="auto"/>
                    <w:ind w:firstLine="0" w:firstLineChars="0"/>
                    <w:jc w:val="center"/>
                    <w:rPr>
                      <w:color w:val="auto"/>
                      <w:kern w:val="0"/>
                      <w:sz w:val="21"/>
                      <w:szCs w:val="21"/>
                    </w:rPr>
                  </w:pPr>
                  <w:r>
                    <w:rPr>
                      <w:rFonts w:hint="eastAsia"/>
                      <w:color w:val="auto"/>
                      <w:kern w:val="0"/>
                      <w:sz w:val="21"/>
                      <w:szCs w:val="21"/>
                    </w:rPr>
                    <w:t>逆变器</w:t>
                  </w:r>
                  <w:r>
                    <w:rPr>
                      <w:color w:val="auto"/>
                      <w:kern w:val="0"/>
                      <w:sz w:val="21"/>
                      <w:szCs w:val="21"/>
                    </w:rPr>
                    <w:t>输出</w:t>
                  </w:r>
                  <w:r>
                    <w:rPr>
                      <w:rFonts w:hint="eastAsia"/>
                      <w:color w:val="auto"/>
                      <w:kern w:val="0"/>
                      <w:sz w:val="21"/>
                      <w:szCs w:val="21"/>
                    </w:rPr>
                    <w:t>参数</w:t>
                  </w:r>
                </w:p>
              </w:tc>
            </w:tr>
            <w:tr w14:paraId="04DC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4ABEA23E">
                  <w:pPr>
                    <w:widowControl/>
                    <w:spacing w:line="240" w:lineRule="auto"/>
                    <w:ind w:firstLine="0" w:firstLineChars="0"/>
                    <w:jc w:val="center"/>
                    <w:rPr>
                      <w:color w:val="auto"/>
                      <w:kern w:val="0"/>
                      <w:sz w:val="21"/>
                      <w:szCs w:val="21"/>
                    </w:rPr>
                  </w:pPr>
                  <w:r>
                    <w:rPr>
                      <w:color w:val="auto"/>
                      <w:kern w:val="0"/>
                      <w:sz w:val="21"/>
                      <w:szCs w:val="21"/>
                    </w:rPr>
                    <w:t>额定输出</w:t>
                  </w:r>
                  <w:r>
                    <w:rPr>
                      <w:rFonts w:hint="eastAsia"/>
                      <w:color w:val="auto"/>
                      <w:kern w:val="0"/>
                      <w:sz w:val="21"/>
                      <w:szCs w:val="21"/>
                    </w:rPr>
                    <w:t>电压</w:t>
                  </w:r>
                </w:p>
              </w:tc>
              <w:tc>
                <w:tcPr>
                  <w:tcW w:w="2907" w:type="pct"/>
                  <w:vAlign w:val="center"/>
                </w:tcPr>
                <w:p w14:paraId="0E62F1A1">
                  <w:pPr>
                    <w:widowControl/>
                    <w:spacing w:line="240" w:lineRule="auto"/>
                    <w:ind w:firstLine="0" w:firstLineChars="0"/>
                    <w:jc w:val="center"/>
                    <w:rPr>
                      <w:color w:val="auto"/>
                      <w:kern w:val="0"/>
                      <w:sz w:val="21"/>
                      <w:szCs w:val="21"/>
                    </w:rPr>
                  </w:pPr>
                  <w:r>
                    <w:rPr>
                      <w:color w:val="auto"/>
                      <w:kern w:val="0"/>
                      <w:sz w:val="21"/>
                      <w:szCs w:val="21"/>
                    </w:rPr>
                    <w:t>800</w:t>
                  </w:r>
                  <w:r>
                    <w:rPr>
                      <w:rFonts w:hint="eastAsia"/>
                      <w:color w:val="auto"/>
                      <w:kern w:val="0"/>
                      <w:sz w:val="21"/>
                      <w:szCs w:val="21"/>
                    </w:rPr>
                    <w:t>V</w:t>
                  </w:r>
                </w:p>
              </w:tc>
            </w:tr>
            <w:tr w14:paraId="7ECE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14F99B7C">
                  <w:pPr>
                    <w:widowControl/>
                    <w:spacing w:line="240" w:lineRule="auto"/>
                    <w:ind w:firstLine="0" w:firstLineChars="0"/>
                    <w:jc w:val="center"/>
                    <w:rPr>
                      <w:color w:val="auto"/>
                      <w:kern w:val="0"/>
                      <w:sz w:val="21"/>
                      <w:szCs w:val="21"/>
                    </w:rPr>
                  </w:pPr>
                  <w:r>
                    <w:rPr>
                      <w:rFonts w:hint="eastAsia"/>
                      <w:color w:val="auto"/>
                      <w:kern w:val="0"/>
                      <w:sz w:val="21"/>
                      <w:szCs w:val="21"/>
                    </w:rPr>
                    <w:t>输出电压范围</w:t>
                  </w:r>
                </w:p>
              </w:tc>
              <w:tc>
                <w:tcPr>
                  <w:tcW w:w="2907" w:type="pct"/>
                  <w:vAlign w:val="center"/>
                </w:tcPr>
                <w:p w14:paraId="46CE98F2">
                  <w:pPr>
                    <w:widowControl/>
                    <w:spacing w:line="240" w:lineRule="auto"/>
                    <w:ind w:firstLine="0" w:firstLineChars="0"/>
                    <w:jc w:val="center"/>
                    <w:rPr>
                      <w:color w:val="auto"/>
                      <w:kern w:val="0"/>
                      <w:sz w:val="21"/>
                      <w:szCs w:val="21"/>
                    </w:rPr>
                  </w:pPr>
                  <w:r>
                    <w:rPr>
                      <w:color w:val="auto"/>
                      <w:kern w:val="0"/>
                      <w:sz w:val="21"/>
                      <w:szCs w:val="21"/>
                    </w:rPr>
                    <w:t>800</w:t>
                  </w:r>
                  <w:r>
                    <w:rPr>
                      <w:rFonts w:hint="eastAsia"/>
                      <w:color w:val="auto"/>
                      <w:kern w:val="0"/>
                      <w:sz w:val="21"/>
                      <w:szCs w:val="21"/>
                    </w:rPr>
                    <w:t>±</w:t>
                  </w:r>
                  <w:r>
                    <w:rPr>
                      <w:color w:val="auto"/>
                      <w:kern w:val="0"/>
                      <w:sz w:val="21"/>
                      <w:szCs w:val="21"/>
                    </w:rPr>
                    <w:t>10</w:t>
                  </w:r>
                  <w:r>
                    <w:rPr>
                      <w:rFonts w:hint="eastAsia"/>
                      <w:color w:val="auto"/>
                      <w:kern w:val="0"/>
                      <w:sz w:val="21"/>
                      <w:szCs w:val="21"/>
                    </w:rPr>
                    <w:t>%</w:t>
                  </w:r>
                </w:p>
              </w:tc>
            </w:tr>
            <w:tr w14:paraId="4FA4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4E1B4F02">
                  <w:pPr>
                    <w:widowControl/>
                    <w:spacing w:line="240" w:lineRule="auto"/>
                    <w:ind w:firstLine="0" w:firstLineChars="0"/>
                    <w:jc w:val="center"/>
                    <w:rPr>
                      <w:color w:val="auto"/>
                      <w:kern w:val="0"/>
                      <w:sz w:val="21"/>
                      <w:szCs w:val="21"/>
                    </w:rPr>
                  </w:pPr>
                  <w:r>
                    <w:rPr>
                      <w:rFonts w:hint="eastAsia"/>
                      <w:color w:val="auto"/>
                      <w:kern w:val="0"/>
                      <w:sz w:val="21"/>
                      <w:szCs w:val="21"/>
                    </w:rPr>
                    <w:t>输出频率要求</w:t>
                  </w:r>
                </w:p>
              </w:tc>
              <w:tc>
                <w:tcPr>
                  <w:tcW w:w="2907" w:type="pct"/>
                  <w:vAlign w:val="center"/>
                </w:tcPr>
                <w:p w14:paraId="08B2D513">
                  <w:pPr>
                    <w:widowControl/>
                    <w:spacing w:line="240" w:lineRule="auto"/>
                    <w:ind w:firstLine="0" w:firstLineChars="0"/>
                    <w:jc w:val="center"/>
                    <w:rPr>
                      <w:color w:val="auto"/>
                      <w:kern w:val="0"/>
                      <w:sz w:val="21"/>
                      <w:szCs w:val="21"/>
                    </w:rPr>
                  </w:pPr>
                  <w:r>
                    <w:rPr>
                      <w:color w:val="auto"/>
                      <w:kern w:val="0"/>
                      <w:sz w:val="21"/>
                      <w:szCs w:val="21"/>
                    </w:rPr>
                    <w:t>50</w:t>
                  </w:r>
                  <w:r>
                    <w:rPr>
                      <w:rFonts w:hint="eastAsia"/>
                      <w:color w:val="auto"/>
                      <w:kern w:val="0"/>
                      <w:sz w:val="21"/>
                      <w:szCs w:val="21"/>
                    </w:rPr>
                    <w:t>±</w:t>
                  </w:r>
                  <w:r>
                    <w:rPr>
                      <w:color w:val="auto"/>
                      <w:kern w:val="0"/>
                      <w:sz w:val="21"/>
                      <w:szCs w:val="21"/>
                    </w:rPr>
                    <w:t>5</w:t>
                  </w:r>
                  <w:r>
                    <w:rPr>
                      <w:rFonts w:hint="eastAsia"/>
                      <w:color w:val="auto"/>
                      <w:kern w:val="0"/>
                      <w:sz w:val="21"/>
                      <w:szCs w:val="21"/>
                    </w:rPr>
                    <w:t>Hz</w:t>
                  </w:r>
                </w:p>
              </w:tc>
            </w:tr>
            <w:tr w14:paraId="34CE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048F9B49">
                  <w:pPr>
                    <w:widowControl/>
                    <w:spacing w:line="240" w:lineRule="auto"/>
                    <w:ind w:firstLine="0" w:firstLineChars="0"/>
                    <w:jc w:val="center"/>
                    <w:rPr>
                      <w:color w:val="auto"/>
                      <w:kern w:val="0"/>
                      <w:sz w:val="21"/>
                      <w:szCs w:val="21"/>
                    </w:rPr>
                  </w:pPr>
                  <w:r>
                    <w:rPr>
                      <w:rFonts w:hint="eastAsia"/>
                      <w:color w:val="auto"/>
                      <w:kern w:val="0"/>
                      <w:sz w:val="21"/>
                      <w:szCs w:val="21"/>
                    </w:rPr>
                    <w:t>功率因数</w:t>
                  </w:r>
                </w:p>
              </w:tc>
              <w:tc>
                <w:tcPr>
                  <w:tcW w:w="2907" w:type="pct"/>
                  <w:vAlign w:val="center"/>
                </w:tcPr>
                <w:p w14:paraId="1444F745">
                  <w:pPr>
                    <w:widowControl/>
                    <w:spacing w:line="240" w:lineRule="auto"/>
                    <w:ind w:firstLine="0" w:firstLineChars="0"/>
                    <w:jc w:val="center"/>
                    <w:rPr>
                      <w:color w:val="auto"/>
                      <w:kern w:val="0"/>
                      <w:sz w:val="21"/>
                      <w:szCs w:val="21"/>
                    </w:rPr>
                  </w:pPr>
                  <w:r>
                    <w:rPr>
                      <w:color w:val="auto"/>
                      <w:kern w:val="0"/>
                      <w:sz w:val="21"/>
                      <w:szCs w:val="21"/>
                    </w:rPr>
                    <w:t>0.8</w:t>
                  </w:r>
                  <w:r>
                    <w:rPr>
                      <w:rFonts w:hint="eastAsia"/>
                      <w:color w:val="auto"/>
                      <w:kern w:val="0"/>
                      <w:sz w:val="21"/>
                      <w:szCs w:val="21"/>
                    </w:rPr>
                    <w:t>超前~</w:t>
                  </w:r>
                  <w:r>
                    <w:rPr>
                      <w:color w:val="auto"/>
                      <w:kern w:val="0"/>
                      <w:sz w:val="21"/>
                      <w:szCs w:val="21"/>
                    </w:rPr>
                    <w:t>0.8</w:t>
                  </w:r>
                  <w:r>
                    <w:rPr>
                      <w:rFonts w:hint="eastAsia"/>
                      <w:color w:val="auto"/>
                      <w:kern w:val="0"/>
                      <w:sz w:val="21"/>
                      <w:szCs w:val="21"/>
                    </w:rPr>
                    <w:t>滞后</w:t>
                  </w:r>
                </w:p>
              </w:tc>
            </w:tr>
            <w:tr w14:paraId="2B93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7C4C2DDA">
                  <w:pPr>
                    <w:widowControl/>
                    <w:spacing w:line="240" w:lineRule="auto"/>
                    <w:ind w:firstLine="0" w:firstLineChars="0"/>
                    <w:jc w:val="center"/>
                    <w:rPr>
                      <w:color w:val="auto"/>
                      <w:kern w:val="0"/>
                      <w:sz w:val="21"/>
                      <w:szCs w:val="21"/>
                    </w:rPr>
                  </w:pPr>
                  <w:r>
                    <w:rPr>
                      <w:color w:val="auto"/>
                      <w:kern w:val="0"/>
                      <w:sz w:val="21"/>
                      <w:szCs w:val="21"/>
                    </w:rPr>
                    <w:t>最大</w:t>
                  </w:r>
                  <w:r>
                    <w:rPr>
                      <w:rFonts w:hint="eastAsia"/>
                      <w:color w:val="auto"/>
                      <w:kern w:val="0"/>
                      <w:sz w:val="21"/>
                      <w:szCs w:val="21"/>
                    </w:rPr>
                    <w:t>交流</w:t>
                  </w:r>
                  <w:r>
                    <w:rPr>
                      <w:color w:val="auto"/>
                      <w:kern w:val="0"/>
                      <w:sz w:val="21"/>
                      <w:szCs w:val="21"/>
                    </w:rPr>
                    <w:t>输出电流</w:t>
                  </w:r>
                </w:p>
              </w:tc>
              <w:tc>
                <w:tcPr>
                  <w:tcW w:w="2907" w:type="pct"/>
                  <w:vAlign w:val="center"/>
                </w:tcPr>
                <w:p w14:paraId="11880E24">
                  <w:pPr>
                    <w:widowControl/>
                    <w:spacing w:line="240" w:lineRule="auto"/>
                    <w:ind w:firstLine="0" w:firstLineChars="0"/>
                    <w:jc w:val="center"/>
                    <w:rPr>
                      <w:color w:val="auto"/>
                      <w:kern w:val="0"/>
                      <w:sz w:val="21"/>
                      <w:szCs w:val="21"/>
                    </w:rPr>
                  </w:pPr>
                  <w:r>
                    <w:rPr>
                      <w:rFonts w:hint="eastAsia"/>
                      <w:color w:val="auto"/>
                      <w:kern w:val="0"/>
                      <w:sz w:val="21"/>
                      <w:szCs w:val="21"/>
                    </w:rPr>
                    <w:t>254</w:t>
                  </w:r>
                  <w:r>
                    <w:rPr>
                      <w:color w:val="auto"/>
                      <w:kern w:val="0"/>
                      <w:sz w:val="21"/>
                      <w:szCs w:val="21"/>
                    </w:rPr>
                    <w:t>A</w:t>
                  </w:r>
                </w:p>
              </w:tc>
            </w:tr>
            <w:tr w14:paraId="5ADE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4ABDF49E">
                  <w:pPr>
                    <w:widowControl/>
                    <w:spacing w:line="240" w:lineRule="auto"/>
                    <w:ind w:firstLine="0" w:firstLineChars="0"/>
                    <w:jc w:val="center"/>
                    <w:rPr>
                      <w:color w:val="auto"/>
                      <w:kern w:val="0"/>
                      <w:sz w:val="21"/>
                      <w:szCs w:val="21"/>
                    </w:rPr>
                  </w:pPr>
                  <w:r>
                    <w:rPr>
                      <w:color w:val="auto"/>
                      <w:kern w:val="0"/>
                      <w:sz w:val="21"/>
                      <w:szCs w:val="21"/>
                    </w:rPr>
                    <w:t>最大总谐波失真</w:t>
                  </w:r>
                </w:p>
              </w:tc>
              <w:tc>
                <w:tcPr>
                  <w:tcW w:w="2907" w:type="pct"/>
                  <w:vAlign w:val="center"/>
                </w:tcPr>
                <w:p w14:paraId="745E25D7">
                  <w:pPr>
                    <w:widowControl/>
                    <w:spacing w:line="240" w:lineRule="auto"/>
                    <w:ind w:firstLine="0" w:firstLineChars="0"/>
                    <w:jc w:val="center"/>
                    <w:rPr>
                      <w:color w:val="auto"/>
                      <w:kern w:val="0"/>
                      <w:sz w:val="21"/>
                      <w:szCs w:val="21"/>
                    </w:rPr>
                  </w:pPr>
                  <w:r>
                    <w:rPr>
                      <w:rFonts w:hint="eastAsia"/>
                      <w:color w:val="auto"/>
                      <w:kern w:val="0"/>
                      <w:sz w:val="21"/>
                      <w:szCs w:val="21"/>
                    </w:rPr>
                    <w:t>3</w:t>
                  </w:r>
                  <w:r>
                    <w:rPr>
                      <w:color w:val="auto"/>
                      <w:kern w:val="0"/>
                      <w:sz w:val="21"/>
                      <w:szCs w:val="21"/>
                    </w:rPr>
                    <w:t>%</w:t>
                  </w:r>
                </w:p>
              </w:tc>
            </w:tr>
            <w:tr w14:paraId="3FA1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vAlign w:val="center"/>
                </w:tcPr>
                <w:p w14:paraId="2965C0CB">
                  <w:pPr>
                    <w:widowControl/>
                    <w:spacing w:line="240" w:lineRule="auto"/>
                    <w:ind w:firstLine="0" w:firstLineChars="0"/>
                    <w:jc w:val="center"/>
                    <w:rPr>
                      <w:color w:val="auto"/>
                      <w:kern w:val="0"/>
                      <w:sz w:val="21"/>
                      <w:szCs w:val="21"/>
                    </w:rPr>
                  </w:pPr>
                  <w:r>
                    <w:rPr>
                      <w:rFonts w:hint="eastAsia"/>
                      <w:color w:val="auto"/>
                      <w:kern w:val="0"/>
                      <w:sz w:val="21"/>
                      <w:szCs w:val="21"/>
                    </w:rPr>
                    <w:t>电气绝缘</w:t>
                  </w:r>
                </w:p>
              </w:tc>
            </w:tr>
            <w:tr w14:paraId="0E43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420B67B6">
                  <w:pPr>
                    <w:widowControl/>
                    <w:spacing w:line="240" w:lineRule="auto"/>
                    <w:ind w:firstLine="0" w:firstLineChars="0"/>
                    <w:jc w:val="center"/>
                    <w:rPr>
                      <w:color w:val="auto"/>
                      <w:kern w:val="0"/>
                      <w:sz w:val="21"/>
                      <w:szCs w:val="21"/>
                    </w:rPr>
                  </w:pPr>
                  <w:r>
                    <w:rPr>
                      <w:rFonts w:hint="eastAsia"/>
                      <w:color w:val="auto"/>
                      <w:kern w:val="0"/>
                      <w:sz w:val="21"/>
                      <w:szCs w:val="21"/>
                    </w:rPr>
                    <w:t>直流输入</w:t>
                  </w:r>
                </w:p>
              </w:tc>
              <w:tc>
                <w:tcPr>
                  <w:tcW w:w="2907" w:type="pct"/>
                  <w:vAlign w:val="center"/>
                </w:tcPr>
                <w:p w14:paraId="4A96979E">
                  <w:pPr>
                    <w:widowControl/>
                    <w:spacing w:line="240" w:lineRule="auto"/>
                    <w:ind w:firstLine="0" w:firstLineChars="0"/>
                    <w:jc w:val="center"/>
                    <w:rPr>
                      <w:color w:val="auto"/>
                      <w:kern w:val="0"/>
                      <w:sz w:val="21"/>
                      <w:szCs w:val="21"/>
                    </w:rPr>
                  </w:pPr>
                  <w:r>
                    <w:rPr>
                      <w:rFonts w:hint="eastAsia"/>
                      <w:color w:val="auto"/>
                      <w:kern w:val="0"/>
                      <w:sz w:val="21"/>
                      <w:szCs w:val="21"/>
                    </w:rPr>
                    <w:t>2</w:t>
                  </w:r>
                  <w:r>
                    <w:rPr>
                      <w:color w:val="auto"/>
                      <w:kern w:val="0"/>
                      <w:sz w:val="21"/>
                      <w:szCs w:val="21"/>
                    </w:rPr>
                    <w:t>000</w:t>
                  </w:r>
                  <w:r>
                    <w:rPr>
                      <w:rFonts w:hint="eastAsia"/>
                      <w:color w:val="auto"/>
                      <w:kern w:val="0"/>
                      <w:sz w:val="21"/>
                      <w:szCs w:val="21"/>
                    </w:rPr>
                    <w:t>VAC，1分钟</w:t>
                  </w:r>
                </w:p>
              </w:tc>
            </w:tr>
            <w:tr w14:paraId="4872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4CE56FC2">
                  <w:pPr>
                    <w:widowControl/>
                    <w:spacing w:line="240" w:lineRule="auto"/>
                    <w:ind w:firstLine="0" w:firstLineChars="0"/>
                    <w:jc w:val="center"/>
                    <w:rPr>
                      <w:color w:val="auto"/>
                      <w:kern w:val="0"/>
                      <w:sz w:val="21"/>
                      <w:szCs w:val="21"/>
                    </w:rPr>
                  </w:pPr>
                  <w:r>
                    <w:rPr>
                      <w:rFonts w:hint="eastAsia"/>
                      <w:color w:val="auto"/>
                      <w:kern w:val="0"/>
                      <w:sz w:val="21"/>
                      <w:szCs w:val="21"/>
                    </w:rPr>
                    <w:t>直流与交流之间</w:t>
                  </w:r>
                </w:p>
              </w:tc>
              <w:tc>
                <w:tcPr>
                  <w:tcW w:w="2907" w:type="pct"/>
                  <w:vAlign w:val="center"/>
                </w:tcPr>
                <w:p w14:paraId="18FD4CA8">
                  <w:pPr>
                    <w:widowControl/>
                    <w:spacing w:line="240" w:lineRule="auto"/>
                    <w:ind w:firstLine="0" w:firstLineChars="0"/>
                    <w:jc w:val="center"/>
                    <w:rPr>
                      <w:color w:val="auto"/>
                      <w:kern w:val="0"/>
                      <w:sz w:val="21"/>
                      <w:szCs w:val="21"/>
                    </w:rPr>
                  </w:pPr>
                  <w:r>
                    <w:rPr>
                      <w:rFonts w:hint="eastAsia"/>
                      <w:color w:val="auto"/>
                      <w:kern w:val="0"/>
                      <w:sz w:val="21"/>
                      <w:szCs w:val="21"/>
                    </w:rPr>
                    <w:t>交流对地2</w:t>
                  </w:r>
                  <w:r>
                    <w:rPr>
                      <w:color w:val="auto"/>
                      <w:kern w:val="0"/>
                      <w:sz w:val="21"/>
                      <w:szCs w:val="21"/>
                    </w:rPr>
                    <w:t>000</w:t>
                  </w:r>
                  <w:r>
                    <w:rPr>
                      <w:rFonts w:hint="eastAsia"/>
                      <w:color w:val="auto"/>
                      <w:kern w:val="0"/>
                      <w:sz w:val="21"/>
                      <w:szCs w:val="21"/>
                    </w:rPr>
                    <w:t>VAC，1分钟直接对交流的耐压通过选配隔离变压器保证</w:t>
                  </w:r>
                </w:p>
              </w:tc>
            </w:tr>
            <w:tr w14:paraId="3204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6BCEB102">
                  <w:pPr>
                    <w:widowControl/>
                    <w:spacing w:line="240" w:lineRule="auto"/>
                    <w:ind w:firstLine="0" w:firstLineChars="0"/>
                    <w:jc w:val="center"/>
                    <w:rPr>
                      <w:color w:val="auto"/>
                      <w:kern w:val="0"/>
                      <w:sz w:val="21"/>
                      <w:szCs w:val="21"/>
                    </w:rPr>
                  </w:pPr>
                  <w:r>
                    <w:rPr>
                      <w:rFonts w:hint="eastAsia"/>
                      <w:color w:val="auto"/>
                      <w:kern w:val="0"/>
                      <w:sz w:val="21"/>
                      <w:szCs w:val="21"/>
                    </w:rPr>
                    <w:t>噪音</w:t>
                  </w:r>
                </w:p>
              </w:tc>
              <w:tc>
                <w:tcPr>
                  <w:tcW w:w="2907" w:type="pct"/>
                  <w:vAlign w:val="center"/>
                </w:tcPr>
                <w:p w14:paraId="73698446">
                  <w:pPr>
                    <w:widowControl/>
                    <w:spacing w:line="240" w:lineRule="auto"/>
                    <w:ind w:firstLine="0" w:firstLineChars="0"/>
                    <w:jc w:val="center"/>
                    <w:rPr>
                      <w:color w:val="auto"/>
                      <w:kern w:val="0"/>
                      <w:sz w:val="21"/>
                      <w:szCs w:val="21"/>
                    </w:rPr>
                  </w:pPr>
                  <w:r>
                    <w:rPr>
                      <w:rFonts w:hint="eastAsia"/>
                      <w:color w:val="auto"/>
                      <w:kern w:val="0"/>
                      <w:sz w:val="21"/>
                      <w:szCs w:val="21"/>
                    </w:rPr>
                    <w:t>6</w:t>
                  </w:r>
                  <w:r>
                    <w:rPr>
                      <w:color w:val="auto"/>
                      <w:kern w:val="0"/>
                      <w:sz w:val="21"/>
                      <w:szCs w:val="21"/>
                    </w:rPr>
                    <w:t>0dBA</w:t>
                  </w:r>
                </w:p>
              </w:tc>
            </w:tr>
            <w:tr w14:paraId="4212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000" w:type="pct"/>
                  <w:gridSpan w:val="2"/>
                  <w:vAlign w:val="center"/>
                </w:tcPr>
                <w:p w14:paraId="6B7D5427">
                  <w:pPr>
                    <w:widowControl/>
                    <w:spacing w:line="240" w:lineRule="auto"/>
                    <w:ind w:firstLine="0" w:firstLineChars="0"/>
                    <w:jc w:val="center"/>
                    <w:rPr>
                      <w:color w:val="auto"/>
                      <w:kern w:val="0"/>
                      <w:sz w:val="21"/>
                      <w:szCs w:val="21"/>
                    </w:rPr>
                  </w:pPr>
                  <w:r>
                    <w:rPr>
                      <w:rFonts w:hint="eastAsia"/>
                      <w:color w:val="auto"/>
                      <w:kern w:val="0"/>
                      <w:sz w:val="21"/>
                      <w:szCs w:val="21"/>
                    </w:rPr>
                    <w:t>逆变器功率损耗</w:t>
                  </w:r>
                </w:p>
              </w:tc>
            </w:tr>
            <w:tr w14:paraId="6067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5485A4CF">
                  <w:pPr>
                    <w:widowControl/>
                    <w:spacing w:line="240" w:lineRule="auto"/>
                    <w:ind w:firstLine="0" w:firstLineChars="0"/>
                    <w:jc w:val="center"/>
                    <w:rPr>
                      <w:color w:val="auto"/>
                      <w:kern w:val="0"/>
                      <w:sz w:val="21"/>
                      <w:szCs w:val="21"/>
                    </w:rPr>
                  </w:pPr>
                  <w:r>
                    <w:rPr>
                      <w:rFonts w:hint="eastAsia"/>
                      <w:color w:val="auto"/>
                      <w:kern w:val="0"/>
                      <w:sz w:val="21"/>
                      <w:szCs w:val="21"/>
                    </w:rPr>
                    <w:t>工作损耗</w:t>
                  </w:r>
                </w:p>
              </w:tc>
              <w:tc>
                <w:tcPr>
                  <w:tcW w:w="2907" w:type="pct"/>
                  <w:vAlign w:val="center"/>
                </w:tcPr>
                <w:p w14:paraId="26107510">
                  <w:pPr>
                    <w:widowControl/>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500</w:t>
                  </w:r>
                  <w:r>
                    <w:rPr>
                      <w:rFonts w:hint="eastAsia"/>
                      <w:color w:val="auto"/>
                      <w:kern w:val="0"/>
                      <w:sz w:val="21"/>
                      <w:szCs w:val="21"/>
                    </w:rPr>
                    <w:t>W</w:t>
                  </w:r>
                </w:p>
              </w:tc>
            </w:tr>
            <w:tr w14:paraId="5B41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05906CC7">
                  <w:pPr>
                    <w:widowControl/>
                    <w:spacing w:line="240" w:lineRule="auto"/>
                    <w:ind w:firstLine="0" w:firstLineChars="0"/>
                    <w:jc w:val="center"/>
                    <w:rPr>
                      <w:color w:val="auto"/>
                      <w:kern w:val="0"/>
                      <w:sz w:val="21"/>
                      <w:szCs w:val="21"/>
                    </w:rPr>
                  </w:pPr>
                  <w:r>
                    <w:rPr>
                      <w:rFonts w:hint="eastAsia"/>
                      <w:color w:val="auto"/>
                      <w:kern w:val="0"/>
                      <w:sz w:val="21"/>
                      <w:szCs w:val="21"/>
                    </w:rPr>
                    <w:t>待机损耗/夜间功耗</w:t>
                  </w:r>
                </w:p>
              </w:tc>
              <w:tc>
                <w:tcPr>
                  <w:tcW w:w="2907" w:type="pct"/>
                  <w:vAlign w:val="center"/>
                </w:tcPr>
                <w:p w14:paraId="10A9C046">
                  <w:pPr>
                    <w:widowControl/>
                    <w:spacing w:line="240" w:lineRule="auto"/>
                    <w:ind w:firstLine="0" w:firstLineChars="0"/>
                    <w:jc w:val="center"/>
                    <w:rPr>
                      <w:color w:val="auto"/>
                      <w:kern w:val="0"/>
                      <w:sz w:val="21"/>
                      <w:szCs w:val="21"/>
                    </w:rPr>
                  </w:pPr>
                  <w:r>
                    <w:rPr>
                      <w:rFonts w:hint="eastAsia"/>
                      <w:color w:val="auto"/>
                      <w:kern w:val="0"/>
                      <w:sz w:val="21"/>
                      <w:szCs w:val="21"/>
                    </w:rPr>
                    <w:t>1</w:t>
                  </w:r>
                  <w:r>
                    <w:rPr>
                      <w:color w:val="auto"/>
                      <w:kern w:val="0"/>
                      <w:sz w:val="21"/>
                      <w:szCs w:val="21"/>
                    </w:rPr>
                    <w:t>00</w:t>
                  </w:r>
                  <w:r>
                    <w:rPr>
                      <w:rFonts w:hint="eastAsia"/>
                      <w:color w:val="auto"/>
                      <w:kern w:val="0"/>
                      <w:sz w:val="21"/>
                      <w:szCs w:val="21"/>
                    </w:rPr>
                    <w:t>W</w:t>
                  </w:r>
                </w:p>
              </w:tc>
            </w:tr>
            <w:tr w14:paraId="1670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0CA6DBBD">
                  <w:pPr>
                    <w:widowControl/>
                    <w:spacing w:line="240" w:lineRule="auto"/>
                    <w:ind w:firstLine="0" w:firstLineChars="0"/>
                    <w:jc w:val="center"/>
                    <w:rPr>
                      <w:color w:val="auto"/>
                      <w:kern w:val="0"/>
                      <w:sz w:val="21"/>
                      <w:szCs w:val="21"/>
                    </w:rPr>
                  </w:pPr>
                  <w:r>
                    <w:rPr>
                      <w:rFonts w:hint="eastAsia"/>
                      <w:color w:val="auto"/>
                      <w:kern w:val="0"/>
                      <w:sz w:val="21"/>
                      <w:szCs w:val="21"/>
                    </w:rPr>
                    <w:t>自动投运条件</w:t>
                  </w:r>
                </w:p>
              </w:tc>
              <w:tc>
                <w:tcPr>
                  <w:tcW w:w="2907" w:type="pct"/>
                  <w:vAlign w:val="center"/>
                </w:tcPr>
                <w:p w14:paraId="7848A864">
                  <w:pPr>
                    <w:widowControl/>
                    <w:spacing w:line="240" w:lineRule="auto"/>
                    <w:ind w:firstLine="0" w:firstLineChars="0"/>
                    <w:jc w:val="center"/>
                    <w:rPr>
                      <w:color w:val="auto"/>
                      <w:kern w:val="0"/>
                      <w:sz w:val="21"/>
                      <w:szCs w:val="21"/>
                    </w:rPr>
                  </w:pPr>
                  <w:r>
                    <w:rPr>
                      <w:rFonts w:hint="eastAsia"/>
                      <w:color w:val="auto"/>
                      <w:kern w:val="0"/>
                      <w:sz w:val="21"/>
                      <w:szCs w:val="21"/>
                    </w:rPr>
                    <w:t>输入直流电压范围在200-850V之间，输出电压和频率在设定范围内</w:t>
                  </w:r>
                </w:p>
              </w:tc>
            </w:tr>
            <w:tr w14:paraId="1B35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05B9CA55">
                  <w:pPr>
                    <w:widowControl/>
                    <w:spacing w:line="240" w:lineRule="auto"/>
                    <w:ind w:firstLine="0" w:firstLineChars="0"/>
                    <w:jc w:val="center"/>
                    <w:rPr>
                      <w:color w:val="auto"/>
                      <w:kern w:val="0"/>
                      <w:sz w:val="21"/>
                      <w:szCs w:val="21"/>
                    </w:rPr>
                  </w:pPr>
                  <w:r>
                    <w:rPr>
                      <w:rFonts w:hint="eastAsia"/>
                      <w:color w:val="auto"/>
                      <w:kern w:val="0"/>
                      <w:sz w:val="21"/>
                      <w:szCs w:val="21"/>
                    </w:rPr>
                    <w:t>断电自动重启时间</w:t>
                  </w:r>
                </w:p>
              </w:tc>
              <w:tc>
                <w:tcPr>
                  <w:tcW w:w="2907" w:type="pct"/>
                  <w:vAlign w:val="center"/>
                </w:tcPr>
                <w:p w14:paraId="4393E144">
                  <w:pPr>
                    <w:widowControl/>
                    <w:spacing w:line="240" w:lineRule="auto"/>
                    <w:ind w:firstLine="0" w:firstLineChars="0"/>
                    <w:jc w:val="center"/>
                    <w:rPr>
                      <w:color w:val="auto"/>
                      <w:kern w:val="0"/>
                      <w:sz w:val="21"/>
                      <w:szCs w:val="21"/>
                    </w:rPr>
                  </w:pPr>
                  <w:r>
                    <w:rPr>
                      <w:rFonts w:hint="eastAsia"/>
                      <w:color w:val="auto"/>
                      <w:kern w:val="0"/>
                      <w:sz w:val="21"/>
                      <w:szCs w:val="21"/>
                    </w:rPr>
                    <w:t>20s～5mim可设</w:t>
                  </w:r>
                </w:p>
              </w:tc>
            </w:tr>
            <w:tr w14:paraId="6D8D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78D33590">
                  <w:pPr>
                    <w:widowControl/>
                    <w:spacing w:line="240" w:lineRule="auto"/>
                    <w:ind w:firstLine="0" w:firstLineChars="0"/>
                    <w:jc w:val="center"/>
                    <w:rPr>
                      <w:color w:val="auto"/>
                      <w:kern w:val="0"/>
                      <w:sz w:val="21"/>
                      <w:szCs w:val="21"/>
                    </w:rPr>
                  </w:pPr>
                  <w:r>
                    <w:rPr>
                      <w:rFonts w:hint="eastAsia"/>
                      <w:color w:val="auto"/>
                      <w:kern w:val="0"/>
                      <w:sz w:val="21"/>
                      <w:szCs w:val="21"/>
                    </w:rPr>
                    <w:t>隔离变压器（有/无）</w:t>
                  </w:r>
                </w:p>
              </w:tc>
              <w:tc>
                <w:tcPr>
                  <w:tcW w:w="2907" w:type="pct"/>
                  <w:vAlign w:val="center"/>
                </w:tcPr>
                <w:p w14:paraId="59BAC7BA">
                  <w:pPr>
                    <w:widowControl/>
                    <w:spacing w:line="240" w:lineRule="auto"/>
                    <w:ind w:firstLine="0" w:firstLineChars="0"/>
                    <w:jc w:val="center"/>
                    <w:rPr>
                      <w:color w:val="auto"/>
                      <w:kern w:val="0"/>
                      <w:sz w:val="21"/>
                      <w:szCs w:val="21"/>
                    </w:rPr>
                  </w:pPr>
                  <w:r>
                    <w:rPr>
                      <w:rFonts w:hint="eastAsia"/>
                      <w:color w:val="auto"/>
                      <w:kern w:val="0"/>
                      <w:sz w:val="21"/>
                      <w:szCs w:val="21"/>
                    </w:rPr>
                    <w:t>无</w:t>
                  </w:r>
                </w:p>
              </w:tc>
            </w:tr>
            <w:tr w14:paraId="48DB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2"/>
                  <w:vAlign w:val="center"/>
                </w:tcPr>
                <w:p w14:paraId="580B6981">
                  <w:pPr>
                    <w:widowControl/>
                    <w:spacing w:line="240" w:lineRule="auto"/>
                    <w:ind w:firstLine="0" w:firstLineChars="0"/>
                    <w:jc w:val="center"/>
                    <w:rPr>
                      <w:color w:val="auto"/>
                      <w:kern w:val="0"/>
                      <w:sz w:val="21"/>
                      <w:szCs w:val="21"/>
                    </w:rPr>
                  </w:pPr>
                  <w:r>
                    <w:rPr>
                      <w:color w:val="auto"/>
                      <w:kern w:val="0"/>
                      <w:sz w:val="21"/>
                      <w:szCs w:val="21"/>
                    </w:rPr>
                    <w:t>常规参数</w:t>
                  </w:r>
                </w:p>
              </w:tc>
            </w:tr>
            <w:tr w14:paraId="3235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1FFBFF84">
                  <w:pPr>
                    <w:widowControl/>
                    <w:spacing w:line="240" w:lineRule="auto"/>
                    <w:ind w:firstLine="0" w:firstLineChars="0"/>
                    <w:jc w:val="center"/>
                    <w:rPr>
                      <w:color w:val="auto"/>
                      <w:kern w:val="0"/>
                      <w:sz w:val="21"/>
                      <w:szCs w:val="21"/>
                    </w:rPr>
                  </w:pPr>
                  <w:r>
                    <w:rPr>
                      <w:rFonts w:hint="eastAsia"/>
                      <w:color w:val="auto"/>
                      <w:kern w:val="0"/>
                      <w:sz w:val="21"/>
                      <w:szCs w:val="21"/>
                    </w:rPr>
                    <w:t>机械</w:t>
                  </w:r>
                  <w:r>
                    <w:rPr>
                      <w:color w:val="auto"/>
                      <w:kern w:val="0"/>
                      <w:sz w:val="21"/>
                      <w:szCs w:val="21"/>
                    </w:rPr>
                    <w:t>尺寸</w:t>
                  </w:r>
                  <w:r>
                    <w:rPr>
                      <w:rFonts w:hint="eastAsia"/>
                      <w:color w:val="auto"/>
                      <w:kern w:val="0"/>
                      <w:sz w:val="21"/>
                      <w:szCs w:val="21"/>
                    </w:rPr>
                    <w:t>（</w:t>
                  </w:r>
                  <w:r>
                    <w:rPr>
                      <w:color w:val="auto"/>
                      <w:kern w:val="0"/>
                      <w:sz w:val="21"/>
                      <w:szCs w:val="21"/>
                    </w:rPr>
                    <w:t>宽×高×厚</w:t>
                  </w:r>
                  <w:r>
                    <w:rPr>
                      <w:rFonts w:hint="eastAsia"/>
                      <w:color w:val="auto"/>
                      <w:kern w:val="0"/>
                      <w:sz w:val="21"/>
                      <w:szCs w:val="21"/>
                    </w:rPr>
                    <w:t>）</w:t>
                  </w:r>
                </w:p>
              </w:tc>
              <w:tc>
                <w:tcPr>
                  <w:tcW w:w="2907" w:type="pct"/>
                  <w:vAlign w:val="center"/>
                </w:tcPr>
                <w:p w14:paraId="21862493">
                  <w:pPr>
                    <w:widowControl/>
                    <w:spacing w:line="240" w:lineRule="auto"/>
                    <w:ind w:firstLine="0" w:firstLineChars="0"/>
                    <w:jc w:val="center"/>
                    <w:rPr>
                      <w:color w:val="auto"/>
                      <w:kern w:val="0"/>
                      <w:sz w:val="21"/>
                      <w:szCs w:val="21"/>
                    </w:rPr>
                  </w:pPr>
                  <w:r>
                    <w:rPr>
                      <w:color w:val="auto"/>
                      <w:kern w:val="0"/>
                      <w:sz w:val="21"/>
                      <w:szCs w:val="21"/>
                    </w:rPr>
                    <w:t>1136×870×361mm</w:t>
                  </w:r>
                </w:p>
              </w:tc>
            </w:tr>
            <w:tr w14:paraId="6956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59399246">
                  <w:pPr>
                    <w:widowControl/>
                    <w:spacing w:line="240" w:lineRule="auto"/>
                    <w:ind w:firstLine="0" w:firstLineChars="0"/>
                    <w:jc w:val="center"/>
                    <w:rPr>
                      <w:color w:val="auto"/>
                      <w:kern w:val="0"/>
                      <w:sz w:val="21"/>
                      <w:szCs w:val="21"/>
                    </w:rPr>
                  </w:pPr>
                  <w:r>
                    <w:rPr>
                      <w:color w:val="auto"/>
                      <w:kern w:val="0"/>
                      <w:sz w:val="21"/>
                      <w:szCs w:val="21"/>
                    </w:rPr>
                    <w:t>型号</w:t>
                  </w:r>
                </w:p>
              </w:tc>
              <w:tc>
                <w:tcPr>
                  <w:tcW w:w="2907" w:type="pct"/>
                  <w:vAlign w:val="center"/>
                </w:tcPr>
                <w:p w14:paraId="10AD7461">
                  <w:pPr>
                    <w:widowControl/>
                    <w:spacing w:line="240" w:lineRule="auto"/>
                    <w:ind w:firstLine="0" w:firstLineChars="0"/>
                    <w:jc w:val="center"/>
                    <w:rPr>
                      <w:color w:val="auto"/>
                      <w:kern w:val="0"/>
                      <w:sz w:val="21"/>
                      <w:szCs w:val="21"/>
                    </w:rPr>
                  </w:pPr>
                  <w:r>
                    <w:rPr>
                      <w:color w:val="auto"/>
                      <w:kern w:val="0"/>
                      <w:sz w:val="21"/>
                      <w:szCs w:val="21"/>
                    </w:rPr>
                    <w:t>3</w:t>
                  </w:r>
                  <w:r>
                    <w:rPr>
                      <w:rFonts w:hint="eastAsia"/>
                      <w:color w:val="auto"/>
                      <w:kern w:val="0"/>
                      <w:sz w:val="21"/>
                      <w:szCs w:val="21"/>
                    </w:rPr>
                    <w:t>2</w:t>
                  </w:r>
                  <w:r>
                    <w:rPr>
                      <w:color w:val="auto"/>
                      <w:kern w:val="0"/>
                      <w:sz w:val="21"/>
                      <w:szCs w:val="21"/>
                    </w:rPr>
                    <w:t>0kW型</w:t>
                  </w:r>
                </w:p>
              </w:tc>
            </w:tr>
            <w:tr w14:paraId="5D5A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3264572B">
                  <w:pPr>
                    <w:widowControl/>
                    <w:spacing w:line="240" w:lineRule="auto"/>
                    <w:ind w:firstLine="0" w:firstLineChars="0"/>
                    <w:jc w:val="center"/>
                    <w:rPr>
                      <w:color w:val="auto"/>
                      <w:kern w:val="0"/>
                      <w:sz w:val="21"/>
                      <w:szCs w:val="21"/>
                    </w:rPr>
                  </w:pPr>
                  <w:r>
                    <w:rPr>
                      <w:color w:val="auto"/>
                      <w:kern w:val="0"/>
                      <w:sz w:val="21"/>
                      <w:szCs w:val="21"/>
                    </w:rPr>
                    <w:t>重量</w:t>
                  </w:r>
                </w:p>
              </w:tc>
              <w:tc>
                <w:tcPr>
                  <w:tcW w:w="2907" w:type="pct"/>
                  <w:vAlign w:val="center"/>
                </w:tcPr>
                <w:p w14:paraId="4E70EDA7">
                  <w:pPr>
                    <w:widowControl/>
                    <w:spacing w:line="240" w:lineRule="auto"/>
                    <w:ind w:firstLine="0" w:firstLineChars="0"/>
                    <w:jc w:val="center"/>
                    <w:rPr>
                      <w:color w:val="auto"/>
                      <w:kern w:val="0"/>
                      <w:sz w:val="21"/>
                      <w:szCs w:val="21"/>
                    </w:rPr>
                  </w:pPr>
                  <w:r>
                    <w:rPr>
                      <w:color w:val="auto"/>
                      <w:kern w:val="0"/>
                      <w:sz w:val="21"/>
                      <w:szCs w:val="21"/>
                    </w:rPr>
                    <w:t>1</w:t>
                  </w:r>
                  <w:r>
                    <w:rPr>
                      <w:rFonts w:hint="eastAsia"/>
                      <w:color w:val="auto"/>
                      <w:kern w:val="0"/>
                      <w:sz w:val="21"/>
                      <w:szCs w:val="21"/>
                    </w:rPr>
                    <w:t>1</w:t>
                  </w:r>
                  <w:r>
                    <w:rPr>
                      <w:color w:val="auto"/>
                      <w:kern w:val="0"/>
                      <w:sz w:val="21"/>
                      <w:szCs w:val="21"/>
                    </w:rPr>
                    <w:t>6kg</w:t>
                  </w:r>
                </w:p>
              </w:tc>
            </w:tr>
            <w:tr w14:paraId="2D4A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61105306">
                  <w:pPr>
                    <w:widowControl/>
                    <w:spacing w:line="240" w:lineRule="auto"/>
                    <w:ind w:firstLine="0" w:firstLineChars="0"/>
                    <w:jc w:val="center"/>
                    <w:rPr>
                      <w:color w:val="auto"/>
                      <w:kern w:val="0"/>
                      <w:sz w:val="21"/>
                      <w:szCs w:val="21"/>
                    </w:rPr>
                  </w:pPr>
                  <w:r>
                    <w:rPr>
                      <w:color w:val="auto"/>
                      <w:kern w:val="0"/>
                      <w:sz w:val="21"/>
                      <w:szCs w:val="21"/>
                    </w:rPr>
                    <w:t>冷却方式</w:t>
                  </w:r>
                </w:p>
              </w:tc>
              <w:tc>
                <w:tcPr>
                  <w:tcW w:w="2907" w:type="pct"/>
                  <w:vAlign w:val="center"/>
                </w:tcPr>
                <w:p w14:paraId="4A4DFF5F">
                  <w:pPr>
                    <w:widowControl/>
                    <w:spacing w:line="240" w:lineRule="auto"/>
                    <w:ind w:firstLine="0" w:firstLineChars="0"/>
                    <w:jc w:val="center"/>
                    <w:rPr>
                      <w:color w:val="auto"/>
                      <w:kern w:val="0"/>
                      <w:sz w:val="21"/>
                      <w:szCs w:val="21"/>
                    </w:rPr>
                  </w:pPr>
                  <w:r>
                    <w:rPr>
                      <w:color w:val="auto"/>
                      <w:kern w:val="0"/>
                      <w:sz w:val="21"/>
                      <w:szCs w:val="21"/>
                    </w:rPr>
                    <w:t>智能风冷</w:t>
                  </w:r>
                </w:p>
              </w:tc>
            </w:tr>
            <w:tr w14:paraId="6732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93" w:type="pct"/>
                  <w:vAlign w:val="center"/>
                </w:tcPr>
                <w:p w14:paraId="25AD0F44">
                  <w:pPr>
                    <w:widowControl/>
                    <w:spacing w:line="240" w:lineRule="auto"/>
                    <w:ind w:firstLine="0" w:firstLineChars="0"/>
                    <w:jc w:val="center"/>
                    <w:rPr>
                      <w:color w:val="auto"/>
                      <w:kern w:val="0"/>
                      <w:sz w:val="21"/>
                      <w:szCs w:val="21"/>
                    </w:rPr>
                  </w:pPr>
                  <w:r>
                    <w:rPr>
                      <w:color w:val="auto"/>
                      <w:kern w:val="0"/>
                      <w:sz w:val="21"/>
                      <w:szCs w:val="21"/>
                    </w:rPr>
                    <w:t>防护等级</w:t>
                  </w:r>
                </w:p>
              </w:tc>
              <w:tc>
                <w:tcPr>
                  <w:tcW w:w="2907" w:type="pct"/>
                  <w:vAlign w:val="center"/>
                </w:tcPr>
                <w:p w14:paraId="7B2F7898">
                  <w:pPr>
                    <w:widowControl/>
                    <w:spacing w:line="240" w:lineRule="auto"/>
                    <w:ind w:firstLine="0" w:firstLineChars="0"/>
                    <w:jc w:val="center"/>
                    <w:rPr>
                      <w:color w:val="auto"/>
                      <w:kern w:val="0"/>
                      <w:sz w:val="21"/>
                      <w:szCs w:val="21"/>
                    </w:rPr>
                  </w:pPr>
                  <w:r>
                    <w:rPr>
                      <w:color w:val="auto"/>
                      <w:kern w:val="0"/>
                      <w:sz w:val="21"/>
                      <w:szCs w:val="21"/>
                    </w:rPr>
                    <w:t>IP66</w:t>
                  </w:r>
                </w:p>
              </w:tc>
            </w:tr>
          </w:tbl>
          <w:p w14:paraId="115B713B">
            <w:pPr>
              <w:ind w:firstLine="482"/>
              <w:rPr>
                <w:b/>
                <w:bCs/>
                <w:color w:val="auto"/>
                <w:szCs w:val="21"/>
              </w:rPr>
            </w:pPr>
            <w:r>
              <w:rPr>
                <w:b/>
                <w:bCs/>
                <w:color w:val="auto"/>
                <w:szCs w:val="21"/>
              </w:rPr>
              <w:t>（</w:t>
            </w:r>
            <w:r>
              <w:rPr>
                <w:rFonts w:hint="eastAsia"/>
                <w:b/>
                <w:bCs/>
                <w:color w:val="auto"/>
                <w:szCs w:val="21"/>
              </w:rPr>
              <w:t>3</w:t>
            </w:r>
            <w:r>
              <w:rPr>
                <w:b/>
                <w:bCs/>
                <w:color w:val="auto"/>
                <w:szCs w:val="21"/>
              </w:rPr>
              <w:t>）箱变选择</w:t>
            </w:r>
          </w:p>
          <w:p w14:paraId="7C1399EE">
            <w:pPr>
              <w:ind w:firstLine="480"/>
              <w:rPr>
                <w:bCs/>
                <w:color w:val="auto"/>
                <w:szCs w:val="21"/>
              </w:rPr>
            </w:pPr>
            <w:r>
              <w:rPr>
                <w:color w:val="auto"/>
                <w:szCs w:val="21"/>
              </w:rPr>
              <w:t>本项目光伏场区共装设</w:t>
            </w:r>
            <w:r>
              <w:rPr>
                <w:rFonts w:hint="eastAsia"/>
                <w:color w:val="auto"/>
                <w:szCs w:val="21"/>
              </w:rPr>
              <w:t>22</w:t>
            </w:r>
            <w:r>
              <w:rPr>
                <w:color w:val="auto"/>
                <w:szCs w:val="21"/>
              </w:rPr>
              <w:t>台华式箱变</w:t>
            </w:r>
            <w:r>
              <w:rPr>
                <w:rFonts w:hint="eastAsia"/>
                <w:color w:val="auto"/>
                <w:szCs w:val="21"/>
              </w:rPr>
              <w:t>，选用11台</w:t>
            </w:r>
            <w:r>
              <w:rPr>
                <w:color w:val="auto"/>
                <w:szCs w:val="21"/>
              </w:rPr>
              <w:t>3</w:t>
            </w:r>
            <w:r>
              <w:rPr>
                <w:rFonts w:hint="eastAsia"/>
                <w:color w:val="auto"/>
                <w:szCs w:val="21"/>
              </w:rPr>
              <w:t>2</w:t>
            </w:r>
            <w:r>
              <w:rPr>
                <w:color w:val="auto"/>
                <w:szCs w:val="21"/>
              </w:rPr>
              <w:t>00kVA</w:t>
            </w:r>
            <w:r>
              <w:rPr>
                <w:rFonts w:hint="eastAsia"/>
                <w:color w:val="auto"/>
                <w:szCs w:val="21"/>
              </w:rPr>
              <w:t>油浸式箱变、6台2600</w:t>
            </w:r>
            <w:r>
              <w:rPr>
                <w:color w:val="auto"/>
                <w:szCs w:val="21"/>
              </w:rPr>
              <w:t>kVA</w:t>
            </w:r>
            <w:r>
              <w:rPr>
                <w:rFonts w:hint="eastAsia"/>
                <w:color w:val="auto"/>
                <w:szCs w:val="21"/>
              </w:rPr>
              <w:t>油浸式箱变、5台2000</w:t>
            </w:r>
            <w:r>
              <w:rPr>
                <w:color w:val="auto"/>
                <w:szCs w:val="21"/>
              </w:rPr>
              <w:t>kVA</w:t>
            </w:r>
            <w:r>
              <w:rPr>
                <w:rFonts w:hint="eastAsia"/>
                <w:color w:val="auto"/>
                <w:szCs w:val="21"/>
              </w:rPr>
              <w:t>油浸式箱变，共安装22台。</w:t>
            </w:r>
          </w:p>
          <w:p w14:paraId="170533D4">
            <w:pPr>
              <w:adjustRightInd w:val="0"/>
              <w:snapToGrid w:val="0"/>
              <w:ind w:firstLine="482"/>
              <w:jc w:val="center"/>
              <w:rPr>
                <w:b/>
                <w:bCs/>
                <w:color w:val="auto"/>
                <w:szCs w:val="21"/>
              </w:rPr>
            </w:pPr>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2.6</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5</w:t>
            </w:r>
            <w:r>
              <w:rPr>
                <w:b/>
                <w:bCs/>
                <w:color w:val="auto"/>
                <w:szCs w:val="24"/>
              </w:rPr>
              <w:fldChar w:fldCharType="end"/>
            </w:r>
            <w:r>
              <w:rPr>
                <w:b/>
                <w:bCs/>
                <w:color w:val="auto"/>
                <w:szCs w:val="24"/>
              </w:rPr>
              <w:t xml:space="preserve">  </w:t>
            </w:r>
            <w:r>
              <w:rPr>
                <w:b/>
                <w:bCs/>
                <w:color w:val="auto"/>
                <w:szCs w:val="21"/>
              </w:rPr>
              <w:t>箱变主要技术参数表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2205"/>
              <w:gridCol w:w="3194"/>
            </w:tblGrid>
            <w:tr w14:paraId="2E82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1580" w:type="pct"/>
                  <w:vAlign w:val="center"/>
                </w:tcPr>
                <w:p w14:paraId="3DA202F0">
                  <w:pPr>
                    <w:widowControl/>
                    <w:adjustRightInd w:val="0"/>
                    <w:snapToGrid w:val="0"/>
                    <w:spacing w:line="240" w:lineRule="auto"/>
                    <w:ind w:firstLine="0" w:firstLineChars="0"/>
                    <w:jc w:val="center"/>
                    <w:rPr>
                      <w:b/>
                      <w:bCs/>
                      <w:color w:val="auto"/>
                      <w:sz w:val="21"/>
                      <w:szCs w:val="21"/>
                    </w:rPr>
                  </w:pPr>
                  <w:r>
                    <w:rPr>
                      <w:b/>
                      <w:bCs/>
                      <w:color w:val="auto"/>
                      <w:kern w:val="0"/>
                      <w:sz w:val="21"/>
                      <w:szCs w:val="21"/>
                      <w:lang w:bidi="ar"/>
                    </w:rPr>
                    <w:t>项目</w:t>
                  </w:r>
                </w:p>
              </w:tc>
              <w:tc>
                <w:tcPr>
                  <w:tcW w:w="1397" w:type="pct"/>
                  <w:vAlign w:val="center"/>
                </w:tcPr>
                <w:p w14:paraId="0B579080">
                  <w:pPr>
                    <w:widowControl/>
                    <w:adjustRightInd w:val="0"/>
                    <w:snapToGrid w:val="0"/>
                    <w:spacing w:line="240" w:lineRule="auto"/>
                    <w:ind w:firstLine="0" w:firstLineChars="0"/>
                    <w:jc w:val="center"/>
                    <w:rPr>
                      <w:b/>
                      <w:bCs/>
                      <w:color w:val="auto"/>
                      <w:sz w:val="21"/>
                      <w:szCs w:val="21"/>
                    </w:rPr>
                  </w:pPr>
                  <w:r>
                    <w:rPr>
                      <w:b/>
                      <w:bCs/>
                      <w:color w:val="auto"/>
                      <w:kern w:val="0"/>
                      <w:sz w:val="21"/>
                      <w:szCs w:val="21"/>
                      <w:lang w:bidi="ar"/>
                    </w:rPr>
                    <w:t>单位</w:t>
                  </w:r>
                </w:p>
              </w:tc>
              <w:tc>
                <w:tcPr>
                  <w:tcW w:w="2024" w:type="pct"/>
                  <w:vAlign w:val="center"/>
                </w:tcPr>
                <w:p w14:paraId="394F33C6">
                  <w:pPr>
                    <w:widowControl/>
                    <w:adjustRightInd w:val="0"/>
                    <w:snapToGrid w:val="0"/>
                    <w:spacing w:line="240" w:lineRule="auto"/>
                    <w:ind w:firstLine="0" w:firstLineChars="0"/>
                    <w:jc w:val="center"/>
                    <w:rPr>
                      <w:b/>
                      <w:bCs/>
                      <w:color w:val="auto"/>
                      <w:sz w:val="21"/>
                      <w:szCs w:val="21"/>
                    </w:rPr>
                  </w:pPr>
                  <w:r>
                    <w:rPr>
                      <w:b/>
                      <w:bCs/>
                      <w:color w:val="auto"/>
                      <w:kern w:val="0"/>
                      <w:sz w:val="21"/>
                      <w:szCs w:val="21"/>
                      <w:lang w:bidi="ar"/>
                    </w:rPr>
                    <w:t>参数</w:t>
                  </w:r>
                </w:p>
              </w:tc>
            </w:tr>
            <w:tr w14:paraId="4FE3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0" w:type="pct"/>
                  <w:vAlign w:val="center"/>
                </w:tcPr>
                <w:p w14:paraId="4F08498A">
                  <w:pPr>
                    <w:pStyle w:val="201"/>
                    <w:textAlignment w:val="center"/>
                    <w:rPr>
                      <w:color w:val="auto"/>
                      <w:sz w:val="21"/>
                      <w:szCs w:val="21"/>
                    </w:rPr>
                  </w:pPr>
                  <w:r>
                    <w:rPr>
                      <w:color w:val="auto"/>
                      <w:sz w:val="21"/>
                      <w:szCs w:val="21"/>
                    </w:rPr>
                    <w:t>额定容量</w:t>
                  </w:r>
                </w:p>
              </w:tc>
              <w:tc>
                <w:tcPr>
                  <w:tcW w:w="1397" w:type="pct"/>
                  <w:vAlign w:val="center"/>
                </w:tcPr>
                <w:p w14:paraId="0BFA0A5A">
                  <w:pPr>
                    <w:pStyle w:val="201"/>
                    <w:textAlignment w:val="center"/>
                    <w:rPr>
                      <w:color w:val="auto"/>
                      <w:sz w:val="21"/>
                      <w:szCs w:val="21"/>
                    </w:rPr>
                  </w:pPr>
                  <w:r>
                    <w:rPr>
                      <w:color w:val="auto"/>
                      <w:sz w:val="21"/>
                      <w:szCs w:val="21"/>
                    </w:rPr>
                    <w:t>kVA</w:t>
                  </w:r>
                </w:p>
              </w:tc>
              <w:tc>
                <w:tcPr>
                  <w:tcW w:w="2024" w:type="pct"/>
                  <w:vAlign w:val="center"/>
                </w:tcPr>
                <w:p w14:paraId="126BE2A9">
                  <w:pPr>
                    <w:pStyle w:val="201"/>
                    <w:textAlignment w:val="center"/>
                    <w:rPr>
                      <w:color w:val="auto"/>
                      <w:sz w:val="21"/>
                      <w:szCs w:val="21"/>
                    </w:rPr>
                  </w:pPr>
                  <w:r>
                    <w:rPr>
                      <w:color w:val="auto"/>
                      <w:sz w:val="21"/>
                      <w:szCs w:val="21"/>
                    </w:rPr>
                    <w:t>3</w:t>
                  </w:r>
                  <w:r>
                    <w:rPr>
                      <w:rFonts w:hint="eastAsia"/>
                      <w:color w:val="auto"/>
                      <w:sz w:val="21"/>
                      <w:szCs w:val="21"/>
                    </w:rPr>
                    <w:t>2</w:t>
                  </w:r>
                  <w:r>
                    <w:rPr>
                      <w:color w:val="auto"/>
                      <w:sz w:val="21"/>
                      <w:szCs w:val="21"/>
                    </w:rPr>
                    <w:t>00/</w:t>
                  </w:r>
                  <w:r>
                    <w:rPr>
                      <w:rFonts w:hint="eastAsia"/>
                      <w:color w:val="auto"/>
                      <w:sz w:val="21"/>
                      <w:szCs w:val="21"/>
                    </w:rPr>
                    <w:t>260</w:t>
                  </w:r>
                  <w:r>
                    <w:rPr>
                      <w:color w:val="auto"/>
                      <w:sz w:val="21"/>
                      <w:szCs w:val="21"/>
                    </w:rPr>
                    <w:t>0/</w:t>
                  </w:r>
                  <w:r>
                    <w:rPr>
                      <w:rFonts w:hint="eastAsia"/>
                      <w:color w:val="auto"/>
                      <w:sz w:val="21"/>
                      <w:szCs w:val="21"/>
                    </w:rPr>
                    <w:t>200</w:t>
                  </w:r>
                  <w:r>
                    <w:rPr>
                      <w:color w:val="auto"/>
                      <w:sz w:val="21"/>
                      <w:szCs w:val="21"/>
                    </w:rPr>
                    <w:t>0</w:t>
                  </w:r>
                </w:p>
              </w:tc>
            </w:tr>
            <w:tr w14:paraId="574F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0" w:type="pct"/>
                  <w:vAlign w:val="center"/>
                </w:tcPr>
                <w:p w14:paraId="55FE0D5E">
                  <w:pPr>
                    <w:pStyle w:val="201"/>
                    <w:textAlignment w:val="center"/>
                    <w:rPr>
                      <w:color w:val="auto"/>
                      <w:sz w:val="21"/>
                      <w:szCs w:val="21"/>
                    </w:rPr>
                  </w:pPr>
                  <w:r>
                    <w:rPr>
                      <w:color w:val="auto"/>
                      <w:sz w:val="21"/>
                      <w:szCs w:val="21"/>
                    </w:rPr>
                    <w:t>额定电压</w:t>
                  </w:r>
                </w:p>
              </w:tc>
              <w:tc>
                <w:tcPr>
                  <w:tcW w:w="1397" w:type="pct"/>
                  <w:vAlign w:val="center"/>
                </w:tcPr>
                <w:p w14:paraId="0E53A312">
                  <w:pPr>
                    <w:pStyle w:val="201"/>
                    <w:textAlignment w:val="center"/>
                    <w:rPr>
                      <w:color w:val="auto"/>
                      <w:sz w:val="21"/>
                      <w:szCs w:val="21"/>
                    </w:rPr>
                  </w:pPr>
                  <w:r>
                    <w:rPr>
                      <w:color w:val="auto"/>
                      <w:sz w:val="21"/>
                      <w:szCs w:val="21"/>
                    </w:rPr>
                    <w:t>kV</w:t>
                  </w:r>
                </w:p>
              </w:tc>
              <w:tc>
                <w:tcPr>
                  <w:tcW w:w="2024" w:type="pct"/>
                  <w:vAlign w:val="center"/>
                </w:tcPr>
                <w:p w14:paraId="39A3ADCD">
                  <w:pPr>
                    <w:pStyle w:val="201"/>
                    <w:textAlignment w:val="center"/>
                    <w:rPr>
                      <w:color w:val="auto"/>
                      <w:sz w:val="21"/>
                      <w:szCs w:val="21"/>
                    </w:rPr>
                  </w:pPr>
                  <w:r>
                    <w:rPr>
                      <w:color w:val="auto"/>
                      <w:sz w:val="21"/>
                      <w:szCs w:val="21"/>
                    </w:rPr>
                    <w:t>37</w:t>
                  </w:r>
                  <w:r>
                    <w:rPr>
                      <w:rFonts w:hint="eastAsia"/>
                      <w:color w:val="auto"/>
                      <w:sz w:val="21"/>
                      <w:szCs w:val="21"/>
                    </w:rPr>
                    <w:t>±</w:t>
                  </w:r>
                  <w:r>
                    <w:rPr>
                      <w:color w:val="auto"/>
                      <w:sz w:val="21"/>
                      <w:szCs w:val="21"/>
                    </w:rPr>
                    <w:t>2</w:t>
                  </w:r>
                  <w:r>
                    <w:rPr>
                      <w:rFonts w:hint="eastAsia"/>
                      <w:color w:val="auto"/>
                      <w:sz w:val="21"/>
                      <w:szCs w:val="21"/>
                    </w:rPr>
                    <w:t>×</w:t>
                  </w:r>
                  <w:r>
                    <w:rPr>
                      <w:color w:val="auto"/>
                      <w:sz w:val="21"/>
                      <w:szCs w:val="21"/>
                    </w:rPr>
                    <w:t>2.5%/0.8</w:t>
                  </w:r>
                </w:p>
              </w:tc>
            </w:tr>
            <w:tr w14:paraId="7755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0" w:type="pct"/>
                  <w:vAlign w:val="center"/>
                </w:tcPr>
                <w:p w14:paraId="19CF7087">
                  <w:pPr>
                    <w:pStyle w:val="201"/>
                    <w:textAlignment w:val="center"/>
                    <w:rPr>
                      <w:color w:val="auto"/>
                      <w:sz w:val="21"/>
                      <w:szCs w:val="21"/>
                    </w:rPr>
                  </w:pPr>
                  <w:r>
                    <w:rPr>
                      <w:color w:val="auto"/>
                      <w:sz w:val="21"/>
                      <w:szCs w:val="21"/>
                    </w:rPr>
                    <w:t>额定频率</w:t>
                  </w:r>
                </w:p>
              </w:tc>
              <w:tc>
                <w:tcPr>
                  <w:tcW w:w="1397" w:type="pct"/>
                  <w:vAlign w:val="center"/>
                </w:tcPr>
                <w:p w14:paraId="461C9A19">
                  <w:pPr>
                    <w:pStyle w:val="201"/>
                    <w:textAlignment w:val="center"/>
                    <w:rPr>
                      <w:color w:val="auto"/>
                      <w:sz w:val="21"/>
                      <w:szCs w:val="21"/>
                    </w:rPr>
                  </w:pPr>
                  <w:r>
                    <w:rPr>
                      <w:color w:val="auto"/>
                      <w:sz w:val="21"/>
                      <w:szCs w:val="21"/>
                    </w:rPr>
                    <w:t>Hz</w:t>
                  </w:r>
                </w:p>
              </w:tc>
              <w:tc>
                <w:tcPr>
                  <w:tcW w:w="2024" w:type="pct"/>
                  <w:vAlign w:val="center"/>
                </w:tcPr>
                <w:p w14:paraId="52508D9E">
                  <w:pPr>
                    <w:pStyle w:val="201"/>
                    <w:textAlignment w:val="center"/>
                    <w:rPr>
                      <w:color w:val="auto"/>
                      <w:sz w:val="21"/>
                      <w:szCs w:val="21"/>
                    </w:rPr>
                  </w:pPr>
                  <w:r>
                    <w:rPr>
                      <w:color w:val="auto"/>
                      <w:sz w:val="21"/>
                      <w:szCs w:val="21"/>
                    </w:rPr>
                    <w:t>50</w:t>
                  </w:r>
                </w:p>
              </w:tc>
            </w:tr>
            <w:tr w14:paraId="2D01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0" w:type="pct"/>
                  <w:vAlign w:val="center"/>
                </w:tcPr>
                <w:p w14:paraId="319CC03C">
                  <w:pPr>
                    <w:pStyle w:val="201"/>
                    <w:textAlignment w:val="center"/>
                    <w:rPr>
                      <w:color w:val="auto"/>
                      <w:sz w:val="21"/>
                      <w:szCs w:val="21"/>
                    </w:rPr>
                  </w:pPr>
                  <w:r>
                    <w:rPr>
                      <w:color w:val="auto"/>
                      <w:sz w:val="21"/>
                      <w:szCs w:val="21"/>
                    </w:rPr>
                    <w:t>数量</w:t>
                  </w:r>
                </w:p>
              </w:tc>
              <w:tc>
                <w:tcPr>
                  <w:tcW w:w="1397" w:type="pct"/>
                  <w:vAlign w:val="center"/>
                </w:tcPr>
                <w:p w14:paraId="65879995">
                  <w:pPr>
                    <w:pStyle w:val="201"/>
                    <w:textAlignment w:val="center"/>
                    <w:rPr>
                      <w:color w:val="auto"/>
                      <w:sz w:val="21"/>
                      <w:szCs w:val="21"/>
                    </w:rPr>
                  </w:pPr>
                  <w:r>
                    <w:rPr>
                      <w:color w:val="auto"/>
                      <w:sz w:val="21"/>
                      <w:szCs w:val="21"/>
                    </w:rPr>
                    <w:t>台</w:t>
                  </w:r>
                </w:p>
              </w:tc>
              <w:tc>
                <w:tcPr>
                  <w:tcW w:w="2024" w:type="pct"/>
                  <w:vAlign w:val="center"/>
                </w:tcPr>
                <w:p w14:paraId="1E1BD687">
                  <w:pPr>
                    <w:pStyle w:val="201"/>
                    <w:textAlignment w:val="center"/>
                    <w:rPr>
                      <w:color w:val="auto"/>
                      <w:sz w:val="21"/>
                      <w:szCs w:val="21"/>
                    </w:rPr>
                  </w:pPr>
                  <w:r>
                    <w:rPr>
                      <w:rFonts w:hint="eastAsia"/>
                      <w:color w:val="auto"/>
                      <w:sz w:val="21"/>
                      <w:szCs w:val="21"/>
                    </w:rPr>
                    <w:t>11/6/5</w:t>
                  </w:r>
                </w:p>
              </w:tc>
            </w:tr>
          </w:tbl>
          <w:p w14:paraId="3563AF0E">
            <w:pPr>
              <w:ind w:firstLine="482"/>
              <w:rPr>
                <w:b/>
                <w:bCs/>
                <w:color w:val="auto"/>
                <w:szCs w:val="21"/>
              </w:rPr>
            </w:pPr>
            <w:r>
              <w:rPr>
                <w:b/>
                <w:bCs/>
                <w:color w:val="auto"/>
                <w:szCs w:val="21"/>
              </w:rPr>
              <w:t>（</w:t>
            </w:r>
            <w:r>
              <w:rPr>
                <w:rFonts w:hint="eastAsia"/>
                <w:b/>
                <w:bCs/>
                <w:color w:val="auto"/>
                <w:szCs w:val="21"/>
              </w:rPr>
              <w:t>4</w:t>
            </w:r>
            <w:r>
              <w:rPr>
                <w:b/>
                <w:bCs/>
                <w:color w:val="auto"/>
                <w:szCs w:val="21"/>
              </w:rPr>
              <w:t>）光伏方阵</w:t>
            </w:r>
          </w:p>
          <w:p w14:paraId="4C3F8F5E">
            <w:pPr>
              <w:ind w:firstLine="482"/>
              <w:rPr>
                <w:b/>
                <w:color w:val="auto"/>
                <w:szCs w:val="21"/>
              </w:rPr>
            </w:pPr>
            <w:r>
              <w:rPr>
                <w:b/>
                <w:color w:val="auto"/>
                <w:szCs w:val="21"/>
              </w:rPr>
              <w:t>1）光伏</w:t>
            </w:r>
            <w:r>
              <w:rPr>
                <w:rFonts w:hint="eastAsia"/>
                <w:b/>
                <w:color w:val="auto"/>
                <w:szCs w:val="21"/>
              </w:rPr>
              <w:t>子</w:t>
            </w:r>
            <w:r>
              <w:rPr>
                <w:b/>
                <w:color w:val="auto"/>
                <w:szCs w:val="21"/>
              </w:rPr>
              <w:t>方阵方案</w:t>
            </w:r>
          </w:p>
          <w:p w14:paraId="3D6BD67A">
            <w:pPr>
              <w:ind w:firstLine="480"/>
              <w:rPr>
                <w:color w:val="auto"/>
                <w:szCs w:val="21"/>
              </w:rPr>
            </w:pPr>
            <w:r>
              <w:rPr>
                <w:rFonts w:hint="eastAsia"/>
                <w:color w:val="auto"/>
                <w:szCs w:val="21"/>
              </w:rPr>
              <w:t>本项目采用710Wp异质结光伏组件进行开发，每个固定式支架布置2排、每排布置14块共28块光伏组件串联后形成1个组串，以1×28块光伏组件构成1个光伏支架。逆变器采用320kW组串式逆变器，每台逆变器有6个独立的MPPT跟踪器，每个跟踪器接入3/4个光伏组串，共接入19/20路组串。场址区地形复杂，敏感因素分布较多，根据光伏组件布置情况，本光伏电站共有3种光伏方阵：3200kW方阵配置3200kVA的箱变，有阵列11个；2560kW方阵配置2600kVA的箱变，有阵列6个；19200kW方阵配置2000kVA的箱变，有阵列5个。项目共有光伏阵列22个，共有组串3730串，安装光伏组件</w:t>
            </w:r>
            <w:r>
              <w:rPr>
                <w:color w:val="auto"/>
                <w:szCs w:val="21"/>
              </w:rPr>
              <w:t>104440</w:t>
            </w:r>
            <w:r>
              <w:rPr>
                <w:rFonts w:hint="eastAsia"/>
                <w:color w:val="auto"/>
                <w:szCs w:val="21"/>
              </w:rPr>
              <w:t>块，安装容量</w:t>
            </w:r>
            <w:r>
              <w:rPr>
                <w:color w:val="auto"/>
                <w:szCs w:val="21"/>
              </w:rPr>
              <w:t>74.1524</w:t>
            </w:r>
            <w:r>
              <w:rPr>
                <w:rFonts w:hint="eastAsia"/>
                <w:color w:val="auto"/>
                <w:szCs w:val="21"/>
              </w:rPr>
              <w:t xml:space="preserve"> MWp，标称额定容量60MW，容配比为1.231。光伏组件最低沿应高于地面2.5m、桩基间列间距大于4m、行间距应大于6.5m建设。</w:t>
            </w:r>
          </w:p>
          <w:p w14:paraId="6D0FCB2D">
            <w:pPr>
              <w:ind w:firstLine="480"/>
              <w:rPr>
                <w:color w:val="auto"/>
                <w:szCs w:val="21"/>
              </w:rPr>
            </w:pPr>
            <w:r>
              <w:rPr>
                <w:rFonts w:hint="eastAsia"/>
                <w:color w:val="auto"/>
                <w:szCs w:val="21"/>
              </w:rPr>
              <w:t>光伏阵列结合用地范围和地形情况，尽量避免子方阵的长宽度差异太大，以达到用地较优、日常巡查线路较短的最佳布置方案，整个布置避让了生态保护红线、基本农田、公益林、林地等敏感因素。</w:t>
            </w:r>
          </w:p>
          <w:p w14:paraId="11F27AC8">
            <w:pPr>
              <w:ind w:firstLine="480"/>
              <w:rPr>
                <w:color w:val="auto"/>
              </w:rPr>
            </w:pPr>
            <w:r>
              <w:rPr>
                <w:rFonts w:hint="eastAsia"/>
                <w:color w:val="auto"/>
              </w:rPr>
              <w:t>本工程主要利用各片区南向坡地，总体地形均较平缓，局部地形坡度较陡，地形坡度在15°～45°之间，场址区主要地类为园地（茶园），场址周边无高大山体遮挡，有布置光伏阵列的地形地貌条件。</w:t>
            </w:r>
          </w:p>
          <w:p w14:paraId="1E5D00D5">
            <w:pPr>
              <w:ind w:firstLine="482"/>
              <w:rPr>
                <w:b/>
                <w:color w:val="auto"/>
                <w:szCs w:val="21"/>
              </w:rPr>
            </w:pPr>
            <w:r>
              <w:rPr>
                <w:b/>
                <w:color w:val="auto"/>
                <w:szCs w:val="21"/>
              </w:rPr>
              <w:t>2）光伏</w:t>
            </w:r>
            <w:r>
              <w:rPr>
                <w:rFonts w:hint="eastAsia"/>
                <w:b/>
                <w:color w:val="auto"/>
                <w:szCs w:val="21"/>
              </w:rPr>
              <w:t>组件排列</w:t>
            </w:r>
          </w:p>
          <w:p w14:paraId="70F5AB5D">
            <w:pPr>
              <w:ind w:firstLine="480"/>
              <w:rPr>
                <w:rFonts w:cs="Times New Roman"/>
                <w:color w:val="auto"/>
                <w:szCs w:val="21"/>
              </w:rPr>
            </w:pPr>
            <w:r>
              <w:rPr>
                <w:rFonts w:hint="eastAsia" w:cs="Times New Roman"/>
                <w:color w:val="auto"/>
                <w:szCs w:val="21"/>
              </w:rPr>
              <w:t>光伏支架采用单桩支架结构，主要由斜梁、横梁、前斜撑、后斜撑、钢柱、抱箍和单桩基础等关键构件组成。单桩光伏支撑结构采用2个斜支撑支起斜梁、横梁，从而托起光伏电池板，钢斜撑与钢柱之间连接通过抱箍实现，具有简洁、高效的特点。支架檩条间采用拉条+钢管连接，斜梁之间采用斜拉杆连接，光伏组件与横梁采用不锈钢螺栓连接，每块光伏板用4个螺栓固定在横梁上，螺栓采用防松螺母，螺栓与组件边框连接采用大垫片。横梁与斜梁通过螺栓连接。</w:t>
            </w:r>
          </w:p>
          <w:p w14:paraId="1BBC13A3">
            <w:pPr>
              <w:ind w:firstLine="480"/>
              <w:rPr>
                <w:rFonts w:cs="Times New Roman"/>
                <w:color w:val="auto"/>
                <w:szCs w:val="21"/>
              </w:rPr>
            </w:pPr>
            <w:r>
              <w:rPr>
                <w:rFonts w:hint="eastAsia" w:cs="Times New Roman"/>
                <w:color w:val="auto"/>
                <w:szCs w:val="21"/>
              </w:rPr>
              <w:t>结合复杂多变的山地地形和电气接线需要，本项目每个太阳电池组串支架的纵向为2排、每排14块组件，即：每个单支架上安装28块电池组件，满足1个组串。</w:t>
            </w:r>
          </w:p>
          <w:p w14:paraId="194A09A4">
            <w:pPr>
              <w:pStyle w:val="65"/>
              <w:rPr>
                <w:color w:val="auto"/>
              </w:rPr>
            </w:pPr>
            <w:r>
              <w:rPr>
                <w:color w:val="auto"/>
              </w:rPr>
              <w:drawing>
                <wp:inline distT="0" distB="0" distL="0" distR="0">
                  <wp:extent cx="4747260" cy="1579880"/>
                  <wp:effectExtent l="0" t="0" r="15240" b="1270"/>
                  <wp:docPr id="133216499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64993" name="图片 21"/>
                          <pic:cNvPicPr>
                            <a:picLocks noChangeAspect="1" noChangeArrowheads="1"/>
                          </pic:cNvPicPr>
                        </pic:nvPicPr>
                        <pic:blipFill>
                          <a:blip r:embed="rId37"/>
                          <a:srcRect/>
                          <a:stretch>
                            <a:fillRect/>
                          </a:stretch>
                        </pic:blipFill>
                        <pic:spPr>
                          <a:xfrm>
                            <a:off x="0" y="0"/>
                            <a:ext cx="4747260" cy="1579880"/>
                          </a:xfrm>
                          <a:prstGeom prst="rect">
                            <a:avLst/>
                          </a:prstGeom>
                          <a:noFill/>
                          <a:ln>
                            <a:noFill/>
                          </a:ln>
                        </pic:spPr>
                      </pic:pic>
                    </a:graphicData>
                  </a:graphic>
                </wp:inline>
              </w:drawing>
            </w:r>
          </w:p>
          <w:p w14:paraId="48609F9C">
            <w:pPr>
              <w:pStyle w:val="65"/>
              <w:rPr>
                <w:color w:val="auto"/>
              </w:rPr>
            </w:pPr>
          </w:p>
          <w:p w14:paraId="3DD80501">
            <w:pPr>
              <w:pStyle w:val="163"/>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固定支架</w:t>
            </w:r>
            <w:r>
              <w:rPr>
                <w:bCs/>
                <w:color w:val="auto"/>
              </w:rPr>
              <w:t>安装运行方式</w:t>
            </w:r>
          </w:p>
          <w:p w14:paraId="2344CF55">
            <w:pPr>
              <w:pStyle w:val="65"/>
              <w:rPr>
                <w:color w:val="auto"/>
              </w:rPr>
            </w:pPr>
          </w:p>
          <w:p w14:paraId="21D2ACCC">
            <w:pPr>
              <w:pStyle w:val="65"/>
              <w:rPr>
                <w:rFonts w:cs="Times New Roman"/>
                <w:color w:val="auto"/>
                <w:szCs w:val="21"/>
              </w:rPr>
            </w:pPr>
            <w:r>
              <w:rPr>
                <w:color w:val="auto"/>
              </w:rPr>
              <w:drawing>
                <wp:inline distT="0" distB="0" distL="0" distR="0">
                  <wp:extent cx="4918710" cy="1703705"/>
                  <wp:effectExtent l="0" t="0" r="15240" b="10795"/>
                  <wp:docPr id="1929407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07962" name="图片 1"/>
                          <pic:cNvPicPr>
                            <a:picLocks noChangeAspect="1"/>
                          </pic:cNvPicPr>
                        </pic:nvPicPr>
                        <pic:blipFill>
                          <a:blip r:embed="rId38"/>
                          <a:stretch>
                            <a:fillRect/>
                          </a:stretch>
                        </pic:blipFill>
                        <pic:spPr>
                          <a:xfrm>
                            <a:off x="0" y="0"/>
                            <a:ext cx="4948102" cy="1703705"/>
                          </a:xfrm>
                          <a:prstGeom prst="rect">
                            <a:avLst/>
                          </a:prstGeom>
                        </pic:spPr>
                      </pic:pic>
                    </a:graphicData>
                  </a:graphic>
                </wp:inline>
              </w:drawing>
            </w:r>
          </w:p>
          <w:p w14:paraId="2A3BDB70">
            <w:pPr>
              <w:pStyle w:val="63"/>
              <w:ind w:firstLine="480"/>
              <w:rPr>
                <w:color w:val="auto"/>
                <w:kern w:val="0"/>
                <w:szCs w:val="21"/>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2</w:t>
            </w:r>
            <w:r>
              <w:rPr>
                <w:color w:val="auto"/>
              </w:rPr>
              <w:fldChar w:fldCharType="end"/>
            </w:r>
            <w:r>
              <w:rPr>
                <w:color w:val="auto"/>
              </w:rPr>
              <w:t xml:space="preserve">  </w:t>
            </w:r>
            <w:r>
              <w:rPr>
                <w:rFonts w:hint="eastAsia"/>
                <w:color w:val="auto"/>
                <w:kern w:val="0"/>
                <w:szCs w:val="21"/>
              </w:rPr>
              <w:t>2×14阵列光伏支架平面布置图</w:t>
            </w:r>
          </w:p>
          <w:p w14:paraId="555E1C8C">
            <w:pPr>
              <w:ind w:firstLine="482"/>
              <w:rPr>
                <w:b/>
                <w:color w:val="auto"/>
                <w:szCs w:val="21"/>
              </w:rPr>
            </w:pPr>
            <w:r>
              <w:rPr>
                <w:b/>
                <w:color w:val="auto"/>
                <w:szCs w:val="21"/>
              </w:rPr>
              <w:t>3）方阵接线方案</w:t>
            </w:r>
          </w:p>
          <w:p w14:paraId="1679FDEE">
            <w:pPr>
              <w:ind w:firstLine="480"/>
              <w:rPr>
                <w:color w:val="auto"/>
              </w:rPr>
            </w:pPr>
            <w:r>
              <w:rPr>
                <w:rFonts w:hint="eastAsia"/>
                <w:color w:val="auto"/>
              </w:rPr>
              <w:t>3200kW方阵配置10台320kW组串式逆变器，每台逆变器接入20路并联光伏组串，2560kW方阵配置8台320kW组串式逆变器，每台逆变器接入20路并联光伏组串，1920kW方阵配置6台320kW组串式逆变器，每台逆变器接入19路并联光伏组串，每6/8/10台逆变器接入箱式变压器的低压侧母线排。这种接线方式压降较小，光伏组串到逆变器之间的直流电缆和逆变器到35kV箱变的交流电缆平均压降小于2%，系统总效率高。</w:t>
            </w:r>
          </w:p>
          <w:p w14:paraId="610F497C">
            <w:pPr>
              <w:ind w:firstLine="480"/>
              <w:rPr>
                <w:color w:val="auto"/>
                <w:szCs w:val="21"/>
              </w:rPr>
            </w:pPr>
            <w:r>
              <w:rPr>
                <w:rFonts w:hint="eastAsia"/>
                <w:color w:val="auto"/>
                <w:szCs w:val="21"/>
              </w:rPr>
              <w:t>逆变器输入最高直流电压为1500V，采用1kV阻燃铠装交联聚乙烯绝缘护套电力电缆连接。根据光伏方阵至组串逆变器的距离及每一路输出电流大小，使最远处光伏组件电压降控制在2%左右，从而可以确定各光伏支架至组串式逆变器的直流电缆型号与规格，采用H1Z2Z2-K-1×4mm</w:t>
            </w:r>
            <w:r>
              <w:rPr>
                <w:rFonts w:hint="eastAsia"/>
                <w:color w:val="auto"/>
                <w:szCs w:val="21"/>
                <w:vertAlign w:val="superscript"/>
              </w:rPr>
              <w:t>2</w:t>
            </w:r>
            <w:r>
              <w:rPr>
                <w:rFonts w:hint="eastAsia"/>
                <w:color w:val="auto"/>
                <w:szCs w:val="21"/>
              </w:rPr>
              <w:t>，DC1500V规格。</w:t>
            </w:r>
          </w:p>
          <w:p w14:paraId="2282F277">
            <w:pPr>
              <w:ind w:firstLine="480"/>
              <w:rPr>
                <w:color w:val="auto"/>
                <w:szCs w:val="21"/>
              </w:rPr>
            </w:pPr>
            <w:r>
              <w:rPr>
                <w:rFonts w:hint="eastAsia"/>
                <w:color w:val="auto"/>
                <w:szCs w:val="21"/>
              </w:rPr>
              <w:t>逆变器输出交流电压为0.8kV，考虑到逆变器需要具有防PID衰减的功能，因此采用3kV阻燃铠装交联聚乙烯绝缘护套电力电缆连接至箱变低压侧，经计算，采用ZR-YJHLV22-1.8/3kV-3×240电缆连接。</w:t>
            </w:r>
          </w:p>
          <w:p w14:paraId="149C7F99">
            <w:pPr>
              <w:ind w:firstLine="480"/>
              <w:rPr>
                <w:color w:val="auto"/>
                <w:szCs w:val="21"/>
              </w:rPr>
            </w:pPr>
            <w:r>
              <w:rPr>
                <w:rFonts w:hint="eastAsia"/>
                <w:color w:val="auto"/>
                <w:szCs w:val="21"/>
              </w:rPr>
              <w:t>35kV集电线路箱变的接线情况采用ZR-YJLV22-26/35-3×95mm</w:t>
            </w:r>
            <w:r>
              <w:rPr>
                <w:rFonts w:hint="eastAsia"/>
                <w:color w:val="auto"/>
                <w:szCs w:val="21"/>
                <w:vertAlign w:val="superscript"/>
              </w:rPr>
              <w:t>2</w:t>
            </w:r>
            <w:r>
              <w:rPr>
                <w:rFonts w:hint="eastAsia"/>
                <w:color w:val="auto"/>
                <w:szCs w:val="21"/>
              </w:rPr>
              <w:t>、ZR-YJLV22-26/35-3×185mm</w:t>
            </w:r>
            <w:r>
              <w:rPr>
                <w:rFonts w:hint="eastAsia"/>
                <w:color w:val="auto"/>
                <w:szCs w:val="21"/>
                <w:vertAlign w:val="superscript"/>
              </w:rPr>
              <w:t>2</w:t>
            </w:r>
            <w:r>
              <w:rPr>
                <w:rFonts w:hint="eastAsia"/>
                <w:color w:val="auto"/>
                <w:szCs w:val="21"/>
              </w:rPr>
              <w:t>、ZR-YJLV22-26/35-3×240mm</w:t>
            </w:r>
            <w:r>
              <w:rPr>
                <w:rFonts w:hint="eastAsia"/>
                <w:color w:val="auto"/>
                <w:szCs w:val="21"/>
                <w:vertAlign w:val="superscript"/>
              </w:rPr>
              <w:t xml:space="preserve">2 </w:t>
            </w:r>
            <w:r>
              <w:rPr>
                <w:rFonts w:hint="eastAsia"/>
                <w:color w:val="auto"/>
                <w:szCs w:val="21"/>
              </w:rPr>
              <w:t>铝芯电力电缆进行连接，进站电缆采用ZR-YJV22-26/35-3×400mm</w:t>
            </w:r>
            <w:r>
              <w:rPr>
                <w:rFonts w:hint="eastAsia"/>
                <w:color w:val="auto"/>
                <w:szCs w:val="21"/>
                <w:vertAlign w:val="superscript"/>
              </w:rPr>
              <w:t>2</w:t>
            </w:r>
            <w:r>
              <w:rPr>
                <w:rFonts w:hint="eastAsia"/>
                <w:color w:val="auto"/>
                <w:szCs w:val="21"/>
              </w:rPr>
              <w:t>铜芯电力电缆。</w:t>
            </w:r>
          </w:p>
          <w:p w14:paraId="52D7C52E">
            <w:pPr>
              <w:ind w:firstLine="482"/>
              <w:rPr>
                <w:b/>
                <w:color w:val="auto"/>
                <w:szCs w:val="21"/>
              </w:rPr>
            </w:pPr>
            <w:r>
              <w:rPr>
                <w:b/>
                <w:color w:val="auto"/>
                <w:szCs w:val="21"/>
              </w:rPr>
              <w:t>4）光伏发电量测算</w:t>
            </w:r>
          </w:p>
          <w:p w14:paraId="3AB4632F">
            <w:pPr>
              <w:ind w:firstLine="480"/>
              <w:rPr>
                <w:color w:val="auto"/>
                <w:szCs w:val="21"/>
              </w:rPr>
            </w:pPr>
            <w:r>
              <w:rPr>
                <w:rFonts w:hint="eastAsia"/>
                <w:color w:val="auto"/>
                <w:szCs w:val="21"/>
                <w:lang w:bidi="zh-CN"/>
              </w:rPr>
              <w:t>经采用分析，本工程安装容量</w:t>
            </w:r>
            <w:r>
              <w:rPr>
                <w:color w:val="auto"/>
                <w:szCs w:val="21"/>
                <w:lang w:bidi="zh-CN"/>
              </w:rPr>
              <w:t>74.1524</w:t>
            </w:r>
            <w:r>
              <w:rPr>
                <w:rFonts w:hint="eastAsia"/>
                <w:color w:val="auto"/>
                <w:szCs w:val="21"/>
                <w:lang w:bidi="zh-CN"/>
              </w:rPr>
              <w:t>MWp，光伏发电系统不考虑组件老化衰减理论上网电量为11199.13万kW·h，理论年等效利用小时数为1515.98hr</w:t>
            </w:r>
            <w:r>
              <w:rPr>
                <w:rFonts w:hint="eastAsia"/>
                <w:color w:val="auto"/>
                <w:szCs w:val="21"/>
              </w:rPr>
              <w:t>。</w:t>
            </w:r>
          </w:p>
          <w:p w14:paraId="354DC403">
            <w:pPr>
              <w:pStyle w:val="5"/>
              <w:rPr>
                <w:color w:val="auto"/>
              </w:rPr>
            </w:pPr>
            <w:r>
              <w:rPr>
                <w:color w:val="auto"/>
              </w:rPr>
              <w:t>光伏支架基础</w:t>
            </w:r>
          </w:p>
          <w:p w14:paraId="03657AF0">
            <w:pPr>
              <w:ind w:firstLine="480"/>
              <w:rPr>
                <w:color w:val="auto"/>
                <w:szCs w:val="21"/>
              </w:rPr>
            </w:pPr>
            <w:r>
              <w:rPr>
                <w:rFonts w:hint="eastAsia"/>
                <w:color w:val="auto"/>
                <w:szCs w:val="21"/>
              </w:rPr>
              <w:t>光伏支架基础采用钻孔钢管灌注桩基础，根据现场实际情况，采用钻孔机械成孔施工，灌注桩采用现场浇筑的C30钢筋混凝土，桩径300mm，孔深2.2m。每个光伏支架采用5根桩，初拟桩长为2.7m，桩顶高出地面0.50m。光伏支架立柱与钻孔灌注桩基础采用地脚螺栓连接，基础混凝土应振捣密实及光滑平整，确保立柱与基础可靠连接</w:t>
            </w:r>
            <w:r>
              <w:rPr>
                <w:color w:val="auto"/>
                <w:szCs w:val="21"/>
              </w:rPr>
              <w:t>。</w:t>
            </w:r>
          </w:p>
          <w:p w14:paraId="672A067A">
            <w:pPr>
              <w:pStyle w:val="5"/>
              <w:rPr>
                <w:color w:val="auto"/>
              </w:rPr>
            </w:pPr>
            <w:r>
              <w:rPr>
                <w:color w:val="auto"/>
              </w:rPr>
              <w:t>光伏支架防腐</w:t>
            </w:r>
          </w:p>
          <w:p w14:paraId="5247667D">
            <w:pPr>
              <w:ind w:firstLine="480"/>
              <w:rPr>
                <w:rFonts w:cs="Times New Roman"/>
                <w:color w:val="auto"/>
              </w:rPr>
            </w:pPr>
            <w:r>
              <w:rPr>
                <w:rFonts w:hint="eastAsia" w:cs="Times New Roman"/>
                <w:color w:val="auto"/>
              </w:rPr>
              <w:t>钢构件采用金属保护层的防腐方式。钢结构支架、钢管桩上部、连接板及拉条均采用热浸镀锌涂层或镀镁铝锌防腐，热浸镀锌须满足《金属覆盖层钢铁制件热浸镀锌层技术要求及实验方法》（GB/T13912-2002）的相关要求，镀锌层厚度平均不小于65μm。镀镁铝锌防腐涂层平均厚度满足双面275g/m</w:t>
            </w:r>
            <w:r>
              <w:rPr>
                <w:rFonts w:hint="eastAsia" w:cs="Times New Roman"/>
                <w:color w:val="auto"/>
                <w:vertAlign w:val="superscript"/>
              </w:rPr>
              <w:t>2</w:t>
            </w:r>
            <w:r>
              <w:rPr>
                <w:rFonts w:hint="eastAsia" w:cs="Times New Roman"/>
                <w:color w:val="auto"/>
              </w:rPr>
              <w:t>。防腐前需对钢结构除锈处理，除锈等级应达到Sa2.5的质量要求</w:t>
            </w:r>
            <w:r>
              <w:rPr>
                <w:rFonts w:cs="Times New Roman"/>
                <w:color w:val="auto"/>
              </w:rPr>
              <w:t>。</w:t>
            </w:r>
          </w:p>
          <w:p w14:paraId="1833A008">
            <w:pPr>
              <w:pStyle w:val="5"/>
              <w:rPr>
                <w:color w:val="auto"/>
              </w:rPr>
            </w:pPr>
            <w:r>
              <w:rPr>
                <w:rFonts w:hint="eastAsia"/>
                <w:color w:val="auto"/>
              </w:rPr>
              <w:t>组件清洗</w:t>
            </w:r>
          </w:p>
          <w:p w14:paraId="1BA77C22">
            <w:pPr>
              <w:ind w:firstLine="480"/>
              <w:rPr>
                <w:color w:val="auto"/>
              </w:rPr>
            </w:pPr>
            <w:r>
              <w:rPr>
                <w:rFonts w:hint="eastAsia"/>
                <w:color w:val="auto"/>
              </w:rPr>
              <w:t>光伏组件采用移动式水车进行清洗，移动水车抽水后移动至光伏场区各点，太阳电池组件周围环境所产生的灰尘及杂物随着空气的流动，会附着在电池组件的表面，影响其光电的转换效率，降低其使用性能。如果树叶和鸟粪等粘在其表面还会引起太阳电池局部发热而烧坏太阳电池组件。据相关文献，此因素会对光伏组件的输出功率产生约7%的影响。因此，需对太阳能电池组件表面进行定期清洁。</w:t>
            </w:r>
          </w:p>
          <w:p w14:paraId="7CD230D2">
            <w:pPr>
              <w:ind w:firstLine="480"/>
              <w:rPr>
                <w:color w:val="auto"/>
              </w:rPr>
            </w:pPr>
            <w:r>
              <w:rPr>
                <w:rFonts w:hint="eastAsia"/>
                <w:color w:val="auto"/>
              </w:rPr>
              <w:t>太阳能电池表面是高强度钢化玻璃，易于清洁。在每年雨季的时候，降雨冲刷太阳能电池组件表面达到自然清洁的目的。在旱季的时候，为保证太阳能电池组件的正常工作，可通过人工擦拭，减少灰尘、杂物对太阳电池组件发电的影响。根据实际情况，每年在旱季需要清洁一次，考虑采用雨水自洁加人工辅助方式，人工辅助主要用湿布擦拭或者玻璃刮刀进行清洁，且不使用清洁液</w:t>
            </w:r>
            <w:r>
              <w:rPr>
                <w:color w:val="auto"/>
              </w:rPr>
              <w:t>。</w:t>
            </w:r>
          </w:p>
          <w:p w14:paraId="26A7F322">
            <w:pPr>
              <w:pStyle w:val="5"/>
              <w:rPr>
                <w:color w:val="auto"/>
              </w:rPr>
            </w:pPr>
            <w:r>
              <w:rPr>
                <w:color w:val="auto"/>
              </w:rPr>
              <w:t>箱变基础</w:t>
            </w:r>
          </w:p>
          <w:p w14:paraId="14272929">
            <w:pPr>
              <w:ind w:firstLine="480"/>
              <w:rPr>
                <w:color w:val="auto"/>
                <w:szCs w:val="21"/>
              </w:rPr>
            </w:pPr>
            <w:r>
              <w:rPr>
                <w:rFonts w:hint="eastAsia"/>
                <w:color w:val="auto"/>
                <w:szCs w:val="21"/>
              </w:rPr>
              <w:t>根据电气要求，每个方阵布置箱式变压器一台，共22台。箱变基础为框架结构独立基础，基础长约5m，宽约5.5m，箱变基础平台露出地面1.6m 平台四周设置安全护栏，地面埋深0.7m。基础四周设框架柱，顶部设框架梁，每个框架柱下设置0.3m高的独立基础。箱变与基础顶部预埋钢板焊接，朝向箱变开门一侧设置钢爬梯及操作平台，侧壁架空。为满足环保及消防相关要求，在箱变基础靠油箱一侧设事故油池，油池的有效容积满足规范要求。</w:t>
            </w:r>
          </w:p>
          <w:p w14:paraId="3D62BA26">
            <w:pPr>
              <w:pStyle w:val="5"/>
              <w:rPr>
                <w:color w:val="auto"/>
              </w:rPr>
            </w:pPr>
            <w:r>
              <w:rPr>
                <w:color w:val="auto"/>
              </w:rPr>
              <w:t>集电线路</w:t>
            </w:r>
          </w:p>
          <w:p w14:paraId="0F8C1CBF">
            <w:pPr>
              <w:ind w:firstLine="480"/>
              <w:rPr>
                <w:color w:val="auto"/>
              </w:rPr>
            </w:pPr>
            <w:r>
              <w:rPr>
                <w:rFonts w:hint="eastAsia"/>
                <w:color w:val="auto"/>
              </w:rPr>
              <w:t>本项目场内集电线路拟采用电缆直埋与架空相结合方式敷设，集电线路路径总长为22.03km，其中，架空集电线路路径总长约为14.06km（单回线路路径长度3.2km，双回线路路径长度10.86km），直埋电缆沟全长约7.97km。</w:t>
            </w:r>
          </w:p>
          <w:p w14:paraId="0D37962B">
            <w:pPr>
              <w:ind w:firstLine="480"/>
              <w:rPr>
                <w:color w:val="auto"/>
                <w:szCs w:val="21"/>
              </w:rPr>
            </w:pPr>
            <w:r>
              <w:rPr>
                <w:rFonts w:hint="eastAsia"/>
                <w:color w:val="auto"/>
                <w:szCs w:val="21"/>
              </w:rPr>
              <w:t>项目各方阵电能共采用2回35kV集电线路汇集至德安升压站。1回35kV集电线线路走向为S03-S10方阵电力汇集后向西南走向，在上柏芝附近与S19-S22方阵电力汇集，线路由西北向东南方向依次排开，采用地埋+架空的方式汇入项目方阵东北侧的德安升压站；2回35kV集电线线路走向为S12~S18方阵电力汇集后向南走向，在下朵么附近汇集S01、S02以及S11方阵电力后，向西南方向依次排开，采用地埋+架空的方式汇入项目方阵东南侧的德安升压站。</w:t>
            </w:r>
          </w:p>
          <w:p w14:paraId="2888ADBD">
            <w:pPr>
              <w:ind w:firstLine="480"/>
              <w:rPr>
                <w:color w:val="auto"/>
              </w:rPr>
            </w:pPr>
            <w:r>
              <w:rPr>
                <w:rFonts w:hint="eastAsia" w:cs="Times New Roman"/>
                <w:color w:val="auto"/>
                <w:kern w:val="0"/>
                <w:szCs w:val="24"/>
              </w:rPr>
              <w:t>架空采用铁塔架设，具体形式根据线路走向要求设计。铁塔基础为钢筋混凝土掏挖式基础。直埋电缆开挖尺寸为顶宽1.6m，底宽1m，深1m。铺砂垫层后放置电缆，再铺一层细沙后覆盖红砖，然后进行回填。直埋电缆沟过路及出入户时均需套钢管，对电缆进行保护，防止压坏。在电缆接头处设砖砌电</w:t>
            </w:r>
            <w:r>
              <w:rPr>
                <w:rFonts w:hint="eastAsia"/>
                <w:color w:val="auto"/>
              </w:rPr>
              <w:t>缆井。</w:t>
            </w:r>
          </w:p>
          <w:p w14:paraId="1E7DF564">
            <w:pPr>
              <w:pStyle w:val="5"/>
              <w:rPr>
                <w:color w:val="auto"/>
              </w:rPr>
            </w:pPr>
            <w:r>
              <w:rPr>
                <w:color w:val="auto"/>
              </w:rPr>
              <w:t>围栏</w:t>
            </w:r>
            <w:r>
              <w:rPr>
                <w:rFonts w:hint="eastAsia"/>
                <w:color w:val="auto"/>
              </w:rPr>
              <w:t>和大门</w:t>
            </w:r>
          </w:p>
          <w:p w14:paraId="613BCCFA">
            <w:pPr>
              <w:ind w:firstLine="480"/>
              <w:rPr>
                <w:color w:val="auto"/>
              </w:rPr>
            </w:pPr>
            <w:r>
              <w:rPr>
                <w:rFonts w:hint="eastAsia"/>
                <w:color w:val="auto"/>
              </w:rPr>
              <w:t>为了便于管理，沿光伏发电场阵列外侧设置钢丝网围栏，围栏高度1.8m，采用直径4mm的浸塑钢丝，网片间距为150mm×75mm，立柱采用直径50mm的浸塑钢管，立柱布置间距为3m，其上布置安全监控设备。在入口处（场内施工道路接入点）设置对开钢大门。</w:t>
            </w:r>
          </w:p>
          <w:p w14:paraId="4E336FE1">
            <w:pPr>
              <w:pStyle w:val="5"/>
              <w:rPr>
                <w:color w:val="auto"/>
              </w:rPr>
            </w:pPr>
            <w:r>
              <w:rPr>
                <w:rFonts w:hint="eastAsia"/>
                <w:color w:val="auto"/>
              </w:rPr>
              <w:t>道路工程</w:t>
            </w:r>
          </w:p>
          <w:p w14:paraId="2657FB82">
            <w:pPr>
              <w:ind w:firstLine="480"/>
              <w:rPr>
                <w:color w:val="auto"/>
              </w:rPr>
            </w:pPr>
            <w:r>
              <w:rPr>
                <w:rFonts w:hint="eastAsia"/>
                <w:color w:val="auto"/>
              </w:rPr>
              <w:t>本项目对外交通运输路线：国内高速公路网→南宁高速→无量山樱花谷收费站→G214国道西景线→沙乐线→场址各片。</w:t>
            </w:r>
          </w:p>
          <w:p w14:paraId="18586BDE">
            <w:pPr>
              <w:ind w:firstLine="480"/>
              <w:rPr>
                <w:color w:val="auto"/>
              </w:rPr>
            </w:pPr>
            <w:r>
              <w:rPr>
                <w:rFonts w:hint="eastAsia"/>
                <w:color w:val="auto"/>
              </w:rPr>
              <w:t>场区内的道路根据地形及光伏板矩阵布置设置，尽量利用现有道路，其它道路设置满足场区交通运输需求，且坡度不宜过大。本项目改扩建场内改扩建道路4.73km，新建场内道路7.04km，最大坡度不大于16%，平均坡度为8%～10%，道路路基宽度为4.0m，路面宽度为3.5m，转弯半径为12m，路面采用20cm山皮石面层。在较长施工道路末端设置16m</w:t>
            </w:r>
            <w:r>
              <w:rPr>
                <w:rFonts w:cs="Times New Roman"/>
                <w:color w:val="auto"/>
              </w:rPr>
              <w:t>×</w:t>
            </w:r>
            <w:r>
              <w:rPr>
                <w:rFonts w:hint="eastAsia"/>
                <w:color w:val="auto"/>
              </w:rPr>
              <w:t>16m的调车平台，在较长且没有支线的路段设置错车道。箱变布置在场内检修道路两侧，满足检修需求。</w:t>
            </w:r>
          </w:p>
          <w:p w14:paraId="5957EC84">
            <w:pPr>
              <w:pStyle w:val="4"/>
              <w:spacing w:before="48" w:after="48"/>
              <w:rPr>
                <w:color w:val="auto"/>
              </w:rPr>
            </w:pPr>
            <w:r>
              <w:rPr>
                <w:rFonts w:hint="eastAsia"/>
                <w:color w:val="auto"/>
              </w:rPr>
              <w:t>临时工程</w:t>
            </w:r>
          </w:p>
          <w:p w14:paraId="1D195F38">
            <w:pPr>
              <w:pStyle w:val="5"/>
              <w:rPr>
                <w:color w:val="auto"/>
              </w:rPr>
            </w:pPr>
            <w:r>
              <w:rPr>
                <w:rFonts w:hint="eastAsia"/>
                <w:color w:val="auto"/>
              </w:rPr>
              <w:t>施工场地</w:t>
            </w:r>
          </w:p>
          <w:p w14:paraId="7166BAF6">
            <w:pPr>
              <w:ind w:firstLine="480"/>
              <w:rPr>
                <w:color w:val="auto"/>
              </w:rPr>
            </w:pPr>
            <w:r>
              <w:rPr>
                <w:rFonts w:hint="eastAsia"/>
                <w:color w:val="auto"/>
              </w:rPr>
              <w:t>光伏场区施工场地布置：根据主体设计，结合项目实际施工情况，本项目业主、承包商及施工人员临时居住、办公等场地均采用租用民房解决，仅在项目区设置材料临时堆场，包括材料堆放仓库、材料加工区及光伏板、支架等设备材料临时堆放场等。</w:t>
            </w:r>
          </w:p>
          <w:p w14:paraId="0D1F647C">
            <w:pPr>
              <w:ind w:firstLine="480"/>
              <w:rPr>
                <w:color w:val="auto"/>
              </w:rPr>
            </w:pPr>
            <w:r>
              <w:rPr>
                <w:rFonts w:hint="eastAsia"/>
                <w:color w:val="auto"/>
              </w:rPr>
              <w:t>规划布置施工场地4处，布置于场内道路一侧光伏方阵区平坦位置，以满足材料设备一次运输到位，其中1#施工营地位于S10地块内西南侧、2#施工营地位于S20地块内西侧、3#施工营地位于S17地块内东侧和4#施工营地位于S02地块内东南侧，场地内布置综合加工厂、综合仓库等，占地</w:t>
            </w:r>
            <w:r>
              <w:rPr>
                <w:rFonts w:cs="Times New Roman"/>
                <w:color w:val="auto"/>
              </w:rPr>
              <w:t>0.45hm</w:t>
            </w:r>
            <w:r>
              <w:rPr>
                <w:rFonts w:cs="Times New Roman"/>
                <w:color w:val="auto"/>
                <w:vertAlign w:val="superscript"/>
              </w:rPr>
              <w:t>2</w:t>
            </w:r>
            <w:r>
              <w:rPr>
                <w:rFonts w:hint="eastAsia"/>
                <w:color w:val="auto"/>
              </w:rPr>
              <w:t>，占地类型为园地。</w:t>
            </w:r>
          </w:p>
          <w:p w14:paraId="085E98EE">
            <w:pPr>
              <w:pStyle w:val="5"/>
              <w:rPr>
                <w:color w:val="auto"/>
              </w:rPr>
            </w:pPr>
            <w:r>
              <w:rPr>
                <w:rFonts w:hint="eastAsia"/>
                <w:color w:val="auto"/>
              </w:rPr>
              <w:t>施工三场</w:t>
            </w:r>
          </w:p>
          <w:p w14:paraId="24CA1F99">
            <w:pPr>
              <w:ind w:firstLine="480"/>
              <w:rPr>
                <w:color w:val="auto"/>
              </w:rPr>
            </w:pPr>
            <w:r>
              <w:rPr>
                <w:rFonts w:hint="eastAsia"/>
                <w:color w:val="auto"/>
              </w:rPr>
              <w:t>项目不设置表土集中堆场、取土场、弃渣场。</w:t>
            </w:r>
          </w:p>
          <w:p w14:paraId="7A728554">
            <w:pPr>
              <w:ind w:firstLine="480"/>
              <w:rPr>
                <w:color w:val="auto"/>
              </w:rPr>
            </w:pPr>
            <w:r>
              <w:rPr>
                <w:rFonts w:hint="eastAsia"/>
                <w:color w:val="auto"/>
                <w:szCs w:val="21"/>
              </w:rPr>
              <w:t>（1）</w:t>
            </w:r>
            <w:r>
              <w:rPr>
                <w:rFonts w:hint="eastAsia"/>
                <w:color w:val="auto"/>
              </w:rPr>
              <w:t>根据项目水保方案，项目剥离表土1.43万m</w:t>
            </w:r>
            <w:r>
              <w:rPr>
                <w:rFonts w:hint="eastAsia"/>
                <w:color w:val="auto"/>
                <w:vertAlign w:val="superscript"/>
              </w:rPr>
              <w:t>3</w:t>
            </w:r>
            <w:r>
              <w:rPr>
                <w:rFonts w:hint="eastAsia"/>
                <w:color w:val="auto"/>
              </w:rPr>
              <w:t>，</w:t>
            </w:r>
            <w:r>
              <w:rPr>
                <w:color w:val="auto"/>
              </w:rPr>
              <w:t>集电线路直埋电缆沟表土堆放在管沟一侧</w:t>
            </w:r>
            <w:r>
              <w:rPr>
                <w:rFonts w:hint="eastAsia"/>
                <w:color w:val="auto"/>
              </w:rPr>
              <w:t>，</w:t>
            </w:r>
            <w:r>
              <w:rPr>
                <w:color w:val="auto"/>
              </w:rPr>
              <w:t>架空线路</w:t>
            </w:r>
            <w:r>
              <w:rPr>
                <w:rFonts w:hint="eastAsia"/>
                <w:color w:val="auto"/>
              </w:rPr>
              <w:t>剥离表土临时堆放于各塔基用地一角，场内道路区收集表土主要用于道路填方边坡植被恢复，光伏方阵区的施工营场地区剥离的表土</w:t>
            </w:r>
            <w:r>
              <w:rPr>
                <w:color w:val="auto"/>
              </w:rPr>
              <w:t>临时堆放于各场地一角</w:t>
            </w:r>
            <w:r>
              <w:rPr>
                <w:rFonts w:hint="eastAsia"/>
                <w:color w:val="auto"/>
              </w:rPr>
              <w:t>，</w:t>
            </w:r>
            <w:r>
              <w:rPr>
                <w:color w:val="auto"/>
              </w:rPr>
              <w:t>并采取</w:t>
            </w:r>
            <w:r>
              <w:rPr>
                <w:rFonts w:hint="eastAsia"/>
                <w:color w:val="auto"/>
              </w:rPr>
              <w:t>临时</w:t>
            </w:r>
            <w:r>
              <w:rPr>
                <w:color w:val="auto"/>
              </w:rPr>
              <w:t>防护措施</w:t>
            </w:r>
            <w:r>
              <w:rPr>
                <w:rFonts w:hint="eastAsia"/>
                <w:color w:val="auto"/>
              </w:rPr>
              <w:t>。本项目场内道路区表土即挖即用，均不布置集中堆放场地，方案设计的临时堆土场均位于项目红线内。</w:t>
            </w:r>
          </w:p>
          <w:p w14:paraId="1671F07D">
            <w:pPr>
              <w:ind w:firstLine="480"/>
              <w:rPr>
                <w:color w:val="auto"/>
                <w:szCs w:val="21"/>
              </w:rPr>
            </w:pPr>
            <w:r>
              <w:rPr>
                <w:rFonts w:hint="eastAsia"/>
                <w:color w:val="auto"/>
                <w:szCs w:val="21"/>
              </w:rPr>
              <w:t>（2）本项目回填表土源自前期表土剥离收集，不进行外购，故不涉及取土场。</w:t>
            </w:r>
          </w:p>
          <w:p w14:paraId="2C23A063">
            <w:pPr>
              <w:ind w:firstLine="480"/>
              <w:rPr>
                <w:color w:val="auto"/>
                <w:szCs w:val="21"/>
              </w:rPr>
            </w:pPr>
            <w:r>
              <w:rPr>
                <w:rFonts w:hint="eastAsia"/>
                <w:color w:val="auto"/>
                <w:szCs w:val="21"/>
              </w:rPr>
              <w:t>（3）本项目无永久弃方产生，故不涉及弃渣场。</w:t>
            </w:r>
          </w:p>
          <w:p w14:paraId="132EDB9F">
            <w:pPr>
              <w:pStyle w:val="4"/>
              <w:spacing w:before="48" w:after="48"/>
              <w:rPr>
                <w:color w:val="auto"/>
              </w:rPr>
            </w:pPr>
            <w:r>
              <w:rPr>
                <w:color w:val="auto"/>
              </w:rPr>
              <w:t>环保设施</w:t>
            </w:r>
          </w:p>
          <w:p w14:paraId="07AC308B">
            <w:pPr>
              <w:pStyle w:val="5"/>
              <w:rPr>
                <w:color w:val="auto"/>
              </w:rPr>
            </w:pPr>
            <w:r>
              <w:rPr>
                <w:color w:val="auto"/>
              </w:rPr>
              <w:t>污水处理</w:t>
            </w:r>
          </w:p>
          <w:p w14:paraId="73CEE670">
            <w:pPr>
              <w:ind w:firstLine="480"/>
              <w:rPr>
                <w:color w:val="auto"/>
              </w:rPr>
            </w:pPr>
            <w:r>
              <w:rPr>
                <w:rFonts w:hint="eastAsia"/>
                <w:color w:val="auto"/>
              </w:rPr>
              <w:t>施工期：根据水保方案，本次项目挖填方平衡，不产生永久弃渣，不设置集中表土堆场。在道路工程区设置C20混凝土排水边沟2267m³；φ1000圆管涵228m，9口9m</w:t>
            </w:r>
            <w:r>
              <w:rPr>
                <w:rFonts w:hint="eastAsia"/>
                <w:color w:val="auto"/>
                <w:vertAlign w:val="superscript"/>
              </w:rPr>
              <w:t>3</w:t>
            </w:r>
            <w:r>
              <w:rPr>
                <w:rFonts w:hint="eastAsia"/>
                <w:color w:val="auto"/>
              </w:rPr>
              <w:t>沉砂池；光伏方阵区设置截水沟1500.48m，5口9m</w:t>
            </w:r>
            <w:r>
              <w:rPr>
                <w:rFonts w:hint="eastAsia"/>
                <w:color w:val="auto"/>
                <w:vertAlign w:val="superscript"/>
              </w:rPr>
              <w:t>3</w:t>
            </w:r>
            <w:r>
              <w:rPr>
                <w:rFonts w:hint="eastAsia"/>
                <w:color w:val="auto"/>
              </w:rPr>
              <w:t>沉砂池收集施工废水，施工场地设置4个5m</w:t>
            </w:r>
            <w:r>
              <w:rPr>
                <w:rFonts w:hint="eastAsia"/>
                <w:color w:val="auto"/>
                <w:vertAlign w:val="superscript"/>
              </w:rPr>
              <w:t>3</w:t>
            </w:r>
            <w:r>
              <w:rPr>
                <w:rFonts w:hint="eastAsia"/>
                <w:color w:val="auto"/>
              </w:rPr>
              <w:t>的临时沉淀池收集生活污水（洗手废水），将生活污水（洗手废水）进行沉淀处理后用于施工用水和施工场地洒水降尘。本项目业主、承包商及施工人员临时居住、办公等场地均采用租用民房解决，施工期日常生活污水依托当地民房自有处理系统。</w:t>
            </w:r>
          </w:p>
          <w:p w14:paraId="636B3B64">
            <w:pPr>
              <w:ind w:firstLine="480"/>
              <w:rPr>
                <w:color w:val="auto"/>
              </w:rPr>
            </w:pPr>
            <w:r>
              <w:rPr>
                <w:rFonts w:hint="eastAsia"/>
                <w:color w:val="auto"/>
              </w:rPr>
              <w:t>运营期：本项目不新增劳动定员，运维人员依托德安光伏发电项目，运维人员在德安升压站内吃住，生活污水依托德安升压站内一体化污水处理站处理达到《城市污水再生利用-城市杂用水水质》（GB/T 18920-2020）中绿化标准后用于站内植被绿化。</w:t>
            </w:r>
          </w:p>
          <w:p w14:paraId="23D249F7">
            <w:pPr>
              <w:ind w:firstLine="480"/>
              <w:rPr>
                <w:color w:val="auto"/>
                <w:highlight w:val="yellow"/>
              </w:rPr>
            </w:pPr>
            <w:r>
              <w:rPr>
                <w:rFonts w:hint="eastAsia"/>
                <w:color w:val="auto"/>
              </w:rPr>
              <w:t>光伏组件清洗废水通过光伏组件落入场地土壤中，用于光伏场区植被绿化。</w:t>
            </w:r>
          </w:p>
          <w:p w14:paraId="556C4C04">
            <w:pPr>
              <w:pStyle w:val="5"/>
              <w:rPr>
                <w:color w:val="auto"/>
              </w:rPr>
            </w:pPr>
            <w:r>
              <w:rPr>
                <w:color w:val="auto"/>
              </w:rPr>
              <w:t>噪声</w:t>
            </w:r>
          </w:p>
          <w:p w14:paraId="36AD13A4">
            <w:pPr>
              <w:ind w:firstLine="480"/>
              <w:rPr>
                <w:color w:val="auto"/>
              </w:rPr>
            </w:pPr>
            <w:r>
              <w:rPr>
                <w:rFonts w:hint="eastAsia"/>
                <w:color w:val="auto"/>
              </w:rPr>
              <w:t>施工期：施工期选用低噪声设备；施工期合理安排施工计划、施工机械设备组合以及施工时间。</w:t>
            </w:r>
          </w:p>
          <w:p w14:paraId="28D73A6B">
            <w:pPr>
              <w:ind w:firstLine="480"/>
              <w:rPr>
                <w:rFonts w:cs="Times New Roman"/>
                <w:color w:val="auto"/>
              </w:rPr>
            </w:pPr>
            <w:r>
              <w:rPr>
                <w:rFonts w:hint="eastAsia"/>
                <w:color w:val="auto"/>
              </w:rPr>
              <w:t>运营期：运营期35kV箱式变压器、逆变器选用低噪声类型设备，均设置外壳隔声；设备底部基础安装减振垫。</w:t>
            </w:r>
          </w:p>
          <w:p w14:paraId="63E8EB6B">
            <w:pPr>
              <w:pStyle w:val="5"/>
              <w:rPr>
                <w:color w:val="auto"/>
              </w:rPr>
            </w:pPr>
            <w:r>
              <w:rPr>
                <w:rFonts w:hint="eastAsia"/>
                <w:color w:val="auto"/>
              </w:rPr>
              <w:t>4</w:t>
            </w:r>
            <w:r>
              <w:rPr>
                <w:color w:val="auto"/>
              </w:rPr>
              <w:t>固体废物</w:t>
            </w:r>
          </w:p>
          <w:p w14:paraId="799C4BD2">
            <w:pPr>
              <w:ind w:firstLine="482"/>
              <w:rPr>
                <w:b/>
                <w:bCs/>
                <w:color w:val="auto"/>
              </w:rPr>
            </w:pPr>
            <w:r>
              <w:rPr>
                <w:rFonts w:hint="eastAsia"/>
                <w:b/>
                <w:bCs/>
                <w:color w:val="auto"/>
              </w:rPr>
              <w:t>（1）施工期</w:t>
            </w:r>
          </w:p>
          <w:p w14:paraId="7C15C354">
            <w:pPr>
              <w:ind w:firstLine="480"/>
              <w:rPr>
                <w:color w:val="auto"/>
              </w:rPr>
            </w:pPr>
            <w:r>
              <w:rPr>
                <w:rFonts w:hint="eastAsia"/>
                <w:color w:val="auto"/>
              </w:rPr>
              <w:t>生活垃圾：光伏场区施工人员临时居住、办公等场地均采用租用民房解决，施工过程中产生的生活垃圾清运至周边村庄生活垃圾收集点统一处置。</w:t>
            </w:r>
          </w:p>
          <w:p w14:paraId="69F35A16">
            <w:pPr>
              <w:ind w:firstLine="480"/>
              <w:rPr>
                <w:color w:val="auto"/>
              </w:rPr>
            </w:pPr>
            <w:r>
              <w:rPr>
                <w:rFonts w:hint="eastAsia"/>
                <w:color w:val="auto"/>
              </w:rPr>
              <w:t>建筑垃圾：建筑垃圾分类收集，优先回收利用，无法利用的清运至主管部门指定的建筑垃圾处理点处置。</w:t>
            </w:r>
          </w:p>
          <w:p w14:paraId="37D3DF7A">
            <w:pPr>
              <w:ind w:firstLine="482"/>
              <w:rPr>
                <w:b/>
                <w:bCs/>
                <w:color w:val="auto"/>
              </w:rPr>
            </w:pPr>
            <w:r>
              <w:rPr>
                <w:rFonts w:hint="eastAsia"/>
                <w:b/>
                <w:bCs/>
                <w:color w:val="auto"/>
              </w:rPr>
              <w:t>（2）运营期</w:t>
            </w:r>
          </w:p>
          <w:p w14:paraId="56310ADC">
            <w:pPr>
              <w:ind w:firstLine="480"/>
              <w:rPr>
                <w:color w:val="auto"/>
              </w:rPr>
            </w:pPr>
            <w:r>
              <w:rPr>
                <w:rFonts w:hint="eastAsia"/>
                <w:color w:val="auto"/>
              </w:rPr>
              <w:t>一般固体废物储存间：本项目所使用的太阳能电池板报废后属一般工业固体废物。本项目更换的废太阳能电池板及废弃零部件等依托220kV德安升压站内东北侧设置的54m</w:t>
            </w:r>
            <w:r>
              <w:rPr>
                <w:rFonts w:hint="eastAsia"/>
                <w:color w:val="auto"/>
                <w:vertAlign w:val="superscript"/>
              </w:rPr>
              <w:t>2</w:t>
            </w:r>
            <w:r>
              <w:rPr>
                <w:rFonts w:hint="eastAsia"/>
                <w:color w:val="auto"/>
              </w:rPr>
              <w:t>废物储存间，用来暂存太阳能废弃电池板。</w:t>
            </w:r>
          </w:p>
          <w:p w14:paraId="327A74F6">
            <w:pPr>
              <w:ind w:firstLine="480"/>
              <w:rPr>
                <w:color w:val="auto"/>
              </w:rPr>
            </w:pPr>
            <w:r>
              <w:rPr>
                <w:rFonts w:hint="eastAsia"/>
                <w:color w:val="auto"/>
              </w:rPr>
              <w:t>危废贮存库：本项目危险固废主要为35kV箱变检修及发生事故时产生的事故油。危废贮存依托220kV德安升压站内东北设置的容积为36m</w:t>
            </w:r>
            <w:r>
              <w:rPr>
                <w:rFonts w:hint="eastAsia"/>
                <w:color w:val="auto"/>
                <w:vertAlign w:val="superscript"/>
              </w:rPr>
              <w:t>2</w:t>
            </w:r>
            <w:r>
              <w:rPr>
                <w:rFonts w:hint="eastAsia"/>
                <w:color w:val="auto"/>
              </w:rPr>
              <w:t>危废贮存库，危险废物统一收集后委托有资质的单位妥善处置，危废暂存间设计满足《危险废物贮存污染控制标准》（GB18597-2023）要求。</w:t>
            </w:r>
          </w:p>
          <w:p w14:paraId="1EE5CF72">
            <w:pPr>
              <w:pStyle w:val="5"/>
              <w:rPr>
                <w:color w:val="auto"/>
              </w:rPr>
            </w:pPr>
            <w:r>
              <w:rPr>
                <w:color w:val="auto"/>
              </w:rPr>
              <w:t>环保标识牌</w:t>
            </w:r>
          </w:p>
          <w:p w14:paraId="7154063A">
            <w:pPr>
              <w:ind w:firstLine="480"/>
              <w:rPr>
                <w:color w:val="auto"/>
              </w:rPr>
            </w:pPr>
            <w:r>
              <w:rPr>
                <w:color w:val="auto"/>
              </w:rPr>
              <w:t>在项目区周边设置环保宣传牌及生态保护警示牌。</w:t>
            </w:r>
          </w:p>
          <w:p w14:paraId="3F7FD9A7">
            <w:pPr>
              <w:pStyle w:val="5"/>
              <w:rPr>
                <w:color w:val="auto"/>
              </w:rPr>
            </w:pPr>
            <w:r>
              <w:rPr>
                <w:rFonts w:hint="eastAsia"/>
                <w:color w:val="auto"/>
              </w:rPr>
              <w:t>环境风险</w:t>
            </w:r>
          </w:p>
          <w:p w14:paraId="26CDBBCE">
            <w:pPr>
              <w:ind w:firstLine="480"/>
              <w:rPr>
                <w:color w:val="auto"/>
              </w:rPr>
            </w:pPr>
            <w:r>
              <w:rPr>
                <w:color w:val="auto"/>
              </w:rPr>
              <w:t>在每个箱变旁设</w:t>
            </w:r>
            <w:r>
              <w:rPr>
                <w:rFonts w:hint="eastAsia"/>
                <w:color w:val="auto"/>
              </w:rPr>
              <w:t>3</w:t>
            </w:r>
            <w:r>
              <w:rPr>
                <w:color w:val="auto"/>
              </w:rPr>
              <w:t>m</w:t>
            </w:r>
            <w:r>
              <w:rPr>
                <w:color w:val="auto"/>
                <w:vertAlign w:val="superscript"/>
              </w:rPr>
              <w:t>3</w:t>
            </w:r>
            <w:r>
              <w:rPr>
                <w:color w:val="auto"/>
              </w:rPr>
              <w:t>箱变事故油池</w:t>
            </w:r>
            <w:r>
              <w:rPr>
                <w:rFonts w:hint="eastAsia"/>
                <w:color w:val="auto"/>
              </w:rPr>
              <w:t>（共22个）</w:t>
            </w:r>
            <w:r>
              <w:rPr>
                <w:color w:val="auto"/>
              </w:rPr>
              <w:t>，收集事故油。</w:t>
            </w:r>
            <w:r>
              <w:rPr>
                <w:rFonts w:hint="eastAsia"/>
                <w:color w:val="auto"/>
              </w:rPr>
              <w:t>事故油池底部和四周设置防渗措施（等效黏土防渗层Mb≥6.0m，K≤1.0×10</w:t>
            </w:r>
            <w:r>
              <w:rPr>
                <w:rFonts w:hint="eastAsia"/>
                <w:color w:val="auto"/>
                <w:vertAlign w:val="superscript"/>
              </w:rPr>
              <w:t>-7</w:t>
            </w:r>
            <w:r>
              <w:rPr>
                <w:rFonts w:hint="eastAsia"/>
                <w:color w:val="auto"/>
              </w:rPr>
              <w:t>cm/s），确保事故油和油污水在存储的过程中不会渗漏。</w:t>
            </w:r>
          </w:p>
          <w:p w14:paraId="1DA2A7E1">
            <w:pPr>
              <w:pStyle w:val="4"/>
              <w:spacing w:before="48" w:after="48"/>
              <w:rPr>
                <w:color w:val="auto"/>
              </w:rPr>
            </w:pPr>
            <w:r>
              <w:rPr>
                <w:rFonts w:hint="eastAsia"/>
                <w:color w:val="auto"/>
              </w:rPr>
              <w:t>农光互补方案</w:t>
            </w:r>
          </w:p>
          <w:p w14:paraId="7AE11C10">
            <w:pPr>
              <w:ind w:firstLine="480"/>
              <w:rPr>
                <w:color w:val="auto"/>
              </w:rPr>
            </w:pPr>
            <w:r>
              <w:rPr>
                <w:color w:val="auto"/>
              </w:rPr>
              <w:t>在施工场地内设置动物保护警示牌，施工结束后，临时占用的园地区域，采用“农光互补”模式，在光伏组件下方种植</w:t>
            </w:r>
            <w:r>
              <w:rPr>
                <w:rFonts w:hint="eastAsia"/>
                <w:color w:val="auto"/>
              </w:rPr>
              <w:t>茶树</w:t>
            </w:r>
            <w:r>
              <w:rPr>
                <w:color w:val="auto"/>
              </w:rPr>
              <w:t>等农作物；其他临时占地或施工扰动区域，采用草灌结合的方式，选用原生表土和乡土物种进行植被恢复。</w:t>
            </w:r>
          </w:p>
          <w:p w14:paraId="70D5500E">
            <w:pPr>
              <w:pStyle w:val="4"/>
              <w:spacing w:before="48" w:after="48"/>
              <w:rPr>
                <w:color w:val="auto"/>
              </w:rPr>
            </w:pPr>
            <w:r>
              <w:rPr>
                <w:rFonts w:hint="eastAsia"/>
                <w:color w:val="auto"/>
              </w:rPr>
              <w:t>依托工程</w:t>
            </w:r>
          </w:p>
          <w:p w14:paraId="426D18F4">
            <w:pPr>
              <w:ind w:firstLine="480"/>
              <w:rPr>
                <w:color w:val="auto"/>
              </w:rPr>
            </w:pPr>
            <w:r>
              <w:rPr>
                <w:rFonts w:hint="eastAsia"/>
                <w:color w:val="auto"/>
              </w:rPr>
              <w:t>升压站：本项目与德安光伏发电项目共用一座220kV升压站，升压站在德安光伏发电项目内建设。德安光伏发电项目正在施工建设，未投运。</w:t>
            </w:r>
          </w:p>
          <w:p w14:paraId="6E6329D2">
            <w:pPr>
              <w:ind w:firstLine="480"/>
              <w:rPr>
                <w:color w:val="auto"/>
              </w:rPr>
            </w:pPr>
            <w:r>
              <w:rPr>
                <w:rFonts w:hint="eastAsia"/>
                <w:color w:val="auto"/>
              </w:rPr>
              <w:t>环保设施：本工程不新增劳动定员，运维人员依托德安升压站管理人员，生活污水依托德安光伏升压站内一体化污水处理站进行处理。</w:t>
            </w:r>
          </w:p>
          <w:p w14:paraId="6D484DAE">
            <w:pPr>
              <w:pStyle w:val="4"/>
              <w:spacing w:before="48" w:after="48"/>
              <w:rPr>
                <w:color w:val="auto"/>
              </w:rPr>
            </w:pPr>
            <w:r>
              <w:rPr>
                <w:color w:val="auto"/>
              </w:rPr>
              <w:t>项目劳动定员</w:t>
            </w:r>
          </w:p>
          <w:p w14:paraId="09D8F7BD">
            <w:pPr>
              <w:ind w:firstLine="480"/>
              <w:rPr>
                <w:color w:val="auto"/>
                <w:szCs w:val="21"/>
              </w:rPr>
            </w:pPr>
            <w:r>
              <w:rPr>
                <w:color w:val="auto"/>
                <w:szCs w:val="21"/>
              </w:rPr>
              <w:t>根据可研报告，本工程在整个施工过程中，施工高峰期</w:t>
            </w:r>
            <w:r>
              <w:rPr>
                <w:rFonts w:hint="eastAsia"/>
                <w:color w:val="auto"/>
                <w:szCs w:val="21"/>
              </w:rPr>
              <w:t>约</w:t>
            </w:r>
            <w:r>
              <w:rPr>
                <w:color w:val="auto"/>
                <w:szCs w:val="21"/>
              </w:rPr>
              <w:t>200人</w:t>
            </w:r>
            <w:r>
              <w:rPr>
                <w:rFonts w:hint="eastAsia"/>
                <w:color w:val="auto"/>
                <w:szCs w:val="21"/>
              </w:rPr>
              <w:t>，</w:t>
            </w:r>
            <w:r>
              <w:rPr>
                <w:color w:val="auto"/>
                <w:szCs w:val="21"/>
              </w:rPr>
              <w:t>月平均人数约180人；</w:t>
            </w:r>
            <w:r>
              <w:rPr>
                <w:rFonts w:hint="eastAsia"/>
                <w:color w:val="auto"/>
                <w:szCs w:val="21"/>
              </w:rPr>
              <w:t>运行期，本工程无人员，电站运行和管理人员位于德安光伏发电项目升压站，定员5人</w:t>
            </w:r>
            <w:r>
              <w:rPr>
                <w:color w:val="auto"/>
                <w:szCs w:val="21"/>
              </w:rPr>
              <w:t>。</w:t>
            </w:r>
          </w:p>
          <w:p w14:paraId="63A4B3F2">
            <w:pPr>
              <w:pStyle w:val="4"/>
              <w:spacing w:before="48" w:after="48"/>
              <w:rPr>
                <w:color w:val="auto"/>
              </w:rPr>
            </w:pPr>
            <w:r>
              <w:rPr>
                <w:color w:val="auto"/>
              </w:rPr>
              <w:t>建设征地与移民安置</w:t>
            </w:r>
          </w:p>
          <w:p w14:paraId="40984426">
            <w:pPr>
              <w:ind w:firstLine="480"/>
              <w:rPr>
                <w:color w:val="auto"/>
                <w:szCs w:val="21"/>
              </w:rPr>
            </w:pPr>
            <w:r>
              <w:rPr>
                <w:color w:val="auto"/>
                <w:szCs w:val="21"/>
              </w:rPr>
              <w:t>根据项目建设区域占地情况，建设区域内不涉及农户房屋拆除及专项设施改（迁）建，故本项目不考虑移民安置问题。</w:t>
            </w:r>
          </w:p>
        </w:tc>
      </w:tr>
      <w:tr w14:paraId="59A20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98" w:type="pct"/>
            <w:vAlign w:val="center"/>
          </w:tcPr>
          <w:p w14:paraId="0EAA359A">
            <w:pPr>
              <w:adjustRightInd w:val="0"/>
              <w:snapToGrid w:val="0"/>
              <w:spacing w:line="240" w:lineRule="auto"/>
              <w:ind w:firstLine="0" w:firstLineChars="0"/>
              <w:jc w:val="center"/>
              <w:rPr>
                <w:color w:val="auto"/>
                <w:kern w:val="0"/>
                <w:szCs w:val="21"/>
              </w:rPr>
            </w:pPr>
            <w:r>
              <w:rPr>
                <w:color w:val="auto"/>
                <w:kern w:val="0"/>
                <w:szCs w:val="21"/>
              </w:rPr>
              <w:t>总平面及现场布置</w:t>
            </w:r>
          </w:p>
        </w:tc>
        <w:tc>
          <w:tcPr>
            <w:tcW w:w="4802" w:type="pct"/>
            <w:vAlign w:val="center"/>
          </w:tcPr>
          <w:p w14:paraId="32D70054">
            <w:pPr>
              <w:pStyle w:val="3"/>
              <w:spacing w:before="72" w:after="72"/>
              <w:rPr>
                <w:color w:val="auto"/>
              </w:rPr>
            </w:pPr>
            <w:bookmarkStart w:id="404" w:name="_Toc15496"/>
            <w:bookmarkStart w:id="405" w:name="_Toc112173910"/>
            <w:bookmarkStart w:id="406" w:name="_Toc136794303"/>
            <w:bookmarkStart w:id="407" w:name="_Toc26257"/>
            <w:bookmarkStart w:id="408" w:name="_Toc136794178"/>
            <w:bookmarkStart w:id="409" w:name="_Toc112165615"/>
            <w:bookmarkStart w:id="410" w:name="_Toc112424252"/>
            <w:bookmarkStart w:id="411" w:name="_Toc160473788"/>
            <w:bookmarkStart w:id="412" w:name="_Toc160730864"/>
            <w:bookmarkStart w:id="413" w:name="_Toc181732805"/>
            <w:bookmarkStart w:id="414" w:name="_Toc177482892"/>
            <w:bookmarkStart w:id="415" w:name="_Toc161415542"/>
            <w:bookmarkStart w:id="416" w:name="_Toc159349015"/>
            <w:bookmarkStart w:id="417" w:name="_Toc177072392"/>
            <w:bookmarkStart w:id="418" w:name="_Toc181293527"/>
            <w:bookmarkStart w:id="419" w:name="_Toc177488204"/>
            <w:bookmarkStart w:id="420" w:name="_Toc156137826"/>
            <w:bookmarkStart w:id="421" w:name="_Toc156144140"/>
            <w:bookmarkStart w:id="422" w:name="_Toc158491247"/>
            <w:bookmarkStart w:id="423" w:name="_Toc177072820"/>
            <w:bookmarkStart w:id="424" w:name="_Toc181738212"/>
            <w:r>
              <w:rPr>
                <w:color w:val="auto"/>
              </w:rPr>
              <w:t>总平面布置及现场布置</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7D3476DF">
            <w:pPr>
              <w:pStyle w:val="4"/>
              <w:spacing w:before="48" w:after="48"/>
              <w:rPr>
                <w:color w:val="auto"/>
              </w:rPr>
            </w:pPr>
            <w:bookmarkStart w:id="425" w:name="_Toc156137827"/>
            <w:bookmarkStart w:id="426" w:name="_Toc158491248"/>
            <w:bookmarkStart w:id="427" w:name="_Toc159349016"/>
            <w:bookmarkStart w:id="428" w:name="_Toc160473789"/>
            <w:bookmarkStart w:id="429" w:name="_Toc160730865"/>
            <w:bookmarkStart w:id="430" w:name="_Toc161415543"/>
            <w:bookmarkStart w:id="431" w:name="_Toc136794304"/>
            <w:bookmarkStart w:id="432" w:name="_Toc23840"/>
            <w:bookmarkStart w:id="433" w:name="_Toc136794179"/>
            <w:bookmarkStart w:id="434" w:name="_Toc13069"/>
            <w:bookmarkStart w:id="435" w:name="_Toc156144141"/>
            <w:bookmarkStart w:id="436" w:name="_Toc177488205"/>
            <w:bookmarkStart w:id="437" w:name="_Toc177482893"/>
            <w:bookmarkStart w:id="438" w:name="_Toc181738213"/>
            <w:bookmarkStart w:id="439" w:name="_Toc177072821"/>
            <w:bookmarkStart w:id="440" w:name="_Toc177072393"/>
            <w:bookmarkStart w:id="441" w:name="_Toc181293528"/>
            <w:bookmarkStart w:id="442" w:name="_Toc181732806"/>
            <w:r>
              <w:rPr>
                <w:rFonts w:hint="eastAsia"/>
                <w:color w:val="auto"/>
              </w:rPr>
              <w:t>光伏板区</w:t>
            </w:r>
            <w:r>
              <w:rPr>
                <w:color w:val="auto"/>
              </w:rPr>
              <w:t>总平面布置</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60C1397A">
            <w:pPr>
              <w:ind w:firstLine="480"/>
              <w:rPr>
                <w:color w:val="auto"/>
                <w:szCs w:val="21"/>
              </w:rPr>
            </w:pPr>
            <w:r>
              <w:rPr>
                <w:rFonts w:hint="eastAsia"/>
                <w:color w:val="auto"/>
                <w:szCs w:val="21"/>
              </w:rPr>
              <w:t>本项目共设置22个子方阵，规划额定容量为60MW（AC），安装容量</w:t>
            </w:r>
            <w:r>
              <w:rPr>
                <w:color w:val="auto"/>
                <w:szCs w:val="21"/>
              </w:rPr>
              <w:t>74.1524</w:t>
            </w:r>
            <w:r>
              <w:rPr>
                <w:rFonts w:hint="eastAsia"/>
                <w:color w:val="auto"/>
                <w:szCs w:val="21"/>
              </w:rPr>
              <w:t xml:space="preserve"> MWp（DC）。安装固定光伏支架</w:t>
            </w:r>
            <w:r>
              <w:rPr>
                <w:color w:val="auto"/>
                <w:szCs w:val="21"/>
              </w:rPr>
              <w:t>3716</w:t>
            </w:r>
            <w:r>
              <w:rPr>
                <w:rFonts w:hint="eastAsia"/>
                <w:color w:val="auto"/>
                <w:szCs w:val="21"/>
              </w:rPr>
              <w:t>个，每个光伏支架28块组件按照2×14进行排布，共</w:t>
            </w:r>
            <w:r>
              <w:rPr>
                <w:color w:val="auto"/>
                <w:szCs w:val="21"/>
              </w:rPr>
              <w:t>104440</w:t>
            </w:r>
            <w:r>
              <w:rPr>
                <w:rFonts w:hint="eastAsia"/>
                <w:color w:val="auto"/>
                <w:szCs w:val="21"/>
              </w:rPr>
              <w:t>块710Wp（N型）双面组件。</w:t>
            </w:r>
            <w:r>
              <w:rPr>
                <w:rFonts w:hint="eastAsia" w:cs="Times New Roman"/>
                <w:color w:val="auto"/>
                <w:szCs w:val="21"/>
              </w:rPr>
              <w:t>本</w:t>
            </w:r>
            <w:r>
              <w:rPr>
                <w:rFonts w:cs="Times New Roman"/>
                <w:color w:val="auto"/>
                <w:szCs w:val="21"/>
              </w:rPr>
              <w:t>项目</w:t>
            </w:r>
            <w:r>
              <w:rPr>
                <w:rFonts w:hint="eastAsia" w:cs="Times New Roman"/>
                <w:color w:val="auto"/>
                <w:szCs w:val="21"/>
              </w:rPr>
              <w:t>方阵</w:t>
            </w:r>
            <w:r>
              <w:rPr>
                <w:rFonts w:cs="Times New Roman"/>
                <w:color w:val="auto"/>
                <w:szCs w:val="21"/>
              </w:rPr>
              <w:t>分为</w:t>
            </w:r>
            <w:r>
              <w:rPr>
                <w:rFonts w:hint="eastAsia" w:cs="Times New Roman"/>
                <w:color w:val="auto"/>
                <w:szCs w:val="21"/>
              </w:rPr>
              <w:t>4</w:t>
            </w:r>
            <w:r>
              <w:rPr>
                <w:rFonts w:cs="Times New Roman"/>
                <w:color w:val="auto"/>
                <w:szCs w:val="21"/>
              </w:rPr>
              <w:t>个片区，</w:t>
            </w:r>
            <w:r>
              <w:rPr>
                <w:rFonts w:hint="eastAsia"/>
                <w:color w:val="auto"/>
                <w:szCs w:val="21"/>
              </w:rPr>
              <w:t>S03~S10光伏方阵</w:t>
            </w:r>
            <w:r>
              <w:rPr>
                <w:rFonts w:hint="eastAsia" w:cs="Times New Roman"/>
                <w:color w:val="auto"/>
                <w:szCs w:val="21"/>
              </w:rPr>
              <w:t>在项目区北地块，</w:t>
            </w:r>
            <w:r>
              <w:rPr>
                <w:rFonts w:hint="eastAsia"/>
                <w:color w:val="auto"/>
                <w:szCs w:val="21"/>
              </w:rPr>
              <w:t>位于旧村东北侧、蚂蟥箐西南侧附近山坡地带</w:t>
            </w:r>
            <w:r>
              <w:rPr>
                <w:rFonts w:hint="eastAsia" w:cs="Times New Roman"/>
                <w:color w:val="auto"/>
                <w:szCs w:val="21"/>
              </w:rPr>
              <w:t>，总体呈西至东布置</w:t>
            </w:r>
            <w:r>
              <w:rPr>
                <w:rFonts w:hint="eastAsia"/>
                <w:color w:val="auto"/>
                <w:szCs w:val="21"/>
              </w:rPr>
              <w:t>；S19~S22光伏方阵</w:t>
            </w:r>
            <w:r>
              <w:rPr>
                <w:rFonts w:hint="eastAsia" w:cs="Times New Roman"/>
                <w:color w:val="auto"/>
                <w:szCs w:val="21"/>
              </w:rPr>
              <w:t>在项目区西地块，</w:t>
            </w:r>
            <w:r>
              <w:rPr>
                <w:rFonts w:hint="eastAsia"/>
                <w:color w:val="auto"/>
                <w:szCs w:val="21"/>
              </w:rPr>
              <w:t>位于大平掌西北侧附近山坡地带</w:t>
            </w:r>
            <w:r>
              <w:rPr>
                <w:rFonts w:hint="eastAsia" w:cs="Times New Roman"/>
                <w:color w:val="auto"/>
                <w:szCs w:val="21"/>
              </w:rPr>
              <w:t>，总体呈西至东布置</w:t>
            </w:r>
            <w:r>
              <w:rPr>
                <w:rFonts w:hint="eastAsia"/>
                <w:color w:val="auto"/>
                <w:szCs w:val="21"/>
              </w:rPr>
              <w:t>；S12~S18光伏方阵</w:t>
            </w:r>
            <w:r>
              <w:rPr>
                <w:rFonts w:hint="eastAsia" w:cs="Times New Roman"/>
                <w:color w:val="auto"/>
                <w:szCs w:val="21"/>
              </w:rPr>
              <w:t>在项目区东地块，</w:t>
            </w:r>
            <w:r>
              <w:rPr>
                <w:rFonts w:hint="eastAsia"/>
                <w:color w:val="auto"/>
                <w:szCs w:val="21"/>
              </w:rPr>
              <w:t>位于包茂村北侧和大歇场东北侧附近山坡地带</w:t>
            </w:r>
            <w:r>
              <w:rPr>
                <w:rFonts w:hint="eastAsia" w:cs="Times New Roman"/>
                <w:color w:val="auto"/>
                <w:szCs w:val="21"/>
              </w:rPr>
              <w:t>，总体呈北至南布置</w:t>
            </w:r>
            <w:r>
              <w:rPr>
                <w:rFonts w:hint="eastAsia"/>
                <w:color w:val="auto"/>
                <w:szCs w:val="21"/>
              </w:rPr>
              <w:t>；S01~S02、S11光伏方阵</w:t>
            </w:r>
            <w:r>
              <w:rPr>
                <w:rFonts w:hint="eastAsia" w:cs="Times New Roman"/>
                <w:color w:val="auto"/>
                <w:szCs w:val="21"/>
              </w:rPr>
              <w:t>在项目区东地块，</w:t>
            </w:r>
            <w:r>
              <w:rPr>
                <w:rFonts w:hint="eastAsia"/>
                <w:color w:val="auto"/>
                <w:szCs w:val="21"/>
              </w:rPr>
              <w:t>位于下朵么北侧和安召西侧附近山坡地带</w:t>
            </w:r>
            <w:r>
              <w:rPr>
                <w:rFonts w:hint="eastAsia" w:cs="Times New Roman"/>
                <w:color w:val="auto"/>
                <w:szCs w:val="21"/>
              </w:rPr>
              <w:t>，总体呈北至南布置</w:t>
            </w:r>
            <w:r>
              <w:rPr>
                <w:color w:val="auto"/>
                <w:szCs w:val="21"/>
              </w:rPr>
              <w:t>。</w:t>
            </w:r>
          </w:p>
          <w:p w14:paraId="6FC6EFE2">
            <w:pPr>
              <w:ind w:firstLine="480"/>
              <w:rPr>
                <w:rFonts w:cs="Times New Roman"/>
                <w:color w:val="auto"/>
                <w:szCs w:val="21"/>
              </w:rPr>
            </w:pPr>
            <w:r>
              <w:rPr>
                <w:rFonts w:hint="eastAsia" w:cs="Times New Roman"/>
                <w:color w:val="auto"/>
                <w:szCs w:val="21"/>
              </w:rPr>
              <w:t>本方案从节约用地、提高工程经济指标的角度进行优化设计，选择经济性最佳的倾角作为本工程设计安装倾角。对于山地光伏项目，由于东西向坡度坡向多变，在实际布置过程中需考虑相邻支架前后排间距的变化，通常按0.5m余量进行布置，从而导致倾角每降低一度对布置影响很小，因此本方案基于辐射量最优倾角方案，按容量不变进行用地及投资、经济指标变化分析，其中组件型号统一为710Wp。</w:t>
            </w:r>
          </w:p>
          <w:p w14:paraId="3DEDA6E4">
            <w:pPr>
              <w:ind w:firstLine="480"/>
              <w:rPr>
                <w:rFonts w:cs="Times New Roman"/>
                <w:color w:val="auto"/>
                <w:szCs w:val="21"/>
              </w:rPr>
            </w:pPr>
            <w:r>
              <w:rPr>
                <w:rFonts w:hint="eastAsia" w:cs="Times New Roman"/>
                <w:color w:val="auto"/>
                <w:szCs w:val="21"/>
              </w:rPr>
              <w:t>根据工程实际情况按照倾角18°、21°、24°、27°和30°进行阵列布置分析（辐射量最优倾角为27°南北向倾角）。</w:t>
            </w:r>
          </w:p>
          <w:p w14:paraId="612840FB">
            <w:pPr>
              <w:pStyle w:val="4"/>
              <w:spacing w:before="48" w:after="48"/>
              <w:rPr>
                <w:color w:val="auto"/>
              </w:rPr>
            </w:pPr>
            <w:bookmarkStart w:id="443" w:name="_Toc160473791"/>
            <w:bookmarkStart w:id="444" w:name="_Toc158491250"/>
            <w:bookmarkStart w:id="445" w:name="_Toc177488207"/>
            <w:bookmarkStart w:id="446" w:name="_Toc177072395"/>
            <w:bookmarkStart w:id="447" w:name="_Toc177072823"/>
            <w:bookmarkStart w:id="448" w:name="_Toc181732808"/>
            <w:bookmarkStart w:id="449" w:name="_Toc181293530"/>
            <w:bookmarkStart w:id="450" w:name="_Toc181738215"/>
            <w:bookmarkStart w:id="451" w:name="_Toc156144143"/>
            <w:bookmarkStart w:id="452" w:name="_Toc160730867"/>
            <w:bookmarkStart w:id="453" w:name="_Toc177482895"/>
            <w:bookmarkStart w:id="454" w:name="_Toc156137829"/>
            <w:bookmarkStart w:id="455" w:name="_Toc159349018"/>
            <w:bookmarkStart w:id="456" w:name="_Toc161415545"/>
            <w:r>
              <w:rPr>
                <w:rFonts w:hint="eastAsia"/>
                <w:color w:val="auto"/>
              </w:rPr>
              <w:t>集电线路</w:t>
            </w:r>
            <w:r>
              <w:rPr>
                <w:color w:val="auto"/>
              </w:rPr>
              <w:t>平面布置</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6051DA50">
            <w:pPr>
              <w:ind w:firstLine="480"/>
              <w:rPr>
                <w:color w:val="auto"/>
              </w:rPr>
            </w:pPr>
            <w:r>
              <w:rPr>
                <w:rFonts w:hint="eastAsia"/>
                <w:color w:val="auto"/>
              </w:rPr>
              <w:t>光伏方阵组串的直流输出电缆铺设方式分为两种，东西方向的电缆沿光伏组件安装支架直接进入组串式逆变器，南北向电缆采用电缆槽盒方式敷设进入组串式逆变器。组串式逆变器交流输出电缆采用槽盒穿出光伏方阵的安装支架后在箱变适当位置下到户外电缆沟，并接至箱变低压母线侧，箱变输出电缆沿电缆壕沟接至集电线路。电缆槽盒可就近利用光伏方阵组串的支架、地面基础作为支撑。光伏场区均采用阻燃交联聚乙烯绝缘护套电力电缆，35kV集电线路电缆除过道路部分采用埋管敷设外，其余采用直埋敷设。</w:t>
            </w:r>
          </w:p>
          <w:p w14:paraId="3FD6F5DE">
            <w:pPr>
              <w:ind w:firstLine="480"/>
              <w:rPr>
                <w:color w:val="auto"/>
                <w:szCs w:val="21"/>
              </w:rPr>
            </w:pPr>
            <w:r>
              <w:rPr>
                <w:rFonts w:hint="eastAsia"/>
                <w:color w:val="auto"/>
                <w:szCs w:val="21"/>
              </w:rPr>
              <w:t>项目各方阵电能共采用2回35kV集电线路汇集至德安升压站。1回35kV集电线线路走向为S03-S10方阵电力汇集后向西南走向，在上柏芝附近与S19-S22方阵电力汇集，线路由西北向东南方向依次排开，采用地埋+架空的方式汇入项目方阵东南侧的德安升压站；2回35kV集电线线路走向为S12~S18方阵电力汇集后向南走向，在下朵么附近汇集S01、S02以及S11方阵电力后，向西南方向依次排开，采用地埋+架空的方式汇入项目方阵东南侧的德安升压站。</w:t>
            </w:r>
          </w:p>
          <w:p w14:paraId="59238116">
            <w:pPr>
              <w:ind w:firstLine="480"/>
              <w:rPr>
                <w:color w:val="auto"/>
              </w:rPr>
            </w:pPr>
            <w:r>
              <w:rPr>
                <w:rFonts w:hint="eastAsia"/>
                <w:color w:val="auto"/>
              </w:rPr>
              <w:t>本项目集电线路路径总长约为22.03km，其中，架空集电线路路径总长约为14.06km（单回线路路径长度3.2km，双回线路路径长度10.86km），直埋电缆沟全长约7.97km。</w:t>
            </w:r>
          </w:p>
          <w:p w14:paraId="421C0E38">
            <w:pPr>
              <w:pStyle w:val="4"/>
              <w:spacing w:before="48" w:after="48"/>
              <w:rPr>
                <w:color w:val="auto"/>
              </w:rPr>
            </w:pPr>
            <w:bookmarkStart w:id="457" w:name="_Toc177072824"/>
            <w:bookmarkStart w:id="458" w:name="_Toc156137830"/>
            <w:bookmarkStart w:id="459" w:name="_Toc159349019"/>
            <w:bookmarkStart w:id="460" w:name="_Toc177482896"/>
            <w:bookmarkStart w:id="461" w:name="_Toc161415546"/>
            <w:bookmarkStart w:id="462" w:name="_Toc156144144"/>
            <w:bookmarkStart w:id="463" w:name="_Toc177488208"/>
            <w:bookmarkStart w:id="464" w:name="_Toc181732809"/>
            <w:bookmarkStart w:id="465" w:name="_Toc181738216"/>
            <w:bookmarkStart w:id="466" w:name="_Toc181293531"/>
            <w:bookmarkStart w:id="467" w:name="_Toc158491251"/>
            <w:bookmarkStart w:id="468" w:name="_Toc177072396"/>
            <w:bookmarkStart w:id="469" w:name="_Toc160473792"/>
            <w:bookmarkStart w:id="470" w:name="_Toc160730868"/>
            <w:r>
              <w:rPr>
                <w:rFonts w:hint="eastAsia"/>
                <w:color w:val="auto"/>
              </w:rPr>
              <w:t>道路工程</w:t>
            </w:r>
            <w:r>
              <w:rPr>
                <w:color w:val="auto"/>
              </w:rPr>
              <w:t>平面布置</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2BA3E67F">
            <w:pPr>
              <w:ind w:firstLine="480"/>
              <w:rPr>
                <w:color w:val="auto"/>
              </w:rPr>
            </w:pPr>
            <w:r>
              <w:rPr>
                <w:rFonts w:hint="eastAsia"/>
                <w:color w:val="auto"/>
              </w:rPr>
              <w:t>场区内的道路根据地形及光伏板矩阵布置设置，尽量利用现有道路，其它道路设置满足场区交通运输需求，且坡度不宜过大。本项目改扩建场内改扩建道路4.73km，新建场内道路7.04km，最大坡度不大于16%，平均坡度为8%～10%，道路路基宽度为4.0m，路面宽度为3.5m，转弯半径为12m，路面采用20cm山皮石面层。在较长施工道路末端设置16m×16m的调车平台，在较长且没有支线的路段设置错车道。箱变布置在场内检修道路两侧，满足检修需求。</w:t>
            </w:r>
          </w:p>
          <w:p w14:paraId="49CE5095">
            <w:pPr>
              <w:pStyle w:val="3"/>
              <w:spacing w:before="72" w:after="72"/>
              <w:rPr>
                <w:color w:val="auto"/>
              </w:rPr>
            </w:pPr>
            <w:bookmarkStart w:id="471" w:name="_Toc136794181"/>
            <w:bookmarkStart w:id="472" w:name="_Toc161415547"/>
            <w:bookmarkStart w:id="473" w:name="_Toc177072825"/>
            <w:bookmarkStart w:id="474" w:name="_Toc160473793"/>
            <w:bookmarkStart w:id="475" w:name="_Toc159349020"/>
            <w:bookmarkStart w:id="476" w:name="_Toc136794306"/>
            <w:bookmarkStart w:id="477" w:name="_Toc158491252"/>
            <w:bookmarkStart w:id="478" w:name="_Toc112173912"/>
            <w:bookmarkStart w:id="479" w:name="_Toc177072397"/>
            <w:bookmarkStart w:id="480" w:name="_Toc181738217"/>
            <w:bookmarkStart w:id="481" w:name="_Toc156137831"/>
            <w:bookmarkStart w:id="482" w:name="_Toc112165617"/>
            <w:bookmarkStart w:id="483" w:name="_Toc156144145"/>
            <w:bookmarkStart w:id="484" w:name="_Toc181732810"/>
            <w:bookmarkStart w:id="485" w:name="_Toc112424254"/>
            <w:bookmarkStart w:id="486" w:name="_Toc23761"/>
            <w:bookmarkStart w:id="487" w:name="_Toc177482897"/>
            <w:bookmarkStart w:id="488" w:name="_Toc177488209"/>
            <w:bookmarkStart w:id="489" w:name="_Toc181293532"/>
            <w:bookmarkStart w:id="490" w:name="_Toc160730869"/>
            <w:bookmarkStart w:id="491" w:name="_Toc2006"/>
            <w:r>
              <w:rPr>
                <w:color w:val="auto"/>
              </w:rPr>
              <w:t>施工布置</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0AF631AF">
            <w:pPr>
              <w:ind w:firstLine="480"/>
              <w:rPr>
                <w:color w:val="auto"/>
                <w:szCs w:val="21"/>
              </w:rPr>
            </w:pPr>
            <w:r>
              <w:rPr>
                <w:color w:val="auto"/>
                <w:szCs w:val="21"/>
              </w:rPr>
              <w:t>1）施工场地</w:t>
            </w:r>
          </w:p>
          <w:p w14:paraId="21DCB9FA">
            <w:pPr>
              <w:ind w:firstLine="480"/>
              <w:rPr>
                <w:color w:val="auto"/>
              </w:rPr>
            </w:pPr>
            <w:r>
              <w:rPr>
                <w:rFonts w:hint="eastAsia"/>
                <w:color w:val="auto"/>
              </w:rPr>
              <w:t>光伏场区施工场地布置：根据主体设计，结合项目实际施工情况，本项目业主、承包商及施工人员临时居住、办公等场地均采用租用民房解决，仅在项目区设置材料临时堆场，包括材料堆放仓库、材料加工区及光伏板、支架等设备材料临时堆放场等。</w:t>
            </w:r>
          </w:p>
          <w:p w14:paraId="2BD77686">
            <w:pPr>
              <w:ind w:firstLine="480"/>
              <w:rPr>
                <w:color w:val="auto"/>
              </w:rPr>
            </w:pPr>
            <w:r>
              <w:rPr>
                <w:rFonts w:hint="eastAsia"/>
                <w:color w:val="auto"/>
              </w:rPr>
              <w:t>规划布置施工场地4处，布置于场内道路一侧光伏方阵区平坦位置，以满足材料设备一次运输到位，其中</w:t>
            </w:r>
            <w:bookmarkStart w:id="492" w:name="OLE_LINK47"/>
            <w:r>
              <w:rPr>
                <w:rFonts w:hint="eastAsia"/>
                <w:color w:val="auto"/>
              </w:rPr>
              <w:t>1#施工场地位于S10地块内西南侧、2#施工场地位于S20地块内西侧、3#施工场地位于S17地块内东侧和4#施工场地位于S02地块内东南侧</w:t>
            </w:r>
            <w:bookmarkEnd w:id="492"/>
            <w:r>
              <w:rPr>
                <w:rFonts w:hint="eastAsia"/>
                <w:color w:val="auto"/>
              </w:rPr>
              <w:t>，场地内布置综合加工厂、综合仓库等，占地</w:t>
            </w:r>
            <w:r>
              <w:rPr>
                <w:rFonts w:cs="Times New Roman"/>
                <w:color w:val="auto"/>
              </w:rPr>
              <w:t>0.45hm</w:t>
            </w:r>
            <w:r>
              <w:rPr>
                <w:rFonts w:cs="Times New Roman"/>
                <w:color w:val="auto"/>
                <w:vertAlign w:val="superscript"/>
              </w:rPr>
              <w:t>2</w:t>
            </w:r>
            <w:r>
              <w:rPr>
                <w:rFonts w:hint="eastAsia"/>
                <w:color w:val="auto"/>
              </w:rPr>
              <w:t>，占地类型为园地。</w:t>
            </w:r>
          </w:p>
          <w:p w14:paraId="03EAD032">
            <w:pPr>
              <w:ind w:firstLine="480"/>
              <w:rPr>
                <w:bCs/>
                <w:color w:val="auto"/>
                <w:szCs w:val="21"/>
              </w:rPr>
            </w:pPr>
            <w:r>
              <w:rPr>
                <w:bCs/>
                <w:color w:val="auto"/>
                <w:szCs w:val="21"/>
              </w:rPr>
              <w:t>2）砂石料生产系统</w:t>
            </w:r>
          </w:p>
          <w:p w14:paraId="6241B5A6">
            <w:pPr>
              <w:ind w:firstLine="480"/>
              <w:rPr>
                <w:color w:val="auto"/>
                <w:szCs w:val="21"/>
              </w:rPr>
            </w:pPr>
            <w:r>
              <w:rPr>
                <w:rFonts w:hint="eastAsia"/>
                <w:color w:val="auto"/>
                <w:szCs w:val="21"/>
              </w:rPr>
              <w:t>砂石料：就近从南涧县及附近乡镇采购。</w:t>
            </w:r>
          </w:p>
          <w:p w14:paraId="0DE296F2">
            <w:pPr>
              <w:ind w:firstLine="480"/>
              <w:rPr>
                <w:bCs/>
                <w:color w:val="auto"/>
                <w:szCs w:val="21"/>
              </w:rPr>
            </w:pPr>
            <w:r>
              <w:rPr>
                <w:bCs/>
                <w:color w:val="auto"/>
                <w:szCs w:val="21"/>
              </w:rPr>
              <w:t>3）表土堆场</w:t>
            </w:r>
          </w:p>
          <w:p w14:paraId="48C57C22">
            <w:pPr>
              <w:ind w:firstLine="480"/>
              <w:rPr>
                <w:color w:val="auto"/>
                <w:szCs w:val="21"/>
              </w:rPr>
            </w:pPr>
            <w:r>
              <w:rPr>
                <w:rFonts w:hint="eastAsia"/>
                <w:color w:val="auto"/>
                <w:szCs w:val="21"/>
              </w:rPr>
              <w:t>根据项目水保方案，项目剥离表土1.43万m</w:t>
            </w:r>
            <w:r>
              <w:rPr>
                <w:rFonts w:hint="eastAsia"/>
                <w:color w:val="auto"/>
                <w:szCs w:val="21"/>
                <w:vertAlign w:val="superscript"/>
              </w:rPr>
              <w:t>3</w:t>
            </w:r>
            <w:r>
              <w:rPr>
                <w:rFonts w:hint="eastAsia"/>
                <w:color w:val="auto"/>
                <w:szCs w:val="21"/>
              </w:rPr>
              <w:t>，</w:t>
            </w:r>
            <w:r>
              <w:rPr>
                <w:color w:val="auto"/>
                <w:szCs w:val="21"/>
              </w:rPr>
              <w:t>集电线路直埋电缆沟表土堆放在管沟一侧</w:t>
            </w:r>
            <w:r>
              <w:rPr>
                <w:rFonts w:hint="eastAsia"/>
                <w:color w:val="auto"/>
                <w:szCs w:val="21"/>
              </w:rPr>
              <w:t>，</w:t>
            </w:r>
            <w:r>
              <w:rPr>
                <w:color w:val="auto"/>
                <w:szCs w:val="21"/>
              </w:rPr>
              <w:t>架空线路</w:t>
            </w:r>
            <w:r>
              <w:rPr>
                <w:rFonts w:hint="eastAsia"/>
                <w:color w:val="auto"/>
                <w:szCs w:val="21"/>
              </w:rPr>
              <w:t>剥离表土临时堆放于各塔基用地一角，场内道路区收集表土主要用于道路填方边坡植被恢复，光伏方阵区的施工营场地区剥离的表土</w:t>
            </w:r>
            <w:r>
              <w:rPr>
                <w:color w:val="auto"/>
                <w:szCs w:val="21"/>
              </w:rPr>
              <w:t>临时堆放于各场地一角</w:t>
            </w:r>
            <w:r>
              <w:rPr>
                <w:rFonts w:hint="eastAsia"/>
                <w:color w:val="auto"/>
                <w:szCs w:val="21"/>
              </w:rPr>
              <w:t>，</w:t>
            </w:r>
            <w:r>
              <w:rPr>
                <w:color w:val="auto"/>
                <w:szCs w:val="21"/>
              </w:rPr>
              <w:t>并采取</w:t>
            </w:r>
            <w:r>
              <w:rPr>
                <w:rFonts w:hint="eastAsia"/>
                <w:color w:val="auto"/>
                <w:szCs w:val="21"/>
              </w:rPr>
              <w:t>临时</w:t>
            </w:r>
            <w:r>
              <w:rPr>
                <w:color w:val="auto"/>
                <w:szCs w:val="21"/>
              </w:rPr>
              <w:t>防护措施</w:t>
            </w:r>
            <w:r>
              <w:rPr>
                <w:rFonts w:hint="eastAsia"/>
                <w:color w:val="auto"/>
                <w:szCs w:val="21"/>
              </w:rPr>
              <w:t>。本项目场内道路区表土即挖即用，均不布置集中堆放场地，方案设计的临时堆土场均位于项目红线内。</w:t>
            </w:r>
          </w:p>
          <w:p w14:paraId="5B38035C">
            <w:pPr>
              <w:ind w:firstLine="482"/>
              <w:jc w:val="center"/>
              <w:rPr>
                <w:b/>
                <w:bCs/>
                <w:color w:val="auto"/>
                <w:szCs w:val="24"/>
              </w:rPr>
            </w:pPr>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2.8</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1</w:t>
            </w:r>
            <w:r>
              <w:rPr>
                <w:b/>
                <w:bCs/>
                <w:color w:val="auto"/>
                <w:szCs w:val="24"/>
              </w:rPr>
              <w:fldChar w:fldCharType="end"/>
            </w:r>
            <w:r>
              <w:rPr>
                <w:b/>
                <w:bCs/>
                <w:color w:val="auto"/>
                <w:szCs w:val="24"/>
              </w:rPr>
              <w:t xml:space="preserve">  </w:t>
            </w:r>
            <w:r>
              <w:rPr>
                <w:rFonts w:hint="eastAsia"/>
                <w:b/>
                <w:bCs/>
                <w:color w:val="auto"/>
                <w:szCs w:val="24"/>
              </w:rPr>
              <w:t>表土堆存规划表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8"/>
              <w:gridCol w:w="668"/>
              <w:gridCol w:w="381"/>
              <w:gridCol w:w="696"/>
              <w:gridCol w:w="575"/>
              <w:gridCol w:w="667"/>
              <w:gridCol w:w="596"/>
              <w:gridCol w:w="736"/>
              <w:gridCol w:w="758"/>
              <w:gridCol w:w="586"/>
              <w:gridCol w:w="696"/>
              <w:gridCol w:w="596"/>
              <w:gridCol w:w="530"/>
            </w:tblGrid>
            <w:tr w14:paraId="604A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735" w:type="pct"/>
                  <w:gridSpan w:val="2"/>
                  <w:tcMar>
                    <w:top w:w="15" w:type="dxa"/>
                    <w:left w:w="15" w:type="dxa"/>
                    <w:right w:w="15" w:type="dxa"/>
                  </w:tcMar>
                  <w:vAlign w:val="center"/>
                </w:tcPr>
                <w:p w14:paraId="0EE5C68D">
                  <w:pPr>
                    <w:pStyle w:val="65"/>
                    <w:rPr>
                      <w:rFonts w:cs="Times New Roman"/>
                      <w:b/>
                      <w:bCs/>
                      <w:color w:val="auto"/>
                      <w:sz w:val="18"/>
                      <w:szCs w:val="18"/>
                    </w:rPr>
                  </w:pPr>
                  <w:r>
                    <w:rPr>
                      <w:rFonts w:cs="Times New Roman"/>
                      <w:b/>
                      <w:bCs/>
                      <w:color w:val="auto"/>
                      <w:sz w:val="18"/>
                      <w:szCs w:val="18"/>
                    </w:rPr>
                    <w:t>项目分区</w:t>
                  </w:r>
                </w:p>
              </w:tc>
              <w:tc>
                <w:tcPr>
                  <w:tcW w:w="2267" w:type="pct"/>
                  <w:gridSpan w:val="6"/>
                  <w:tcMar>
                    <w:top w:w="15" w:type="dxa"/>
                    <w:left w:w="15" w:type="dxa"/>
                    <w:right w:w="15" w:type="dxa"/>
                  </w:tcMar>
                  <w:vAlign w:val="center"/>
                </w:tcPr>
                <w:p w14:paraId="1FFED8CE">
                  <w:pPr>
                    <w:pStyle w:val="65"/>
                    <w:rPr>
                      <w:rFonts w:cs="Times New Roman"/>
                      <w:b/>
                      <w:bCs/>
                      <w:color w:val="auto"/>
                      <w:sz w:val="18"/>
                      <w:szCs w:val="18"/>
                    </w:rPr>
                  </w:pPr>
                  <w:r>
                    <w:rPr>
                      <w:rFonts w:cs="Times New Roman"/>
                      <w:b/>
                      <w:bCs/>
                      <w:color w:val="auto"/>
                      <w:sz w:val="18"/>
                      <w:szCs w:val="18"/>
                    </w:rPr>
                    <w:t>表土剥离</w:t>
                  </w:r>
                </w:p>
              </w:tc>
              <w:tc>
                <w:tcPr>
                  <w:tcW w:w="1999" w:type="pct"/>
                  <w:gridSpan w:val="5"/>
                  <w:tcMar>
                    <w:top w:w="15" w:type="dxa"/>
                    <w:left w:w="15" w:type="dxa"/>
                    <w:right w:w="15" w:type="dxa"/>
                  </w:tcMar>
                  <w:vAlign w:val="center"/>
                </w:tcPr>
                <w:p w14:paraId="0ED0188D">
                  <w:pPr>
                    <w:pStyle w:val="65"/>
                    <w:rPr>
                      <w:rFonts w:cs="Times New Roman"/>
                      <w:b/>
                      <w:bCs/>
                      <w:color w:val="auto"/>
                      <w:sz w:val="18"/>
                      <w:szCs w:val="18"/>
                    </w:rPr>
                  </w:pPr>
                  <w:r>
                    <w:rPr>
                      <w:rFonts w:cs="Times New Roman"/>
                      <w:b/>
                      <w:bCs/>
                      <w:color w:val="auto"/>
                      <w:sz w:val="18"/>
                      <w:szCs w:val="18"/>
                    </w:rPr>
                    <w:t>表土回覆</w:t>
                  </w:r>
                </w:p>
              </w:tc>
            </w:tr>
            <w:tr w14:paraId="4B54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85" w:type="pct"/>
                  <w:vMerge w:val="restart"/>
                  <w:tcMar>
                    <w:top w:w="15" w:type="dxa"/>
                    <w:left w:w="15" w:type="dxa"/>
                    <w:right w:w="15" w:type="dxa"/>
                  </w:tcMar>
                  <w:vAlign w:val="center"/>
                </w:tcPr>
                <w:p w14:paraId="28BC4CEA">
                  <w:pPr>
                    <w:pStyle w:val="65"/>
                    <w:rPr>
                      <w:rFonts w:cs="Times New Roman"/>
                      <w:b/>
                      <w:bCs/>
                      <w:color w:val="auto"/>
                      <w:sz w:val="18"/>
                      <w:szCs w:val="18"/>
                    </w:rPr>
                  </w:pPr>
                  <w:r>
                    <w:rPr>
                      <w:rFonts w:cs="Times New Roman"/>
                      <w:b/>
                      <w:bCs/>
                      <w:color w:val="auto"/>
                      <w:sz w:val="18"/>
                      <w:szCs w:val="18"/>
                    </w:rPr>
                    <w:t>一级分区</w:t>
                  </w:r>
                </w:p>
              </w:tc>
              <w:tc>
                <w:tcPr>
                  <w:tcW w:w="449" w:type="pct"/>
                  <w:vMerge w:val="restart"/>
                  <w:tcMar>
                    <w:top w:w="15" w:type="dxa"/>
                    <w:left w:w="15" w:type="dxa"/>
                    <w:right w:w="15" w:type="dxa"/>
                  </w:tcMar>
                  <w:vAlign w:val="center"/>
                </w:tcPr>
                <w:p w14:paraId="5ADF75B0">
                  <w:pPr>
                    <w:pStyle w:val="65"/>
                    <w:rPr>
                      <w:rFonts w:cs="Times New Roman"/>
                      <w:b/>
                      <w:bCs/>
                      <w:color w:val="auto"/>
                      <w:sz w:val="18"/>
                      <w:szCs w:val="18"/>
                    </w:rPr>
                  </w:pPr>
                  <w:r>
                    <w:rPr>
                      <w:rFonts w:cs="Times New Roman"/>
                      <w:b/>
                      <w:bCs/>
                      <w:color w:val="auto"/>
                      <w:sz w:val="18"/>
                      <w:szCs w:val="18"/>
                    </w:rPr>
                    <w:t>二级分区</w:t>
                  </w:r>
                </w:p>
              </w:tc>
              <w:tc>
                <w:tcPr>
                  <w:tcW w:w="268" w:type="pct"/>
                  <w:vMerge w:val="restart"/>
                  <w:tcMar>
                    <w:top w:w="15" w:type="dxa"/>
                    <w:left w:w="15" w:type="dxa"/>
                    <w:right w:w="15" w:type="dxa"/>
                  </w:tcMar>
                  <w:vAlign w:val="center"/>
                </w:tcPr>
                <w:p w14:paraId="49B2C21F">
                  <w:pPr>
                    <w:pStyle w:val="65"/>
                    <w:rPr>
                      <w:rFonts w:cs="Times New Roman"/>
                      <w:b/>
                      <w:bCs/>
                      <w:color w:val="auto"/>
                      <w:sz w:val="18"/>
                      <w:szCs w:val="18"/>
                    </w:rPr>
                  </w:pPr>
                  <w:r>
                    <w:rPr>
                      <w:rFonts w:cs="Times New Roman"/>
                      <w:b/>
                      <w:bCs/>
                      <w:color w:val="auto"/>
                      <w:sz w:val="18"/>
                      <w:szCs w:val="18"/>
                    </w:rPr>
                    <w:t>地类</w:t>
                  </w:r>
                </w:p>
              </w:tc>
              <w:tc>
                <w:tcPr>
                  <w:tcW w:w="362" w:type="pct"/>
                  <w:vMerge w:val="restart"/>
                  <w:tcMar>
                    <w:top w:w="15" w:type="dxa"/>
                    <w:left w:w="15" w:type="dxa"/>
                    <w:right w:w="15" w:type="dxa"/>
                  </w:tcMar>
                  <w:vAlign w:val="center"/>
                </w:tcPr>
                <w:p w14:paraId="69CDE94A">
                  <w:pPr>
                    <w:pStyle w:val="65"/>
                    <w:rPr>
                      <w:rFonts w:cs="Times New Roman"/>
                      <w:b/>
                      <w:bCs/>
                      <w:color w:val="auto"/>
                      <w:sz w:val="18"/>
                      <w:szCs w:val="18"/>
                    </w:rPr>
                  </w:pPr>
                  <w:r>
                    <w:rPr>
                      <w:rFonts w:cs="Times New Roman"/>
                      <w:b/>
                      <w:bCs/>
                      <w:color w:val="auto"/>
                      <w:sz w:val="18"/>
                      <w:szCs w:val="18"/>
                    </w:rPr>
                    <w:t>剥离面积（hm²）</w:t>
                  </w:r>
                </w:p>
              </w:tc>
              <w:tc>
                <w:tcPr>
                  <w:tcW w:w="391" w:type="pct"/>
                  <w:vMerge w:val="restart"/>
                  <w:tcMar>
                    <w:top w:w="15" w:type="dxa"/>
                    <w:left w:w="15" w:type="dxa"/>
                    <w:right w:w="15" w:type="dxa"/>
                  </w:tcMar>
                  <w:vAlign w:val="center"/>
                </w:tcPr>
                <w:p w14:paraId="1B7BA768">
                  <w:pPr>
                    <w:pStyle w:val="65"/>
                    <w:rPr>
                      <w:rFonts w:cs="Times New Roman"/>
                      <w:b/>
                      <w:bCs/>
                      <w:color w:val="auto"/>
                      <w:sz w:val="18"/>
                      <w:szCs w:val="18"/>
                    </w:rPr>
                  </w:pPr>
                  <w:r>
                    <w:rPr>
                      <w:rFonts w:cs="Times New Roman"/>
                      <w:b/>
                      <w:bCs/>
                      <w:color w:val="auto"/>
                      <w:sz w:val="18"/>
                      <w:szCs w:val="18"/>
                    </w:rPr>
                    <w:t>剥离厚度（m）</w:t>
                  </w:r>
                </w:p>
              </w:tc>
              <w:tc>
                <w:tcPr>
                  <w:tcW w:w="449" w:type="pct"/>
                  <w:vMerge w:val="restart"/>
                  <w:tcMar>
                    <w:top w:w="15" w:type="dxa"/>
                    <w:left w:w="15" w:type="dxa"/>
                    <w:right w:w="15" w:type="dxa"/>
                  </w:tcMar>
                  <w:vAlign w:val="center"/>
                </w:tcPr>
                <w:p w14:paraId="71D20D5B">
                  <w:pPr>
                    <w:pStyle w:val="65"/>
                    <w:rPr>
                      <w:rFonts w:cs="Times New Roman"/>
                      <w:b/>
                      <w:bCs/>
                      <w:color w:val="auto"/>
                      <w:sz w:val="18"/>
                      <w:szCs w:val="18"/>
                    </w:rPr>
                  </w:pPr>
                  <w:r>
                    <w:rPr>
                      <w:rFonts w:cs="Times New Roman"/>
                      <w:b/>
                      <w:bCs/>
                      <w:color w:val="auto"/>
                      <w:sz w:val="18"/>
                      <w:szCs w:val="18"/>
                    </w:rPr>
                    <w:t>剥离表土（万m³）</w:t>
                  </w:r>
                </w:p>
              </w:tc>
              <w:tc>
                <w:tcPr>
                  <w:tcW w:w="797" w:type="pct"/>
                  <w:gridSpan w:val="2"/>
                  <w:tcMar>
                    <w:top w:w="15" w:type="dxa"/>
                    <w:left w:w="15" w:type="dxa"/>
                    <w:right w:w="15" w:type="dxa"/>
                  </w:tcMar>
                  <w:vAlign w:val="center"/>
                </w:tcPr>
                <w:p w14:paraId="22574E54">
                  <w:pPr>
                    <w:pStyle w:val="65"/>
                    <w:rPr>
                      <w:rFonts w:cs="Times New Roman"/>
                      <w:b/>
                      <w:bCs/>
                      <w:color w:val="auto"/>
                      <w:sz w:val="18"/>
                      <w:szCs w:val="18"/>
                    </w:rPr>
                  </w:pPr>
                  <w:r>
                    <w:rPr>
                      <w:rFonts w:cs="Times New Roman"/>
                      <w:b/>
                      <w:bCs/>
                      <w:color w:val="auto"/>
                      <w:sz w:val="18"/>
                      <w:szCs w:val="18"/>
                    </w:rPr>
                    <w:t>调出</w:t>
                  </w:r>
                </w:p>
              </w:tc>
              <w:tc>
                <w:tcPr>
                  <w:tcW w:w="507" w:type="pct"/>
                  <w:vMerge w:val="restart"/>
                  <w:tcMar>
                    <w:top w:w="15" w:type="dxa"/>
                    <w:left w:w="15" w:type="dxa"/>
                    <w:right w:w="15" w:type="dxa"/>
                  </w:tcMar>
                  <w:vAlign w:val="center"/>
                </w:tcPr>
                <w:p w14:paraId="0A64A025">
                  <w:pPr>
                    <w:pStyle w:val="65"/>
                    <w:rPr>
                      <w:rFonts w:cs="Times New Roman"/>
                      <w:b/>
                      <w:bCs/>
                      <w:color w:val="auto"/>
                      <w:sz w:val="18"/>
                      <w:szCs w:val="18"/>
                    </w:rPr>
                  </w:pPr>
                  <w:r>
                    <w:rPr>
                      <w:rFonts w:cs="Times New Roman"/>
                      <w:b/>
                      <w:bCs/>
                      <w:color w:val="auto"/>
                      <w:sz w:val="18"/>
                      <w:szCs w:val="18"/>
                    </w:rPr>
                    <w:t>覆土区</w:t>
                  </w:r>
                </w:p>
              </w:tc>
              <w:tc>
                <w:tcPr>
                  <w:tcW w:w="398" w:type="pct"/>
                  <w:vMerge w:val="restart"/>
                  <w:tcMar>
                    <w:top w:w="15" w:type="dxa"/>
                    <w:left w:w="15" w:type="dxa"/>
                    <w:right w:w="15" w:type="dxa"/>
                  </w:tcMar>
                  <w:vAlign w:val="center"/>
                </w:tcPr>
                <w:p w14:paraId="516064B0">
                  <w:pPr>
                    <w:pStyle w:val="65"/>
                    <w:rPr>
                      <w:rFonts w:cs="Times New Roman"/>
                      <w:b/>
                      <w:bCs/>
                      <w:color w:val="auto"/>
                      <w:sz w:val="18"/>
                      <w:szCs w:val="18"/>
                    </w:rPr>
                  </w:pPr>
                  <w:r>
                    <w:rPr>
                      <w:rFonts w:cs="Times New Roman"/>
                      <w:b/>
                      <w:bCs/>
                      <w:color w:val="auto"/>
                      <w:sz w:val="18"/>
                      <w:szCs w:val="18"/>
                    </w:rPr>
                    <w:t>覆土厚度</w:t>
                  </w:r>
                </w:p>
                <w:p w14:paraId="7A038515">
                  <w:pPr>
                    <w:pStyle w:val="65"/>
                    <w:rPr>
                      <w:rFonts w:cs="Times New Roman"/>
                      <w:b/>
                      <w:bCs/>
                      <w:color w:val="auto"/>
                      <w:sz w:val="18"/>
                      <w:szCs w:val="18"/>
                    </w:rPr>
                  </w:pPr>
                  <w:r>
                    <w:rPr>
                      <w:rFonts w:cs="Times New Roman"/>
                      <w:b/>
                      <w:bCs/>
                      <w:color w:val="auto"/>
                      <w:sz w:val="18"/>
                      <w:szCs w:val="18"/>
                    </w:rPr>
                    <w:t>（m）</w:t>
                  </w:r>
                </w:p>
              </w:tc>
              <w:tc>
                <w:tcPr>
                  <w:tcW w:w="391" w:type="pct"/>
                  <w:vMerge w:val="restart"/>
                  <w:tcMar>
                    <w:top w:w="15" w:type="dxa"/>
                    <w:left w:w="15" w:type="dxa"/>
                    <w:right w:w="15" w:type="dxa"/>
                  </w:tcMar>
                  <w:vAlign w:val="center"/>
                </w:tcPr>
                <w:p w14:paraId="74156BF7">
                  <w:pPr>
                    <w:pStyle w:val="65"/>
                    <w:rPr>
                      <w:rFonts w:cs="Times New Roman"/>
                      <w:b/>
                      <w:bCs/>
                      <w:color w:val="auto"/>
                      <w:sz w:val="18"/>
                      <w:szCs w:val="18"/>
                    </w:rPr>
                  </w:pPr>
                  <w:r>
                    <w:rPr>
                      <w:rFonts w:cs="Times New Roman"/>
                      <w:b/>
                      <w:bCs/>
                      <w:color w:val="auto"/>
                      <w:sz w:val="18"/>
                      <w:szCs w:val="18"/>
                    </w:rPr>
                    <w:t>覆土面积（hm²）</w:t>
                  </w:r>
                </w:p>
              </w:tc>
              <w:tc>
                <w:tcPr>
                  <w:tcW w:w="340" w:type="pct"/>
                  <w:vMerge w:val="restart"/>
                  <w:tcMar>
                    <w:top w:w="15" w:type="dxa"/>
                    <w:left w:w="15" w:type="dxa"/>
                    <w:right w:w="15" w:type="dxa"/>
                  </w:tcMar>
                  <w:vAlign w:val="center"/>
                </w:tcPr>
                <w:p w14:paraId="74DBCDF3">
                  <w:pPr>
                    <w:pStyle w:val="65"/>
                    <w:rPr>
                      <w:rFonts w:cs="Times New Roman"/>
                      <w:b/>
                      <w:bCs/>
                      <w:color w:val="auto"/>
                      <w:sz w:val="18"/>
                      <w:szCs w:val="18"/>
                    </w:rPr>
                  </w:pPr>
                  <w:r>
                    <w:rPr>
                      <w:rFonts w:cs="Times New Roman"/>
                      <w:b/>
                      <w:bCs/>
                      <w:color w:val="auto"/>
                      <w:sz w:val="18"/>
                      <w:szCs w:val="18"/>
                    </w:rPr>
                    <w:t>覆土量（m³）</w:t>
                  </w:r>
                </w:p>
              </w:tc>
              <w:tc>
                <w:tcPr>
                  <w:tcW w:w="362" w:type="pct"/>
                  <w:vMerge w:val="restart"/>
                  <w:tcMar>
                    <w:top w:w="15" w:type="dxa"/>
                    <w:left w:w="15" w:type="dxa"/>
                    <w:right w:w="15" w:type="dxa"/>
                  </w:tcMar>
                  <w:vAlign w:val="center"/>
                </w:tcPr>
                <w:p w14:paraId="2F78E0C9">
                  <w:pPr>
                    <w:pStyle w:val="65"/>
                    <w:rPr>
                      <w:rFonts w:cs="Times New Roman"/>
                      <w:b/>
                      <w:bCs/>
                      <w:color w:val="auto"/>
                      <w:sz w:val="18"/>
                      <w:szCs w:val="18"/>
                    </w:rPr>
                  </w:pPr>
                  <w:r>
                    <w:rPr>
                      <w:rFonts w:cs="Times New Roman"/>
                      <w:b/>
                      <w:bCs/>
                      <w:color w:val="auto"/>
                      <w:sz w:val="18"/>
                      <w:szCs w:val="18"/>
                    </w:rPr>
                    <w:t>来源</w:t>
                  </w:r>
                </w:p>
              </w:tc>
            </w:tr>
            <w:tr w14:paraId="5662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85" w:type="pct"/>
                  <w:vMerge w:val="continue"/>
                  <w:tcMar>
                    <w:top w:w="15" w:type="dxa"/>
                    <w:left w:w="15" w:type="dxa"/>
                    <w:right w:w="15" w:type="dxa"/>
                  </w:tcMar>
                  <w:vAlign w:val="center"/>
                </w:tcPr>
                <w:p w14:paraId="7991F340">
                  <w:pPr>
                    <w:pStyle w:val="65"/>
                    <w:rPr>
                      <w:rFonts w:cs="Times New Roman"/>
                      <w:color w:val="auto"/>
                      <w:sz w:val="18"/>
                      <w:szCs w:val="18"/>
                    </w:rPr>
                  </w:pPr>
                </w:p>
              </w:tc>
              <w:tc>
                <w:tcPr>
                  <w:tcW w:w="449" w:type="pct"/>
                  <w:vMerge w:val="continue"/>
                  <w:tcMar>
                    <w:top w:w="15" w:type="dxa"/>
                    <w:left w:w="15" w:type="dxa"/>
                    <w:right w:w="15" w:type="dxa"/>
                  </w:tcMar>
                  <w:vAlign w:val="center"/>
                </w:tcPr>
                <w:p w14:paraId="6F2DE797">
                  <w:pPr>
                    <w:pStyle w:val="65"/>
                    <w:rPr>
                      <w:rFonts w:cs="Times New Roman"/>
                      <w:color w:val="auto"/>
                      <w:sz w:val="18"/>
                      <w:szCs w:val="18"/>
                    </w:rPr>
                  </w:pPr>
                </w:p>
              </w:tc>
              <w:tc>
                <w:tcPr>
                  <w:tcW w:w="268" w:type="pct"/>
                  <w:vMerge w:val="continue"/>
                  <w:tcMar>
                    <w:top w:w="15" w:type="dxa"/>
                    <w:left w:w="15" w:type="dxa"/>
                    <w:right w:w="15" w:type="dxa"/>
                  </w:tcMar>
                  <w:vAlign w:val="center"/>
                </w:tcPr>
                <w:p w14:paraId="4F1A8A1C">
                  <w:pPr>
                    <w:pStyle w:val="65"/>
                    <w:rPr>
                      <w:rFonts w:cs="Times New Roman"/>
                      <w:color w:val="auto"/>
                      <w:sz w:val="18"/>
                      <w:szCs w:val="18"/>
                    </w:rPr>
                  </w:pPr>
                </w:p>
              </w:tc>
              <w:tc>
                <w:tcPr>
                  <w:tcW w:w="362" w:type="pct"/>
                  <w:vMerge w:val="continue"/>
                  <w:tcMar>
                    <w:top w:w="15" w:type="dxa"/>
                    <w:left w:w="15" w:type="dxa"/>
                    <w:right w:w="15" w:type="dxa"/>
                  </w:tcMar>
                  <w:vAlign w:val="center"/>
                </w:tcPr>
                <w:p w14:paraId="4831308F">
                  <w:pPr>
                    <w:pStyle w:val="65"/>
                    <w:rPr>
                      <w:rFonts w:cs="Times New Roman"/>
                      <w:color w:val="auto"/>
                      <w:sz w:val="18"/>
                      <w:szCs w:val="18"/>
                    </w:rPr>
                  </w:pPr>
                </w:p>
              </w:tc>
              <w:tc>
                <w:tcPr>
                  <w:tcW w:w="391" w:type="pct"/>
                  <w:vMerge w:val="continue"/>
                  <w:tcMar>
                    <w:top w:w="15" w:type="dxa"/>
                    <w:left w:w="15" w:type="dxa"/>
                    <w:right w:w="15" w:type="dxa"/>
                  </w:tcMar>
                  <w:vAlign w:val="center"/>
                </w:tcPr>
                <w:p w14:paraId="2220B65E">
                  <w:pPr>
                    <w:pStyle w:val="65"/>
                    <w:rPr>
                      <w:rFonts w:cs="Times New Roman"/>
                      <w:color w:val="auto"/>
                      <w:sz w:val="18"/>
                      <w:szCs w:val="18"/>
                    </w:rPr>
                  </w:pPr>
                </w:p>
              </w:tc>
              <w:tc>
                <w:tcPr>
                  <w:tcW w:w="449" w:type="pct"/>
                  <w:vMerge w:val="continue"/>
                  <w:tcMar>
                    <w:top w:w="15" w:type="dxa"/>
                    <w:left w:w="15" w:type="dxa"/>
                    <w:right w:w="15" w:type="dxa"/>
                  </w:tcMar>
                  <w:vAlign w:val="center"/>
                </w:tcPr>
                <w:p w14:paraId="5C00F483">
                  <w:pPr>
                    <w:pStyle w:val="65"/>
                    <w:rPr>
                      <w:rFonts w:cs="Times New Roman"/>
                      <w:color w:val="auto"/>
                      <w:sz w:val="18"/>
                      <w:szCs w:val="18"/>
                    </w:rPr>
                  </w:pPr>
                </w:p>
              </w:tc>
              <w:tc>
                <w:tcPr>
                  <w:tcW w:w="304" w:type="pct"/>
                  <w:tcMar>
                    <w:top w:w="15" w:type="dxa"/>
                    <w:left w:w="15" w:type="dxa"/>
                    <w:right w:w="15" w:type="dxa"/>
                  </w:tcMar>
                  <w:vAlign w:val="center"/>
                </w:tcPr>
                <w:p w14:paraId="2BB1208E">
                  <w:pPr>
                    <w:pStyle w:val="65"/>
                    <w:rPr>
                      <w:rFonts w:cs="Times New Roman"/>
                      <w:b/>
                      <w:bCs/>
                      <w:color w:val="auto"/>
                      <w:sz w:val="18"/>
                      <w:szCs w:val="18"/>
                    </w:rPr>
                  </w:pPr>
                  <w:r>
                    <w:rPr>
                      <w:rFonts w:cs="Times New Roman"/>
                      <w:b/>
                      <w:bCs/>
                      <w:color w:val="auto"/>
                      <w:sz w:val="18"/>
                      <w:szCs w:val="18"/>
                    </w:rPr>
                    <w:t>数量（m³）</w:t>
                  </w:r>
                </w:p>
              </w:tc>
              <w:tc>
                <w:tcPr>
                  <w:tcW w:w="492" w:type="pct"/>
                  <w:tcMar>
                    <w:top w:w="15" w:type="dxa"/>
                    <w:left w:w="15" w:type="dxa"/>
                    <w:right w:w="15" w:type="dxa"/>
                  </w:tcMar>
                  <w:vAlign w:val="center"/>
                </w:tcPr>
                <w:p w14:paraId="453AAEB1">
                  <w:pPr>
                    <w:pStyle w:val="65"/>
                    <w:rPr>
                      <w:rFonts w:cs="Times New Roman"/>
                      <w:b/>
                      <w:bCs/>
                      <w:color w:val="auto"/>
                      <w:sz w:val="18"/>
                      <w:szCs w:val="18"/>
                    </w:rPr>
                  </w:pPr>
                  <w:r>
                    <w:rPr>
                      <w:rFonts w:cs="Times New Roman"/>
                      <w:b/>
                      <w:bCs/>
                      <w:color w:val="auto"/>
                      <w:sz w:val="18"/>
                      <w:szCs w:val="18"/>
                    </w:rPr>
                    <w:t>去向及保存方式</w:t>
                  </w:r>
                </w:p>
              </w:tc>
              <w:tc>
                <w:tcPr>
                  <w:tcW w:w="507" w:type="pct"/>
                  <w:vMerge w:val="continue"/>
                  <w:tcMar>
                    <w:top w:w="15" w:type="dxa"/>
                    <w:left w:w="15" w:type="dxa"/>
                    <w:right w:w="15" w:type="dxa"/>
                  </w:tcMar>
                  <w:vAlign w:val="center"/>
                </w:tcPr>
                <w:p w14:paraId="774CA499">
                  <w:pPr>
                    <w:pStyle w:val="65"/>
                    <w:rPr>
                      <w:rFonts w:cs="Times New Roman"/>
                      <w:color w:val="auto"/>
                      <w:sz w:val="18"/>
                      <w:szCs w:val="18"/>
                    </w:rPr>
                  </w:pPr>
                </w:p>
              </w:tc>
              <w:tc>
                <w:tcPr>
                  <w:tcW w:w="398" w:type="pct"/>
                  <w:vMerge w:val="continue"/>
                  <w:tcMar>
                    <w:top w:w="15" w:type="dxa"/>
                    <w:left w:w="15" w:type="dxa"/>
                    <w:right w:w="15" w:type="dxa"/>
                  </w:tcMar>
                  <w:vAlign w:val="center"/>
                </w:tcPr>
                <w:p w14:paraId="52537BCA">
                  <w:pPr>
                    <w:pStyle w:val="65"/>
                    <w:rPr>
                      <w:rFonts w:cs="Times New Roman"/>
                      <w:color w:val="auto"/>
                      <w:sz w:val="18"/>
                      <w:szCs w:val="18"/>
                    </w:rPr>
                  </w:pPr>
                </w:p>
              </w:tc>
              <w:tc>
                <w:tcPr>
                  <w:tcW w:w="391" w:type="pct"/>
                  <w:vMerge w:val="continue"/>
                  <w:tcMar>
                    <w:top w:w="15" w:type="dxa"/>
                    <w:left w:w="15" w:type="dxa"/>
                    <w:right w:w="15" w:type="dxa"/>
                  </w:tcMar>
                  <w:vAlign w:val="center"/>
                </w:tcPr>
                <w:p w14:paraId="67C0D81C">
                  <w:pPr>
                    <w:pStyle w:val="65"/>
                    <w:rPr>
                      <w:rFonts w:cs="Times New Roman"/>
                      <w:color w:val="auto"/>
                      <w:sz w:val="18"/>
                      <w:szCs w:val="18"/>
                    </w:rPr>
                  </w:pPr>
                </w:p>
              </w:tc>
              <w:tc>
                <w:tcPr>
                  <w:tcW w:w="340" w:type="pct"/>
                  <w:vMerge w:val="continue"/>
                  <w:tcMar>
                    <w:top w:w="15" w:type="dxa"/>
                    <w:left w:w="15" w:type="dxa"/>
                    <w:right w:w="15" w:type="dxa"/>
                  </w:tcMar>
                  <w:vAlign w:val="center"/>
                </w:tcPr>
                <w:p w14:paraId="6C2FA14E">
                  <w:pPr>
                    <w:pStyle w:val="65"/>
                    <w:rPr>
                      <w:rFonts w:cs="Times New Roman"/>
                      <w:color w:val="auto"/>
                      <w:sz w:val="18"/>
                      <w:szCs w:val="18"/>
                    </w:rPr>
                  </w:pPr>
                </w:p>
              </w:tc>
              <w:tc>
                <w:tcPr>
                  <w:tcW w:w="362" w:type="pct"/>
                  <w:vMerge w:val="continue"/>
                  <w:tcMar>
                    <w:top w:w="15" w:type="dxa"/>
                    <w:left w:w="15" w:type="dxa"/>
                    <w:right w:w="15" w:type="dxa"/>
                  </w:tcMar>
                  <w:vAlign w:val="center"/>
                </w:tcPr>
                <w:p w14:paraId="7A4C2631">
                  <w:pPr>
                    <w:pStyle w:val="65"/>
                    <w:rPr>
                      <w:rFonts w:cs="Times New Roman"/>
                      <w:color w:val="auto"/>
                      <w:sz w:val="18"/>
                      <w:szCs w:val="18"/>
                    </w:rPr>
                  </w:pPr>
                </w:p>
              </w:tc>
            </w:tr>
            <w:tr w14:paraId="3872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85" w:type="pct"/>
                  <w:vMerge w:val="restart"/>
                  <w:tcMar>
                    <w:top w:w="15" w:type="dxa"/>
                    <w:left w:w="15" w:type="dxa"/>
                    <w:right w:w="15" w:type="dxa"/>
                  </w:tcMar>
                  <w:vAlign w:val="center"/>
                </w:tcPr>
                <w:p w14:paraId="0E4786E4">
                  <w:pPr>
                    <w:pStyle w:val="65"/>
                    <w:rPr>
                      <w:rFonts w:cs="Times New Roman"/>
                      <w:color w:val="auto"/>
                      <w:sz w:val="18"/>
                      <w:szCs w:val="18"/>
                    </w:rPr>
                  </w:pPr>
                  <w:r>
                    <w:rPr>
                      <w:rFonts w:cs="Times New Roman"/>
                      <w:color w:val="auto"/>
                      <w:sz w:val="18"/>
                      <w:szCs w:val="18"/>
                    </w:rPr>
                    <w:t>集电线路工程区</w:t>
                  </w:r>
                </w:p>
              </w:tc>
              <w:tc>
                <w:tcPr>
                  <w:tcW w:w="449" w:type="pct"/>
                  <w:tcMar>
                    <w:top w:w="15" w:type="dxa"/>
                    <w:left w:w="15" w:type="dxa"/>
                    <w:right w:w="15" w:type="dxa"/>
                  </w:tcMar>
                  <w:vAlign w:val="center"/>
                </w:tcPr>
                <w:p w14:paraId="690E852F">
                  <w:pPr>
                    <w:pStyle w:val="65"/>
                    <w:rPr>
                      <w:rFonts w:cs="Times New Roman"/>
                      <w:color w:val="auto"/>
                      <w:sz w:val="18"/>
                      <w:szCs w:val="18"/>
                    </w:rPr>
                  </w:pPr>
                  <w:r>
                    <w:rPr>
                      <w:rFonts w:cs="Times New Roman"/>
                      <w:color w:val="auto"/>
                      <w:sz w:val="18"/>
                      <w:szCs w:val="18"/>
                    </w:rPr>
                    <w:t>电缆线路沟槽</w:t>
                  </w:r>
                </w:p>
              </w:tc>
              <w:tc>
                <w:tcPr>
                  <w:tcW w:w="268" w:type="pct"/>
                  <w:vMerge w:val="restart"/>
                  <w:tcMar>
                    <w:top w:w="15" w:type="dxa"/>
                    <w:left w:w="15" w:type="dxa"/>
                    <w:right w:w="15" w:type="dxa"/>
                  </w:tcMar>
                  <w:vAlign w:val="center"/>
                </w:tcPr>
                <w:p w14:paraId="6D184A4B">
                  <w:pPr>
                    <w:pStyle w:val="65"/>
                    <w:rPr>
                      <w:rFonts w:cs="Times New Roman"/>
                      <w:color w:val="auto"/>
                      <w:sz w:val="18"/>
                      <w:szCs w:val="18"/>
                    </w:rPr>
                  </w:pPr>
                  <w:r>
                    <w:rPr>
                      <w:rFonts w:cs="Times New Roman"/>
                      <w:color w:val="auto"/>
                      <w:sz w:val="18"/>
                      <w:szCs w:val="18"/>
                    </w:rPr>
                    <w:t>园地</w:t>
                  </w:r>
                </w:p>
              </w:tc>
              <w:tc>
                <w:tcPr>
                  <w:tcW w:w="362" w:type="pct"/>
                  <w:tcMar>
                    <w:top w:w="15" w:type="dxa"/>
                    <w:left w:w="15" w:type="dxa"/>
                    <w:right w:w="15" w:type="dxa"/>
                  </w:tcMar>
                  <w:vAlign w:val="center"/>
                </w:tcPr>
                <w:p w14:paraId="57E70080">
                  <w:pPr>
                    <w:pStyle w:val="65"/>
                    <w:rPr>
                      <w:rFonts w:cs="Times New Roman"/>
                      <w:color w:val="auto"/>
                      <w:sz w:val="18"/>
                      <w:szCs w:val="18"/>
                    </w:rPr>
                  </w:pPr>
                  <w:r>
                    <w:rPr>
                      <w:rFonts w:cs="Times New Roman"/>
                      <w:color w:val="auto"/>
                      <w:sz w:val="18"/>
                      <w:szCs w:val="18"/>
                    </w:rPr>
                    <w:t>0.86</w:t>
                  </w:r>
                </w:p>
              </w:tc>
              <w:tc>
                <w:tcPr>
                  <w:tcW w:w="391" w:type="pct"/>
                  <w:vMerge w:val="restart"/>
                  <w:tcMar>
                    <w:top w:w="15" w:type="dxa"/>
                    <w:left w:w="15" w:type="dxa"/>
                    <w:right w:w="15" w:type="dxa"/>
                  </w:tcMar>
                  <w:vAlign w:val="center"/>
                </w:tcPr>
                <w:p w14:paraId="540B2602">
                  <w:pPr>
                    <w:pStyle w:val="65"/>
                    <w:rPr>
                      <w:rFonts w:cs="Times New Roman"/>
                      <w:color w:val="auto"/>
                      <w:sz w:val="18"/>
                      <w:szCs w:val="18"/>
                    </w:rPr>
                  </w:pPr>
                  <w:r>
                    <w:rPr>
                      <w:rFonts w:cs="Times New Roman"/>
                      <w:color w:val="auto"/>
                      <w:sz w:val="18"/>
                      <w:szCs w:val="18"/>
                    </w:rPr>
                    <w:t>0.2</w:t>
                  </w:r>
                </w:p>
              </w:tc>
              <w:tc>
                <w:tcPr>
                  <w:tcW w:w="449" w:type="pct"/>
                  <w:tcMar>
                    <w:top w:w="15" w:type="dxa"/>
                    <w:left w:w="15" w:type="dxa"/>
                    <w:right w:w="15" w:type="dxa"/>
                  </w:tcMar>
                  <w:vAlign w:val="center"/>
                </w:tcPr>
                <w:p w14:paraId="4ABE1010">
                  <w:pPr>
                    <w:pStyle w:val="65"/>
                    <w:rPr>
                      <w:rFonts w:cs="Times New Roman"/>
                      <w:color w:val="auto"/>
                      <w:sz w:val="18"/>
                      <w:szCs w:val="18"/>
                    </w:rPr>
                  </w:pPr>
                  <w:r>
                    <w:rPr>
                      <w:rFonts w:cs="Times New Roman"/>
                      <w:color w:val="auto"/>
                      <w:sz w:val="18"/>
                      <w:szCs w:val="18"/>
                    </w:rPr>
                    <w:t>0.17</w:t>
                  </w:r>
                </w:p>
              </w:tc>
              <w:tc>
                <w:tcPr>
                  <w:tcW w:w="304" w:type="pct"/>
                  <w:tcMar>
                    <w:top w:w="15" w:type="dxa"/>
                    <w:left w:w="15" w:type="dxa"/>
                    <w:right w:w="15" w:type="dxa"/>
                  </w:tcMar>
                  <w:vAlign w:val="center"/>
                </w:tcPr>
                <w:p w14:paraId="787B20E2">
                  <w:pPr>
                    <w:pStyle w:val="65"/>
                    <w:rPr>
                      <w:rFonts w:cs="Times New Roman"/>
                      <w:color w:val="auto"/>
                      <w:sz w:val="18"/>
                      <w:szCs w:val="18"/>
                    </w:rPr>
                  </w:pPr>
                  <w:r>
                    <w:rPr>
                      <w:rFonts w:cs="Times New Roman"/>
                      <w:color w:val="auto"/>
                      <w:sz w:val="18"/>
                      <w:szCs w:val="18"/>
                    </w:rPr>
                    <w:t>0.17</w:t>
                  </w:r>
                </w:p>
              </w:tc>
              <w:tc>
                <w:tcPr>
                  <w:tcW w:w="492" w:type="pct"/>
                  <w:tcMar>
                    <w:top w:w="15" w:type="dxa"/>
                    <w:left w:w="15" w:type="dxa"/>
                    <w:right w:w="15" w:type="dxa"/>
                  </w:tcMar>
                  <w:vAlign w:val="center"/>
                </w:tcPr>
                <w:p w14:paraId="26A96D99">
                  <w:pPr>
                    <w:pStyle w:val="65"/>
                    <w:rPr>
                      <w:rFonts w:cs="Times New Roman"/>
                      <w:color w:val="auto"/>
                      <w:sz w:val="18"/>
                      <w:szCs w:val="18"/>
                    </w:rPr>
                  </w:pPr>
                  <w:r>
                    <w:rPr>
                      <w:rFonts w:cs="Times New Roman"/>
                      <w:color w:val="auto"/>
                      <w:sz w:val="18"/>
                      <w:szCs w:val="18"/>
                    </w:rPr>
                    <w:t>堆放沟槽一侧</w:t>
                  </w:r>
                </w:p>
              </w:tc>
              <w:tc>
                <w:tcPr>
                  <w:tcW w:w="507" w:type="pct"/>
                  <w:tcMar>
                    <w:top w:w="15" w:type="dxa"/>
                    <w:left w:w="15" w:type="dxa"/>
                    <w:right w:w="15" w:type="dxa"/>
                  </w:tcMar>
                  <w:vAlign w:val="center"/>
                </w:tcPr>
                <w:p w14:paraId="4CDE44D9">
                  <w:pPr>
                    <w:pStyle w:val="65"/>
                    <w:rPr>
                      <w:rFonts w:cs="Times New Roman"/>
                      <w:color w:val="auto"/>
                      <w:sz w:val="18"/>
                      <w:szCs w:val="18"/>
                    </w:rPr>
                  </w:pPr>
                  <w:r>
                    <w:rPr>
                      <w:rFonts w:cs="Times New Roman"/>
                      <w:color w:val="auto"/>
                      <w:sz w:val="18"/>
                      <w:szCs w:val="18"/>
                    </w:rPr>
                    <w:t>电缆线路沟槽</w:t>
                  </w:r>
                </w:p>
              </w:tc>
              <w:tc>
                <w:tcPr>
                  <w:tcW w:w="398" w:type="pct"/>
                  <w:vMerge w:val="restart"/>
                  <w:tcMar>
                    <w:top w:w="15" w:type="dxa"/>
                    <w:left w:w="15" w:type="dxa"/>
                    <w:right w:w="15" w:type="dxa"/>
                  </w:tcMar>
                  <w:vAlign w:val="center"/>
                </w:tcPr>
                <w:p w14:paraId="06041081">
                  <w:pPr>
                    <w:pStyle w:val="65"/>
                    <w:rPr>
                      <w:rFonts w:cs="Times New Roman"/>
                      <w:color w:val="auto"/>
                      <w:sz w:val="18"/>
                      <w:szCs w:val="18"/>
                    </w:rPr>
                  </w:pPr>
                  <w:r>
                    <w:rPr>
                      <w:rFonts w:cs="Times New Roman"/>
                      <w:color w:val="auto"/>
                      <w:sz w:val="18"/>
                      <w:szCs w:val="18"/>
                    </w:rPr>
                    <w:t>0.3</w:t>
                  </w:r>
                </w:p>
              </w:tc>
              <w:tc>
                <w:tcPr>
                  <w:tcW w:w="391" w:type="pct"/>
                  <w:tcMar>
                    <w:top w:w="15" w:type="dxa"/>
                    <w:left w:w="15" w:type="dxa"/>
                    <w:right w:w="15" w:type="dxa"/>
                  </w:tcMar>
                  <w:vAlign w:val="center"/>
                </w:tcPr>
                <w:p w14:paraId="64F9C5E8">
                  <w:pPr>
                    <w:pStyle w:val="65"/>
                    <w:rPr>
                      <w:rFonts w:cs="Times New Roman"/>
                      <w:color w:val="auto"/>
                      <w:sz w:val="18"/>
                      <w:szCs w:val="18"/>
                    </w:rPr>
                  </w:pPr>
                  <w:r>
                    <w:rPr>
                      <w:rFonts w:cs="Times New Roman"/>
                      <w:color w:val="auto"/>
                      <w:sz w:val="18"/>
                      <w:szCs w:val="18"/>
                    </w:rPr>
                    <w:t>0.86</w:t>
                  </w:r>
                </w:p>
              </w:tc>
              <w:tc>
                <w:tcPr>
                  <w:tcW w:w="340" w:type="pct"/>
                  <w:tcMar>
                    <w:top w:w="15" w:type="dxa"/>
                    <w:left w:w="15" w:type="dxa"/>
                    <w:right w:w="15" w:type="dxa"/>
                  </w:tcMar>
                  <w:vAlign w:val="center"/>
                </w:tcPr>
                <w:p w14:paraId="5D2A3317">
                  <w:pPr>
                    <w:pStyle w:val="65"/>
                    <w:rPr>
                      <w:rFonts w:cs="Times New Roman"/>
                      <w:color w:val="auto"/>
                      <w:sz w:val="18"/>
                      <w:szCs w:val="18"/>
                    </w:rPr>
                  </w:pPr>
                  <w:r>
                    <w:rPr>
                      <w:rFonts w:cs="Times New Roman"/>
                      <w:color w:val="auto"/>
                      <w:sz w:val="18"/>
                      <w:szCs w:val="18"/>
                    </w:rPr>
                    <w:t>0.26</w:t>
                  </w:r>
                </w:p>
              </w:tc>
              <w:tc>
                <w:tcPr>
                  <w:tcW w:w="362" w:type="pct"/>
                  <w:tcMar>
                    <w:top w:w="15" w:type="dxa"/>
                    <w:left w:w="15" w:type="dxa"/>
                    <w:right w:w="15" w:type="dxa"/>
                  </w:tcMar>
                  <w:vAlign w:val="center"/>
                </w:tcPr>
                <w:p w14:paraId="36F6E315">
                  <w:pPr>
                    <w:pStyle w:val="65"/>
                    <w:rPr>
                      <w:rFonts w:cs="Times New Roman"/>
                      <w:color w:val="auto"/>
                      <w:sz w:val="18"/>
                      <w:szCs w:val="18"/>
                    </w:rPr>
                  </w:pPr>
                  <w:r>
                    <w:rPr>
                      <w:rFonts w:cs="Times New Roman"/>
                      <w:color w:val="auto"/>
                      <w:sz w:val="18"/>
                      <w:szCs w:val="18"/>
                    </w:rPr>
                    <w:t>沿线堆存表土</w:t>
                  </w:r>
                </w:p>
              </w:tc>
            </w:tr>
            <w:tr w14:paraId="078F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85" w:type="pct"/>
                  <w:vMerge w:val="continue"/>
                  <w:tcMar>
                    <w:top w:w="15" w:type="dxa"/>
                    <w:left w:w="15" w:type="dxa"/>
                    <w:right w:w="15" w:type="dxa"/>
                  </w:tcMar>
                  <w:vAlign w:val="center"/>
                </w:tcPr>
                <w:p w14:paraId="1629F9F5">
                  <w:pPr>
                    <w:pStyle w:val="65"/>
                    <w:rPr>
                      <w:rFonts w:cs="Times New Roman"/>
                      <w:color w:val="auto"/>
                      <w:sz w:val="18"/>
                      <w:szCs w:val="18"/>
                    </w:rPr>
                  </w:pPr>
                </w:p>
              </w:tc>
              <w:tc>
                <w:tcPr>
                  <w:tcW w:w="449" w:type="pct"/>
                  <w:tcMar>
                    <w:top w:w="15" w:type="dxa"/>
                    <w:left w:w="15" w:type="dxa"/>
                    <w:right w:w="15" w:type="dxa"/>
                  </w:tcMar>
                  <w:vAlign w:val="center"/>
                </w:tcPr>
                <w:p w14:paraId="6366D690">
                  <w:pPr>
                    <w:pStyle w:val="65"/>
                    <w:rPr>
                      <w:rFonts w:cs="Times New Roman"/>
                      <w:color w:val="auto"/>
                      <w:sz w:val="18"/>
                      <w:szCs w:val="18"/>
                    </w:rPr>
                  </w:pPr>
                  <w:r>
                    <w:rPr>
                      <w:rFonts w:cs="Times New Roman"/>
                      <w:color w:val="auto"/>
                      <w:sz w:val="18"/>
                      <w:szCs w:val="18"/>
                    </w:rPr>
                    <w:t>架空线路塔基施工压占区</w:t>
                  </w:r>
                </w:p>
              </w:tc>
              <w:tc>
                <w:tcPr>
                  <w:tcW w:w="268" w:type="pct"/>
                  <w:vMerge w:val="continue"/>
                  <w:tcMar>
                    <w:top w:w="15" w:type="dxa"/>
                    <w:left w:w="15" w:type="dxa"/>
                    <w:right w:w="15" w:type="dxa"/>
                  </w:tcMar>
                  <w:vAlign w:val="center"/>
                </w:tcPr>
                <w:p w14:paraId="7B4232BE">
                  <w:pPr>
                    <w:pStyle w:val="65"/>
                    <w:rPr>
                      <w:rFonts w:cs="Times New Roman"/>
                      <w:color w:val="auto"/>
                      <w:sz w:val="18"/>
                      <w:szCs w:val="18"/>
                    </w:rPr>
                  </w:pPr>
                </w:p>
              </w:tc>
              <w:tc>
                <w:tcPr>
                  <w:tcW w:w="362" w:type="pct"/>
                  <w:tcMar>
                    <w:top w:w="15" w:type="dxa"/>
                    <w:left w:w="15" w:type="dxa"/>
                    <w:right w:w="15" w:type="dxa"/>
                  </w:tcMar>
                  <w:vAlign w:val="center"/>
                </w:tcPr>
                <w:p w14:paraId="35A19A76">
                  <w:pPr>
                    <w:pStyle w:val="65"/>
                    <w:rPr>
                      <w:rFonts w:cs="Times New Roman"/>
                      <w:color w:val="auto"/>
                      <w:sz w:val="18"/>
                      <w:szCs w:val="18"/>
                    </w:rPr>
                  </w:pPr>
                  <w:r>
                    <w:rPr>
                      <w:rFonts w:cs="Times New Roman"/>
                      <w:color w:val="auto"/>
                      <w:sz w:val="18"/>
                      <w:szCs w:val="18"/>
                    </w:rPr>
                    <w:t>0.22</w:t>
                  </w:r>
                </w:p>
              </w:tc>
              <w:tc>
                <w:tcPr>
                  <w:tcW w:w="391" w:type="pct"/>
                  <w:vMerge w:val="continue"/>
                  <w:tcMar>
                    <w:top w:w="15" w:type="dxa"/>
                    <w:left w:w="15" w:type="dxa"/>
                    <w:right w:w="15" w:type="dxa"/>
                  </w:tcMar>
                  <w:vAlign w:val="center"/>
                </w:tcPr>
                <w:p w14:paraId="13AF6907">
                  <w:pPr>
                    <w:pStyle w:val="65"/>
                    <w:rPr>
                      <w:rFonts w:cs="Times New Roman"/>
                      <w:color w:val="auto"/>
                      <w:sz w:val="18"/>
                      <w:szCs w:val="18"/>
                    </w:rPr>
                  </w:pPr>
                </w:p>
              </w:tc>
              <w:tc>
                <w:tcPr>
                  <w:tcW w:w="449" w:type="pct"/>
                  <w:tcMar>
                    <w:top w:w="15" w:type="dxa"/>
                    <w:left w:w="15" w:type="dxa"/>
                    <w:right w:w="15" w:type="dxa"/>
                  </w:tcMar>
                  <w:vAlign w:val="center"/>
                </w:tcPr>
                <w:p w14:paraId="4B5CE1F2">
                  <w:pPr>
                    <w:pStyle w:val="65"/>
                    <w:rPr>
                      <w:rFonts w:cs="Times New Roman"/>
                      <w:color w:val="auto"/>
                      <w:sz w:val="18"/>
                      <w:szCs w:val="18"/>
                    </w:rPr>
                  </w:pPr>
                  <w:r>
                    <w:rPr>
                      <w:rFonts w:cs="Times New Roman"/>
                      <w:color w:val="auto"/>
                      <w:sz w:val="18"/>
                      <w:szCs w:val="18"/>
                    </w:rPr>
                    <w:t>0.05</w:t>
                  </w:r>
                </w:p>
              </w:tc>
              <w:tc>
                <w:tcPr>
                  <w:tcW w:w="304" w:type="pct"/>
                  <w:tcMar>
                    <w:top w:w="15" w:type="dxa"/>
                    <w:left w:w="15" w:type="dxa"/>
                    <w:right w:w="15" w:type="dxa"/>
                  </w:tcMar>
                  <w:vAlign w:val="center"/>
                </w:tcPr>
                <w:p w14:paraId="4554E7CA">
                  <w:pPr>
                    <w:pStyle w:val="65"/>
                    <w:rPr>
                      <w:rFonts w:cs="Times New Roman"/>
                      <w:color w:val="auto"/>
                      <w:sz w:val="18"/>
                      <w:szCs w:val="18"/>
                    </w:rPr>
                  </w:pPr>
                  <w:r>
                    <w:rPr>
                      <w:rFonts w:cs="Times New Roman"/>
                      <w:color w:val="auto"/>
                      <w:sz w:val="18"/>
                      <w:szCs w:val="18"/>
                    </w:rPr>
                    <w:t>0.05</w:t>
                  </w:r>
                </w:p>
              </w:tc>
              <w:tc>
                <w:tcPr>
                  <w:tcW w:w="492" w:type="pct"/>
                  <w:tcMar>
                    <w:top w:w="15" w:type="dxa"/>
                    <w:left w:w="15" w:type="dxa"/>
                    <w:right w:w="15" w:type="dxa"/>
                  </w:tcMar>
                  <w:vAlign w:val="center"/>
                </w:tcPr>
                <w:p w14:paraId="654D1948">
                  <w:pPr>
                    <w:pStyle w:val="65"/>
                    <w:rPr>
                      <w:rFonts w:cs="Times New Roman"/>
                      <w:color w:val="auto"/>
                      <w:sz w:val="18"/>
                      <w:szCs w:val="18"/>
                    </w:rPr>
                  </w:pPr>
                  <w:r>
                    <w:rPr>
                      <w:rFonts w:cs="Times New Roman"/>
                      <w:color w:val="auto"/>
                      <w:sz w:val="18"/>
                      <w:szCs w:val="18"/>
                    </w:rPr>
                    <w:t>编织袋装土</w:t>
                  </w:r>
                </w:p>
              </w:tc>
              <w:tc>
                <w:tcPr>
                  <w:tcW w:w="507" w:type="pct"/>
                  <w:tcMar>
                    <w:top w:w="15" w:type="dxa"/>
                    <w:left w:w="15" w:type="dxa"/>
                    <w:right w:w="15" w:type="dxa"/>
                  </w:tcMar>
                  <w:vAlign w:val="center"/>
                </w:tcPr>
                <w:p w14:paraId="59CFC462">
                  <w:pPr>
                    <w:pStyle w:val="65"/>
                    <w:rPr>
                      <w:rFonts w:cs="Times New Roman"/>
                      <w:color w:val="auto"/>
                      <w:sz w:val="18"/>
                      <w:szCs w:val="18"/>
                    </w:rPr>
                  </w:pPr>
                  <w:r>
                    <w:rPr>
                      <w:rFonts w:cs="Times New Roman"/>
                      <w:color w:val="auto"/>
                      <w:sz w:val="18"/>
                      <w:szCs w:val="18"/>
                    </w:rPr>
                    <w:t>架空线路塔基施工压占区</w:t>
                  </w:r>
                </w:p>
              </w:tc>
              <w:tc>
                <w:tcPr>
                  <w:tcW w:w="398" w:type="pct"/>
                  <w:vMerge w:val="continue"/>
                  <w:tcMar>
                    <w:top w:w="15" w:type="dxa"/>
                    <w:left w:w="15" w:type="dxa"/>
                    <w:right w:w="15" w:type="dxa"/>
                  </w:tcMar>
                  <w:vAlign w:val="center"/>
                </w:tcPr>
                <w:p w14:paraId="12ADCCA7">
                  <w:pPr>
                    <w:pStyle w:val="65"/>
                    <w:rPr>
                      <w:rFonts w:cs="Times New Roman"/>
                      <w:color w:val="auto"/>
                      <w:sz w:val="18"/>
                      <w:szCs w:val="18"/>
                    </w:rPr>
                  </w:pPr>
                </w:p>
              </w:tc>
              <w:tc>
                <w:tcPr>
                  <w:tcW w:w="391" w:type="pct"/>
                  <w:tcMar>
                    <w:top w:w="15" w:type="dxa"/>
                    <w:left w:w="15" w:type="dxa"/>
                    <w:right w:w="15" w:type="dxa"/>
                  </w:tcMar>
                  <w:vAlign w:val="center"/>
                </w:tcPr>
                <w:p w14:paraId="3090EF79">
                  <w:pPr>
                    <w:pStyle w:val="65"/>
                    <w:rPr>
                      <w:rFonts w:cs="Times New Roman"/>
                      <w:color w:val="auto"/>
                      <w:sz w:val="18"/>
                      <w:szCs w:val="18"/>
                    </w:rPr>
                  </w:pPr>
                  <w:r>
                    <w:rPr>
                      <w:rFonts w:cs="Times New Roman"/>
                      <w:color w:val="auto"/>
                      <w:sz w:val="18"/>
                      <w:szCs w:val="18"/>
                    </w:rPr>
                    <w:t>0.22</w:t>
                  </w:r>
                </w:p>
              </w:tc>
              <w:tc>
                <w:tcPr>
                  <w:tcW w:w="340" w:type="pct"/>
                  <w:tcMar>
                    <w:top w:w="15" w:type="dxa"/>
                    <w:left w:w="15" w:type="dxa"/>
                    <w:right w:w="15" w:type="dxa"/>
                  </w:tcMar>
                  <w:vAlign w:val="center"/>
                </w:tcPr>
                <w:p w14:paraId="433FAF67">
                  <w:pPr>
                    <w:pStyle w:val="65"/>
                    <w:rPr>
                      <w:rFonts w:cs="Times New Roman"/>
                      <w:color w:val="auto"/>
                      <w:sz w:val="18"/>
                      <w:szCs w:val="18"/>
                    </w:rPr>
                  </w:pPr>
                  <w:r>
                    <w:rPr>
                      <w:rFonts w:cs="Times New Roman"/>
                      <w:color w:val="auto"/>
                      <w:sz w:val="18"/>
                      <w:szCs w:val="18"/>
                    </w:rPr>
                    <w:t>0.06</w:t>
                  </w:r>
                </w:p>
              </w:tc>
              <w:tc>
                <w:tcPr>
                  <w:tcW w:w="362" w:type="pct"/>
                  <w:tcMar>
                    <w:top w:w="15" w:type="dxa"/>
                    <w:left w:w="15" w:type="dxa"/>
                    <w:right w:w="15" w:type="dxa"/>
                  </w:tcMar>
                  <w:vAlign w:val="center"/>
                </w:tcPr>
                <w:p w14:paraId="7D38CFF7">
                  <w:pPr>
                    <w:pStyle w:val="65"/>
                    <w:rPr>
                      <w:rFonts w:cs="Times New Roman"/>
                      <w:color w:val="auto"/>
                      <w:sz w:val="18"/>
                      <w:szCs w:val="18"/>
                    </w:rPr>
                  </w:pPr>
                  <w:r>
                    <w:rPr>
                      <w:rFonts w:cs="Times New Roman"/>
                      <w:color w:val="auto"/>
                      <w:sz w:val="18"/>
                      <w:szCs w:val="18"/>
                    </w:rPr>
                    <w:t>编织袋装土</w:t>
                  </w:r>
                </w:p>
              </w:tc>
            </w:tr>
            <w:tr w14:paraId="26B0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85" w:type="pct"/>
                  <w:vMerge w:val="continue"/>
                  <w:tcMar>
                    <w:top w:w="15" w:type="dxa"/>
                    <w:left w:w="15" w:type="dxa"/>
                    <w:right w:w="15" w:type="dxa"/>
                  </w:tcMar>
                  <w:vAlign w:val="center"/>
                </w:tcPr>
                <w:p w14:paraId="1C3860C7">
                  <w:pPr>
                    <w:pStyle w:val="65"/>
                    <w:rPr>
                      <w:rFonts w:cs="Times New Roman"/>
                      <w:color w:val="auto"/>
                      <w:sz w:val="18"/>
                      <w:szCs w:val="18"/>
                    </w:rPr>
                  </w:pPr>
                </w:p>
              </w:tc>
              <w:tc>
                <w:tcPr>
                  <w:tcW w:w="449" w:type="pct"/>
                  <w:tcMar>
                    <w:top w:w="15" w:type="dxa"/>
                    <w:left w:w="15" w:type="dxa"/>
                    <w:right w:w="15" w:type="dxa"/>
                  </w:tcMar>
                  <w:vAlign w:val="center"/>
                </w:tcPr>
                <w:p w14:paraId="39E57761">
                  <w:pPr>
                    <w:pStyle w:val="65"/>
                    <w:rPr>
                      <w:rFonts w:cs="Times New Roman"/>
                      <w:color w:val="auto"/>
                      <w:sz w:val="18"/>
                      <w:szCs w:val="18"/>
                    </w:rPr>
                  </w:pPr>
                  <w:r>
                    <w:rPr>
                      <w:rFonts w:cs="Times New Roman"/>
                      <w:color w:val="auto"/>
                      <w:sz w:val="18"/>
                      <w:szCs w:val="18"/>
                    </w:rPr>
                    <w:t>小计</w:t>
                  </w:r>
                </w:p>
              </w:tc>
              <w:tc>
                <w:tcPr>
                  <w:tcW w:w="268" w:type="pct"/>
                  <w:tcMar>
                    <w:top w:w="15" w:type="dxa"/>
                    <w:left w:w="15" w:type="dxa"/>
                    <w:right w:w="15" w:type="dxa"/>
                  </w:tcMar>
                  <w:vAlign w:val="center"/>
                </w:tcPr>
                <w:p w14:paraId="332189D9">
                  <w:pPr>
                    <w:pStyle w:val="65"/>
                    <w:rPr>
                      <w:rFonts w:cs="Times New Roman"/>
                      <w:color w:val="auto"/>
                      <w:sz w:val="18"/>
                      <w:szCs w:val="18"/>
                    </w:rPr>
                  </w:pPr>
                  <w:r>
                    <w:rPr>
                      <w:rFonts w:cs="Times New Roman"/>
                      <w:color w:val="auto"/>
                      <w:sz w:val="18"/>
                      <w:szCs w:val="18"/>
                    </w:rPr>
                    <w:t>-</w:t>
                  </w:r>
                </w:p>
              </w:tc>
              <w:tc>
                <w:tcPr>
                  <w:tcW w:w="362" w:type="pct"/>
                  <w:tcMar>
                    <w:top w:w="15" w:type="dxa"/>
                    <w:left w:w="15" w:type="dxa"/>
                    <w:right w:w="15" w:type="dxa"/>
                  </w:tcMar>
                  <w:vAlign w:val="center"/>
                </w:tcPr>
                <w:p w14:paraId="28B219DB">
                  <w:pPr>
                    <w:pStyle w:val="65"/>
                    <w:rPr>
                      <w:rFonts w:cs="Times New Roman"/>
                      <w:color w:val="auto"/>
                      <w:sz w:val="18"/>
                      <w:szCs w:val="18"/>
                    </w:rPr>
                  </w:pPr>
                  <w:r>
                    <w:rPr>
                      <w:rFonts w:cs="Times New Roman"/>
                      <w:color w:val="auto"/>
                      <w:sz w:val="18"/>
                      <w:szCs w:val="18"/>
                    </w:rPr>
                    <w:t>1.08</w:t>
                  </w:r>
                </w:p>
              </w:tc>
              <w:tc>
                <w:tcPr>
                  <w:tcW w:w="391" w:type="pct"/>
                  <w:tcMar>
                    <w:top w:w="15" w:type="dxa"/>
                    <w:left w:w="15" w:type="dxa"/>
                    <w:right w:w="15" w:type="dxa"/>
                  </w:tcMar>
                  <w:vAlign w:val="center"/>
                </w:tcPr>
                <w:p w14:paraId="5396C019">
                  <w:pPr>
                    <w:pStyle w:val="65"/>
                    <w:rPr>
                      <w:rFonts w:cs="Times New Roman"/>
                      <w:color w:val="auto"/>
                      <w:sz w:val="18"/>
                      <w:szCs w:val="18"/>
                    </w:rPr>
                  </w:pPr>
                  <w:r>
                    <w:rPr>
                      <w:rFonts w:hint="eastAsia" w:cs="Times New Roman"/>
                      <w:color w:val="auto"/>
                      <w:sz w:val="18"/>
                      <w:szCs w:val="18"/>
                    </w:rPr>
                    <w:t>-</w:t>
                  </w:r>
                </w:p>
              </w:tc>
              <w:tc>
                <w:tcPr>
                  <w:tcW w:w="449" w:type="pct"/>
                  <w:tcMar>
                    <w:top w:w="15" w:type="dxa"/>
                    <w:left w:w="15" w:type="dxa"/>
                    <w:right w:w="15" w:type="dxa"/>
                  </w:tcMar>
                  <w:vAlign w:val="center"/>
                </w:tcPr>
                <w:p w14:paraId="59545B3E">
                  <w:pPr>
                    <w:pStyle w:val="65"/>
                    <w:rPr>
                      <w:rFonts w:cs="Times New Roman"/>
                      <w:color w:val="auto"/>
                      <w:sz w:val="18"/>
                      <w:szCs w:val="18"/>
                    </w:rPr>
                  </w:pPr>
                  <w:r>
                    <w:rPr>
                      <w:rFonts w:cs="Times New Roman"/>
                      <w:color w:val="auto"/>
                      <w:sz w:val="18"/>
                      <w:szCs w:val="18"/>
                    </w:rPr>
                    <w:t>0.22</w:t>
                  </w:r>
                </w:p>
              </w:tc>
              <w:tc>
                <w:tcPr>
                  <w:tcW w:w="304" w:type="pct"/>
                  <w:tcMar>
                    <w:top w:w="15" w:type="dxa"/>
                    <w:left w:w="15" w:type="dxa"/>
                    <w:right w:w="15" w:type="dxa"/>
                  </w:tcMar>
                  <w:vAlign w:val="center"/>
                </w:tcPr>
                <w:p w14:paraId="143D4366">
                  <w:pPr>
                    <w:pStyle w:val="65"/>
                    <w:rPr>
                      <w:rFonts w:cs="Times New Roman"/>
                      <w:color w:val="auto"/>
                      <w:sz w:val="18"/>
                      <w:szCs w:val="18"/>
                    </w:rPr>
                  </w:pPr>
                  <w:r>
                    <w:rPr>
                      <w:rFonts w:cs="Times New Roman"/>
                      <w:color w:val="auto"/>
                      <w:sz w:val="18"/>
                      <w:szCs w:val="18"/>
                    </w:rPr>
                    <w:t>0.22</w:t>
                  </w:r>
                </w:p>
              </w:tc>
              <w:tc>
                <w:tcPr>
                  <w:tcW w:w="492" w:type="pct"/>
                  <w:tcMar>
                    <w:top w:w="15" w:type="dxa"/>
                    <w:left w:w="15" w:type="dxa"/>
                    <w:right w:w="15" w:type="dxa"/>
                  </w:tcMar>
                  <w:vAlign w:val="center"/>
                </w:tcPr>
                <w:p w14:paraId="0D4F6CC9">
                  <w:pPr>
                    <w:pStyle w:val="65"/>
                    <w:rPr>
                      <w:rFonts w:cs="Times New Roman"/>
                      <w:color w:val="auto"/>
                      <w:sz w:val="18"/>
                      <w:szCs w:val="18"/>
                    </w:rPr>
                  </w:pPr>
                  <w:r>
                    <w:rPr>
                      <w:rFonts w:cs="Times New Roman"/>
                      <w:color w:val="auto"/>
                      <w:sz w:val="18"/>
                      <w:szCs w:val="18"/>
                    </w:rPr>
                    <w:t>-</w:t>
                  </w:r>
                </w:p>
              </w:tc>
              <w:tc>
                <w:tcPr>
                  <w:tcW w:w="507" w:type="pct"/>
                  <w:tcMar>
                    <w:top w:w="15" w:type="dxa"/>
                    <w:left w:w="15" w:type="dxa"/>
                    <w:right w:w="15" w:type="dxa"/>
                  </w:tcMar>
                  <w:vAlign w:val="center"/>
                </w:tcPr>
                <w:p w14:paraId="3B0D0E7F">
                  <w:pPr>
                    <w:pStyle w:val="65"/>
                    <w:rPr>
                      <w:rFonts w:cs="Times New Roman"/>
                      <w:color w:val="auto"/>
                      <w:sz w:val="18"/>
                      <w:szCs w:val="18"/>
                    </w:rPr>
                  </w:pPr>
                  <w:r>
                    <w:rPr>
                      <w:rFonts w:cs="Times New Roman"/>
                      <w:color w:val="auto"/>
                      <w:sz w:val="18"/>
                      <w:szCs w:val="18"/>
                    </w:rPr>
                    <w:t>小计</w:t>
                  </w:r>
                </w:p>
              </w:tc>
              <w:tc>
                <w:tcPr>
                  <w:tcW w:w="398" w:type="pct"/>
                  <w:tcMar>
                    <w:top w:w="15" w:type="dxa"/>
                    <w:left w:w="15" w:type="dxa"/>
                    <w:right w:w="15" w:type="dxa"/>
                  </w:tcMar>
                  <w:vAlign w:val="center"/>
                </w:tcPr>
                <w:p w14:paraId="7EF1EFCE">
                  <w:pPr>
                    <w:pStyle w:val="65"/>
                    <w:rPr>
                      <w:rFonts w:cs="Times New Roman"/>
                      <w:color w:val="auto"/>
                      <w:sz w:val="18"/>
                      <w:szCs w:val="18"/>
                    </w:rPr>
                  </w:pPr>
                  <w:r>
                    <w:rPr>
                      <w:rFonts w:cs="Times New Roman"/>
                      <w:color w:val="auto"/>
                      <w:sz w:val="18"/>
                      <w:szCs w:val="18"/>
                    </w:rPr>
                    <w:t>-</w:t>
                  </w:r>
                </w:p>
              </w:tc>
              <w:tc>
                <w:tcPr>
                  <w:tcW w:w="391" w:type="pct"/>
                  <w:tcMar>
                    <w:top w:w="15" w:type="dxa"/>
                    <w:left w:w="15" w:type="dxa"/>
                    <w:right w:w="15" w:type="dxa"/>
                  </w:tcMar>
                  <w:vAlign w:val="center"/>
                </w:tcPr>
                <w:p w14:paraId="2289B197">
                  <w:pPr>
                    <w:pStyle w:val="65"/>
                    <w:rPr>
                      <w:rFonts w:cs="Times New Roman"/>
                      <w:color w:val="auto"/>
                      <w:sz w:val="18"/>
                      <w:szCs w:val="18"/>
                    </w:rPr>
                  </w:pPr>
                  <w:r>
                    <w:rPr>
                      <w:rFonts w:cs="Times New Roman"/>
                      <w:color w:val="auto"/>
                      <w:sz w:val="18"/>
                      <w:szCs w:val="18"/>
                    </w:rPr>
                    <w:t>1.08</w:t>
                  </w:r>
                </w:p>
              </w:tc>
              <w:tc>
                <w:tcPr>
                  <w:tcW w:w="340" w:type="pct"/>
                  <w:tcMar>
                    <w:top w:w="15" w:type="dxa"/>
                    <w:left w:w="15" w:type="dxa"/>
                    <w:right w:w="15" w:type="dxa"/>
                  </w:tcMar>
                  <w:vAlign w:val="center"/>
                </w:tcPr>
                <w:p w14:paraId="176EBC29">
                  <w:pPr>
                    <w:pStyle w:val="65"/>
                    <w:rPr>
                      <w:rFonts w:cs="Times New Roman"/>
                      <w:color w:val="auto"/>
                      <w:sz w:val="18"/>
                      <w:szCs w:val="18"/>
                    </w:rPr>
                  </w:pPr>
                  <w:r>
                    <w:rPr>
                      <w:rFonts w:cs="Times New Roman"/>
                      <w:color w:val="auto"/>
                      <w:sz w:val="18"/>
                      <w:szCs w:val="18"/>
                    </w:rPr>
                    <w:t>0.32</w:t>
                  </w:r>
                </w:p>
              </w:tc>
              <w:tc>
                <w:tcPr>
                  <w:tcW w:w="362" w:type="pct"/>
                  <w:tcMar>
                    <w:top w:w="15" w:type="dxa"/>
                    <w:left w:w="15" w:type="dxa"/>
                    <w:right w:w="15" w:type="dxa"/>
                  </w:tcMar>
                  <w:vAlign w:val="center"/>
                </w:tcPr>
                <w:p w14:paraId="0E351D41">
                  <w:pPr>
                    <w:pStyle w:val="65"/>
                    <w:rPr>
                      <w:rFonts w:cs="Times New Roman"/>
                      <w:color w:val="auto"/>
                      <w:sz w:val="18"/>
                      <w:szCs w:val="18"/>
                    </w:rPr>
                  </w:pPr>
                </w:p>
              </w:tc>
            </w:tr>
            <w:tr w14:paraId="6A3F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85" w:type="pct"/>
                  <w:vMerge w:val="restart"/>
                  <w:tcMar>
                    <w:top w:w="15" w:type="dxa"/>
                    <w:left w:w="15" w:type="dxa"/>
                    <w:right w:w="15" w:type="dxa"/>
                  </w:tcMar>
                  <w:vAlign w:val="center"/>
                </w:tcPr>
                <w:p w14:paraId="4B27F2DA">
                  <w:pPr>
                    <w:pStyle w:val="65"/>
                    <w:rPr>
                      <w:rFonts w:cs="Times New Roman"/>
                      <w:color w:val="auto"/>
                      <w:sz w:val="18"/>
                      <w:szCs w:val="18"/>
                    </w:rPr>
                  </w:pPr>
                  <w:r>
                    <w:rPr>
                      <w:rFonts w:cs="Times New Roman"/>
                      <w:color w:val="auto"/>
                      <w:sz w:val="18"/>
                      <w:szCs w:val="18"/>
                    </w:rPr>
                    <w:t>道路工程区</w:t>
                  </w:r>
                </w:p>
              </w:tc>
              <w:tc>
                <w:tcPr>
                  <w:tcW w:w="449" w:type="pct"/>
                  <w:tcMar>
                    <w:top w:w="15" w:type="dxa"/>
                    <w:left w:w="15" w:type="dxa"/>
                    <w:right w:w="15" w:type="dxa"/>
                  </w:tcMar>
                  <w:vAlign w:val="center"/>
                </w:tcPr>
                <w:p w14:paraId="569C6631">
                  <w:pPr>
                    <w:pStyle w:val="65"/>
                    <w:rPr>
                      <w:rFonts w:cs="Times New Roman"/>
                      <w:color w:val="auto"/>
                      <w:sz w:val="18"/>
                      <w:szCs w:val="18"/>
                    </w:rPr>
                  </w:pPr>
                  <w:r>
                    <w:rPr>
                      <w:rFonts w:cs="Times New Roman"/>
                      <w:color w:val="auto"/>
                      <w:sz w:val="18"/>
                      <w:szCs w:val="18"/>
                    </w:rPr>
                    <w:t>场外道路改扩建部分</w:t>
                  </w:r>
                </w:p>
              </w:tc>
              <w:tc>
                <w:tcPr>
                  <w:tcW w:w="268" w:type="pct"/>
                  <w:vMerge w:val="restart"/>
                  <w:tcMar>
                    <w:top w:w="15" w:type="dxa"/>
                    <w:left w:w="15" w:type="dxa"/>
                    <w:right w:w="15" w:type="dxa"/>
                  </w:tcMar>
                  <w:vAlign w:val="center"/>
                </w:tcPr>
                <w:p w14:paraId="49094D34">
                  <w:pPr>
                    <w:pStyle w:val="65"/>
                    <w:rPr>
                      <w:rFonts w:cs="Times New Roman"/>
                      <w:color w:val="auto"/>
                      <w:sz w:val="18"/>
                      <w:szCs w:val="18"/>
                    </w:rPr>
                  </w:pPr>
                  <w:r>
                    <w:rPr>
                      <w:rFonts w:cs="Times New Roman"/>
                      <w:color w:val="auto"/>
                      <w:sz w:val="18"/>
                      <w:szCs w:val="18"/>
                    </w:rPr>
                    <w:t>园地</w:t>
                  </w:r>
                </w:p>
              </w:tc>
              <w:tc>
                <w:tcPr>
                  <w:tcW w:w="362" w:type="pct"/>
                  <w:tcMar>
                    <w:top w:w="15" w:type="dxa"/>
                    <w:left w:w="15" w:type="dxa"/>
                    <w:right w:w="15" w:type="dxa"/>
                  </w:tcMar>
                  <w:vAlign w:val="center"/>
                </w:tcPr>
                <w:p w14:paraId="04E390D9">
                  <w:pPr>
                    <w:pStyle w:val="65"/>
                    <w:rPr>
                      <w:rFonts w:cs="Times New Roman"/>
                      <w:color w:val="auto"/>
                      <w:sz w:val="18"/>
                      <w:szCs w:val="18"/>
                    </w:rPr>
                  </w:pPr>
                  <w:r>
                    <w:rPr>
                      <w:rFonts w:cs="Times New Roman"/>
                      <w:color w:val="auto"/>
                      <w:sz w:val="18"/>
                      <w:szCs w:val="18"/>
                      <w:lang w:bidi="ar"/>
                    </w:rPr>
                    <w:t>3.33</w:t>
                  </w:r>
                </w:p>
              </w:tc>
              <w:tc>
                <w:tcPr>
                  <w:tcW w:w="391" w:type="pct"/>
                  <w:vMerge w:val="restart"/>
                  <w:tcMar>
                    <w:top w:w="15" w:type="dxa"/>
                    <w:left w:w="15" w:type="dxa"/>
                    <w:right w:w="15" w:type="dxa"/>
                  </w:tcMar>
                  <w:vAlign w:val="center"/>
                </w:tcPr>
                <w:p w14:paraId="293876DA">
                  <w:pPr>
                    <w:pStyle w:val="65"/>
                    <w:rPr>
                      <w:rFonts w:cs="Times New Roman"/>
                      <w:color w:val="auto"/>
                      <w:sz w:val="18"/>
                      <w:szCs w:val="18"/>
                    </w:rPr>
                  </w:pPr>
                  <w:r>
                    <w:rPr>
                      <w:rFonts w:cs="Times New Roman"/>
                      <w:color w:val="auto"/>
                      <w:sz w:val="18"/>
                      <w:szCs w:val="18"/>
                    </w:rPr>
                    <w:t>0.2</w:t>
                  </w:r>
                </w:p>
              </w:tc>
              <w:tc>
                <w:tcPr>
                  <w:tcW w:w="449" w:type="pct"/>
                  <w:tcMar>
                    <w:top w:w="15" w:type="dxa"/>
                    <w:left w:w="15" w:type="dxa"/>
                    <w:right w:w="15" w:type="dxa"/>
                  </w:tcMar>
                  <w:vAlign w:val="center"/>
                </w:tcPr>
                <w:p w14:paraId="76344E80">
                  <w:pPr>
                    <w:pStyle w:val="65"/>
                    <w:rPr>
                      <w:rFonts w:cs="Times New Roman"/>
                      <w:color w:val="auto"/>
                      <w:sz w:val="18"/>
                      <w:szCs w:val="18"/>
                    </w:rPr>
                  </w:pPr>
                  <w:r>
                    <w:rPr>
                      <w:rFonts w:cs="Times New Roman"/>
                      <w:color w:val="auto"/>
                      <w:sz w:val="18"/>
                      <w:szCs w:val="18"/>
                    </w:rPr>
                    <w:t>0.67</w:t>
                  </w:r>
                </w:p>
              </w:tc>
              <w:tc>
                <w:tcPr>
                  <w:tcW w:w="304" w:type="pct"/>
                  <w:tcMar>
                    <w:top w:w="15" w:type="dxa"/>
                    <w:left w:w="15" w:type="dxa"/>
                    <w:right w:w="15" w:type="dxa"/>
                  </w:tcMar>
                  <w:vAlign w:val="center"/>
                </w:tcPr>
                <w:p w14:paraId="4FB48560">
                  <w:pPr>
                    <w:pStyle w:val="65"/>
                    <w:rPr>
                      <w:rFonts w:cs="Times New Roman"/>
                      <w:color w:val="auto"/>
                      <w:sz w:val="18"/>
                      <w:szCs w:val="18"/>
                    </w:rPr>
                  </w:pPr>
                  <w:r>
                    <w:rPr>
                      <w:rFonts w:cs="Times New Roman"/>
                      <w:color w:val="auto"/>
                      <w:sz w:val="18"/>
                      <w:szCs w:val="18"/>
                    </w:rPr>
                    <w:t>0.67</w:t>
                  </w:r>
                </w:p>
              </w:tc>
              <w:tc>
                <w:tcPr>
                  <w:tcW w:w="492" w:type="pct"/>
                  <w:tcMar>
                    <w:top w:w="15" w:type="dxa"/>
                    <w:left w:w="15" w:type="dxa"/>
                    <w:right w:w="15" w:type="dxa"/>
                  </w:tcMar>
                  <w:vAlign w:val="center"/>
                </w:tcPr>
                <w:p w14:paraId="5B6D9DE6">
                  <w:pPr>
                    <w:pStyle w:val="65"/>
                    <w:rPr>
                      <w:rFonts w:cs="Times New Roman"/>
                      <w:color w:val="auto"/>
                      <w:sz w:val="18"/>
                      <w:szCs w:val="18"/>
                    </w:rPr>
                  </w:pPr>
                  <w:r>
                    <w:rPr>
                      <w:rFonts w:cs="Times New Roman"/>
                      <w:color w:val="auto"/>
                      <w:sz w:val="18"/>
                      <w:szCs w:val="18"/>
                    </w:rPr>
                    <w:t>堆放道路两侧，用于后期覆土</w:t>
                  </w:r>
                </w:p>
              </w:tc>
              <w:tc>
                <w:tcPr>
                  <w:tcW w:w="507" w:type="pct"/>
                  <w:tcMar>
                    <w:top w:w="15" w:type="dxa"/>
                    <w:left w:w="15" w:type="dxa"/>
                    <w:right w:w="15" w:type="dxa"/>
                  </w:tcMar>
                  <w:vAlign w:val="center"/>
                </w:tcPr>
                <w:p w14:paraId="174F5B39">
                  <w:pPr>
                    <w:pStyle w:val="65"/>
                    <w:rPr>
                      <w:rFonts w:cs="Times New Roman"/>
                      <w:color w:val="auto"/>
                      <w:sz w:val="18"/>
                      <w:szCs w:val="18"/>
                    </w:rPr>
                  </w:pPr>
                  <w:r>
                    <w:rPr>
                      <w:rFonts w:cs="Times New Roman"/>
                      <w:color w:val="auto"/>
                      <w:sz w:val="18"/>
                      <w:szCs w:val="18"/>
                    </w:rPr>
                    <w:t>场外道路改扩建部分</w:t>
                  </w:r>
                </w:p>
              </w:tc>
              <w:tc>
                <w:tcPr>
                  <w:tcW w:w="398" w:type="pct"/>
                  <w:vMerge w:val="restart"/>
                  <w:tcMar>
                    <w:top w:w="15" w:type="dxa"/>
                    <w:left w:w="15" w:type="dxa"/>
                    <w:right w:w="15" w:type="dxa"/>
                  </w:tcMar>
                  <w:vAlign w:val="center"/>
                </w:tcPr>
                <w:p w14:paraId="5A6B44F0">
                  <w:pPr>
                    <w:pStyle w:val="65"/>
                    <w:rPr>
                      <w:rFonts w:cs="Times New Roman"/>
                      <w:color w:val="auto"/>
                      <w:sz w:val="18"/>
                      <w:szCs w:val="18"/>
                    </w:rPr>
                  </w:pPr>
                  <w:r>
                    <w:rPr>
                      <w:rFonts w:cs="Times New Roman"/>
                      <w:color w:val="auto"/>
                      <w:sz w:val="18"/>
                      <w:szCs w:val="18"/>
                    </w:rPr>
                    <w:t>0.3</w:t>
                  </w:r>
                </w:p>
              </w:tc>
              <w:tc>
                <w:tcPr>
                  <w:tcW w:w="391" w:type="pct"/>
                  <w:tcMar>
                    <w:top w:w="15" w:type="dxa"/>
                    <w:left w:w="15" w:type="dxa"/>
                    <w:right w:w="15" w:type="dxa"/>
                  </w:tcMar>
                  <w:vAlign w:val="center"/>
                </w:tcPr>
                <w:p w14:paraId="6040A3F8">
                  <w:pPr>
                    <w:pStyle w:val="65"/>
                    <w:rPr>
                      <w:rFonts w:cs="Times New Roman"/>
                      <w:color w:val="auto"/>
                      <w:sz w:val="18"/>
                      <w:szCs w:val="18"/>
                    </w:rPr>
                  </w:pPr>
                  <w:r>
                    <w:rPr>
                      <w:rFonts w:cs="Times New Roman"/>
                      <w:color w:val="auto"/>
                      <w:sz w:val="18"/>
                      <w:szCs w:val="18"/>
                    </w:rPr>
                    <w:t>1.87</w:t>
                  </w:r>
                </w:p>
              </w:tc>
              <w:tc>
                <w:tcPr>
                  <w:tcW w:w="340" w:type="pct"/>
                  <w:tcMar>
                    <w:top w:w="15" w:type="dxa"/>
                    <w:left w:w="15" w:type="dxa"/>
                    <w:right w:w="15" w:type="dxa"/>
                  </w:tcMar>
                  <w:vAlign w:val="center"/>
                </w:tcPr>
                <w:p w14:paraId="2ADF59CE">
                  <w:pPr>
                    <w:pStyle w:val="65"/>
                    <w:rPr>
                      <w:rFonts w:cs="Times New Roman"/>
                      <w:color w:val="auto"/>
                      <w:sz w:val="18"/>
                      <w:szCs w:val="18"/>
                    </w:rPr>
                  </w:pPr>
                  <w:r>
                    <w:rPr>
                      <w:rFonts w:cs="Times New Roman"/>
                      <w:color w:val="auto"/>
                      <w:sz w:val="18"/>
                      <w:szCs w:val="18"/>
                    </w:rPr>
                    <w:t>0.56</w:t>
                  </w:r>
                </w:p>
              </w:tc>
              <w:tc>
                <w:tcPr>
                  <w:tcW w:w="362" w:type="pct"/>
                  <w:tcMar>
                    <w:top w:w="15" w:type="dxa"/>
                    <w:left w:w="15" w:type="dxa"/>
                    <w:right w:w="15" w:type="dxa"/>
                  </w:tcMar>
                  <w:vAlign w:val="center"/>
                </w:tcPr>
                <w:p w14:paraId="5584FF36">
                  <w:pPr>
                    <w:pStyle w:val="65"/>
                    <w:rPr>
                      <w:rFonts w:cs="Times New Roman"/>
                      <w:color w:val="auto"/>
                      <w:sz w:val="18"/>
                      <w:szCs w:val="18"/>
                    </w:rPr>
                  </w:pPr>
                  <w:r>
                    <w:rPr>
                      <w:rFonts w:cs="Times New Roman"/>
                      <w:color w:val="auto"/>
                      <w:sz w:val="18"/>
                      <w:szCs w:val="18"/>
                    </w:rPr>
                    <w:t>堆放道路两侧表土</w:t>
                  </w:r>
                </w:p>
              </w:tc>
            </w:tr>
            <w:tr w14:paraId="118C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85" w:type="pct"/>
                  <w:vMerge w:val="continue"/>
                  <w:tcMar>
                    <w:top w:w="15" w:type="dxa"/>
                    <w:left w:w="15" w:type="dxa"/>
                    <w:right w:w="15" w:type="dxa"/>
                  </w:tcMar>
                  <w:vAlign w:val="center"/>
                </w:tcPr>
                <w:p w14:paraId="28622DCF">
                  <w:pPr>
                    <w:pStyle w:val="65"/>
                    <w:rPr>
                      <w:rFonts w:cs="Times New Roman"/>
                      <w:color w:val="auto"/>
                      <w:sz w:val="18"/>
                      <w:szCs w:val="18"/>
                    </w:rPr>
                  </w:pPr>
                </w:p>
              </w:tc>
              <w:tc>
                <w:tcPr>
                  <w:tcW w:w="449" w:type="pct"/>
                  <w:tcMar>
                    <w:top w:w="15" w:type="dxa"/>
                    <w:left w:w="15" w:type="dxa"/>
                    <w:right w:w="15" w:type="dxa"/>
                  </w:tcMar>
                  <w:vAlign w:val="center"/>
                </w:tcPr>
                <w:p w14:paraId="598430D8">
                  <w:pPr>
                    <w:pStyle w:val="65"/>
                    <w:rPr>
                      <w:rFonts w:cs="Times New Roman"/>
                      <w:color w:val="auto"/>
                      <w:sz w:val="18"/>
                      <w:szCs w:val="18"/>
                    </w:rPr>
                  </w:pPr>
                  <w:r>
                    <w:rPr>
                      <w:rFonts w:cs="Times New Roman"/>
                      <w:color w:val="auto"/>
                      <w:sz w:val="18"/>
                      <w:szCs w:val="18"/>
                    </w:rPr>
                    <w:t>场内道路改扩建部分</w:t>
                  </w:r>
                </w:p>
              </w:tc>
              <w:tc>
                <w:tcPr>
                  <w:tcW w:w="268" w:type="pct"/>
                  <w:vMerge w:val="continue"/>
                  <w:tcMar>
                    <w:top w:w="15" w:type="dxa"/>
                    <w:left w:w="15" w:type="dxa"/>
                    <w:right w:w="15" w:type="dxa"/>
                  </w:tcMar>
                  <w:vAlign w:val="center"/>
                </w:tcPr>
                <w:p w14:paraId="3F52B5B8">
                  <w:pPr>
                    <w:pStyle w:val="65"/>
                    <w:rPr>
                      <w:rFonts w:cs="Times New Roman"/>
                      <w:color w:val="auto"/>
                      <w:sz w:val="18"/>
                      <w:szCs w:val="18"/>
                    </w:rPr>
                  </w:pPr>
                </w:p>
              </w:tc>
              <w:tc>
                <w:tcPr>
                  <w:tcW w:w="362" w:type="pct"/>
                  <w:tcMar>
                    <w:top w:w="15" w:type="dxa"/>
                    <w:left w:w="15" w:type="dxa"/>
                    <w:right w:w="15" w:type="dxa"/>
                  </w:tcMar>
                  <w:vAlign w:val="center"/>
                </w:tcPr>
                <w:p w14:paraId="63123938">
                  <w:pPr>
                    <w:pStyle w:val="65"/>
                    <w:rPr>
                      <w:rFonts w:cs="Times New Roman"/>
                      <w:color w:val="auto"/>
                      <w:sz w:val="18"/>
                      <w:szCs w:val="18"/>
                    </w:rPr>
                  </w:pPr>
                  <w:r>
                    <w:rPr>
                      <w:rFonts w:cs="Times New Roman"/>
                      <w:color w:val="auto"/>
                      <w:sz w:val="18"/>
                      <w:szCs w:val="18"/>
                      <w:lang w:bidi="ar"/>
                    </w:rPr>
                    <w:t>0.62</w:t>
                  </w:r>
                </w:p>
              </w:tc>
              <w:tc>
                <w:tcPr>
                  <w:tcW w:w="391" w:type="pct"/>
                  <w:vMerge w:val="continue"/>
                  <w:tcMar>
                    <w:top w:w="15" w:type="dxa"/>
                    <w:left w:w="15" w:type="dxa"/>
                    <w:right w:w="15" w:type="dxa"/>
                  </w:tcMar>
                  <w:vAlign w:val="center"/>
                </w:tcPr>
                <w:p w14:paraId="4D2A1054">
                  <w:pPr>
                    <w:pStyle w:val="65"/>
                    <w:rPr>
                      <w:rFonts w:cs="Times New Roman"/>
                      <w:color w:val="auto"/>
                      <w:sz w:val="18"/>
                      <w:szCs w:val="18"/>
                    </w:rPr>
                  </w:pPr>
                </w:p>
              </w:tc>
              <w:tc>
                <w:tcPr>
                  <w:tcW w:w="449" w:type="pct"/>
                  <w:tcMar>
                    <w:top w:w="15" w:type="dxa"/>
                    <w:left w:w="15" w:type="dxa"/>
                    <w:right w:w="15" w:type="dxa"/>
                  </w:tcMar>
                  <w:vAlign w:val="center"/>
                </w:tcPr>
                <w:p w14:paraId="61C15170">
                  <w:pPr>
                    <w:pStyle w:val="65"/>
                    <w:rPr>
                      <w:rFonts w:cs="Times New Roman"/>
                      <w:color w:val="auto"/>
                      <w:sz w:val="18"/>
                      <w:szCs w:val="18"/>
                    </w:rPr>
                  </w:pPr>
                  <w:r>
                    <w:rPr>
                      <w:rFonts w:cs="Times New Roman"/>
                      <w:color w:val="auto"/>
                      <w:sz w:val="18"/>
                      <w:szCs w:val="18"/>
                    </w:rPr>
                    <w:t>0.12</w:t>
                  </w:r>
                </w:p>
              </w:tc>
              <w:tc>
                <w:tcPr>
                  <w:tcW w:w="304" w:type="pct"/>
                  <w:tcMar>
                    <w:top w:w="15" w:type="dxa"/>
                    <w:left w:w="15" w:type="dxa"/>
                    <w:right w:w="15" w:type="dxa"/>
                  </w:tcMar>
                  <w:vAlign w:val="center"/>
                </w:tcPr>
                <w:p w14:paraId="505E173E">
                  <w:pPr>
                    <w:pStyle w:val="65"/>
                    <w:rPr>
                      <w:rFonts w:cs="Times New Roman"/>
                      <w:color w:val="auto"/>
                      <w:sz w:val="18"/>
                      <w:szCs w:val="18"/>
                    </w:rPr>
                  </w:pPr>
                  <w:r>
                    <w:rPr>
                      <w:rFonts w:cs="Times New Roman"/>
                      <w:color w:val="auto"/>
                      <w:sz w:val="18"/>
                      <w:szCs w:val="18"/>
                    </w:rPr>
                    <w:t>0.12</w:t>
                  </w:r>
                </w:p>
              </w:tc>
              <w:tc>
                <w:tcPr>
                  <w:tcW w:w="492" w:type="pct"/>
                  <w:tcMar>
                    <w:top w:w="15" w:type="dxa"/>
                    <w:left w:w="15" w:type="dxa"/>
                    <w:right w:w="15" w:type="dxa"/>
                  </w:tcMar>
                  <w:vAlign w:val="center"/>
                </w:tcPr>
                <w:p w14:paraId="44AE9265">
                  <w:pPr>
                    <w:pStyle w:val="65"/>
                    <w:rPr>
                      <w:rFonts w:cs="Times New Roman"/>
                      <w:color w:val="auto"/>
                      <w:sz w:val="18"/>
                      <w:szCs w:val="18"/>
                    </w:rPr>
                  </w:pPr>
                  <w:r>
                    <w:rPr>
                      <w:rFonts w:cs="Times New Roman"/>
                      <w:color w:val="auto"/>
                      <w:sz w:val="18"/>
                      <w:szCs w:val="18"/>
                    </w:rPr>
                    <w:t>堆放道路两侧，用于后期覆土</w:t>
                  </w:r>
                </w:p>
              </w:tc>
              <w:tc>
                <w:tcPr>
                  <w:tcW w:w="507" w:type="pct"/>
                  <w:tcMar>
                    <w:top w:w="15" w:type="dxa"/>
                    <w:left w:w="15" w:type="dxa"/>
                    <w:right w:w="15" w:type="dxa"/>
                  </w:tcMar>
                  <w:vAlign w:val="center"/>
                </w:tcPr>
                <w:p w14:paraId="7833039B">
                  <w:pPr>
                    <w:pStyle w:val="65"/>
                    <w:rPr>
                      <w:rFonts w:cs="Times New Roman"/>
                      <w:color w:val="auto"/>
                      <w:sz w:val="18"/>
                      <w:szCs w:val="18"/>
                    </w:rPr>
                  </w:pPr>
                  <w:r>
                    <w:rPr>
                      <w:rFonts w:cs="Times New Roman"/>
                      <w:color w:val="auto"/>
                      <w:sz w:val="18"/>
                      <w:szCs w:val="18"/>
                    </w:rPr>
                    <w:t>场内道路改扩建部分</w:t>
                  </w:r>
                </w:p>
              </w:tc>
              <w:tc>
                <w:tcPr>
                  <w:tcW w:w="398" w:type="pct"/>
                  <w:vMerge w:val="continue"/>
                  <w:tcMar>
                    <w:top w:w="15" w:type="dxa"/>
                    <w:left w:w="15" w:type="dxa"/>
                    <w:right w:w="15" w:type="dxa"/>
                  </w:tcMar>
                  <w:vAlign w:val="center"/>
                </w:tcPr>
                <w:p w14:paraId="581E461F">
                  <w:pPr>
                    <w:pStyle w:val="65"/>
                    <w:rPr>
                      <w:rFonts w:cs="Times New Roman"/>
                      <w:color w:val="auto"/>
                      <w:sz w:val="18"/>
                      <w:szCs w:val="18"/>
                    </w:rPr>
                  </w:pPr>
                </w:p>
              </w:tc>
              <w:tc>
                <w:tcPr>
                  <w:tcW w:w="391" w:type="pct"/>
                  <w:tcMar>
                    <w:top w:w="15" w:type="dxa"/>
                    <w:left w:w="15" w:type="dxa"/>
                    <w:right w:w="15" w:type="dxa"/>
                  </w:tcMar>
                  <w:vAlign w:val="center"/>
                </w:tcPr>
                <w:p w14:paraId="1C74F3FF">
                  <w:pPr>
                    <w:pStyle w:val="65"/>
                    <w:rPr>
                      <w:rFonts w:cs="Times New Roman"/>
                      <w:color w:val="auto"/>
                      <w:sz w:val="18"/>
                      <w:szCs w:val="18"/>
                    </w:rPr>
                  </w:pPr>
                  <w:r>
                    <w:rPr>
                      <w:rFonts w:cs="Times New Roman"/>
                      <w:color w:val="auto"/>
                      <w:sz w:val="18"/>
                      <w:szCs w:val="18"/>
                    </w:rPr>
                    <w:t>0.61</w:t>
                  </w:r>
                </w:p>
              </w:tc>
              <w:tc>
                <w:tcPr>
                  <w:tcW w:w="340" w:type="pct"/>
                  <w:tcMar>
                    <w:top w:w="15" w:type="dxa"/>
                    <w:left w:w="15" w:type="dxa"/>
                    <w:right w:w="15" w:type="dxa"/>
                  </w:tcMar>
                  <w:vAlign w:val="center"/>
                </w:tcPr>
                <w:p w14:paraId="4DC14438">
                  <w:pPr>
                    <w:pStyle w:val="65"/>
                    <w:rPr>
                      <w:rFonts w:cs="Times New Roman"/>
                      <w:color w:val="auto"/>
                      <w:sz w:val="18"/>
                      <w:szCs w:val="18"/>
                    </w:rPr>
                  </w:pPr>
                  <w:r>
                    <w:rPr>
                      <w:rFonts w:cs="Times New Roman"/>
                      <w:color w:val="auto"/>
                      <w:sz w:val="18"/>
                      <w:szCs w:val="18"/>
                    </w:rPr>
                    <w:t>0.18</w:t>
                  </w:r>
                </w:p>
              </w:tc>
              <w:tc>
                <w:tcPr>
                  <w:tcW w:w="362" w:type="pct"/>
                  <w:tcMar>
                    <w:top w:w="15" w:type="dxa"/>
                    <w:left w:w="15" w:type="dxa"/>
                    <w:right w:w="15" w:type="dxa"/>
                  </w:tcMar>
                  <w:vAlign w:val="center"/>
                </w:tcPr>
                <w:p w14:paraId="0A62F63C">
                  <w:pPr>
                    <w:pStyle w:val="65"/>
                    <w:rPr>
                      <w:rFonts w:cs="Times New Roman"/>
                      <w:color w:val="auto"/>
                      <w:sz w:val="18"/>
                      <w:szCs w:val="18"/>
                    </w:rPr>
                  </w:pPr>
                  <w:r>
                    <w:rPr>
                      <w:rFonts w:cs="Times New Roman"/>
                      <w:color w:val="auto"/>
                      <w:sz w:val="18"/>
                      <w:szCs w:val="18"/>
                    </w:rPr>
                    <w:t>堆放道路两侧表土</w:t>
                  </w:r>
                </w:p>
              </w:tc>
            </w:tr>
            <w:tr w14:paraId="142C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85" w:type="pct"/>
                  <w:vMerge w:val="continue"/>
                  <w:tcMar>
                    <w:top w:w="15" w:type="dxa"/>
                    <w:left w:w="15" w:type="dxa"/>
                    <w:right w:w="15" w:type="dxa"/>
                  </w:tcMar>
                  <w:vAlign w:val="center"/>
                </w:tcPr>
                <w:p w14:paraId="693CBCDF">
                  <w:pPr>
                    <w:pStyle w:val="65"/>
                    <w:rPr>
                      <w:rFonts w:cs="Times New Roman"/>
                      <w:color w:val="auto"/>
                      <w:sz w:val="18"/>
                      <w:szCs w:val="18"/>
                    </w:rPr>
                  </w:pPr>
                </w:p>
              </w:tc>
              <w:tc>
                <w:tcPr>
                  <w:tcW w:w="449" w:type="pct"/>
                  <w:tcMar>
                    <w:top w:w="15" w:type="dxa"/>
                    <w:left w:w="15" w:type="dxa"/>
                    <w:right w:w="15" w:type="dxa"/>
                  </w:tcMar>
                  <w:vAlign w:val="center"/>
                </w:tcPr>
                <w:p w14:paraId="5A269977">
                  <w:pPr>
                    <w:pStyle w:val="65"/>
                    <w:rPr>
                      <w:rFonts w:cs="Times New Roman"/>
                      <w:color w:val="auto"/>
                      <w:sz w:val="18"/>
                      <w:szCs w:val="18"/>
                    </w:rPr>
                  </w:pPr>
                  <w:r>
                    <w:rPr>
                      <w:rFonts w:cs="Times New Roman"/>
                      <w:color w:val="auto"/>
                      <w:sz w:val="18"/>
                      <w:szCs w:val="18"/>
                    </w:rPr>
                    <w:t>新建道路</w:t>
                  </w:r>
                </w:p>
              </w:tc>
              <w:tc>
                <w:tcPr>
                  <w:tcW w:w="268" w:type="pct"/>
                  <w:vMerge w:val="continue"/>
                  <w:tcMar>
                    <w:top w:w="15" w:type="dxa"/>
                    <w:left w:w="15" w:type="dxa"/>
                    <w:right w:w="15" w:type="dxa"/>
                  </w:tcMar>
                  <w:vAlign w:val="center"/>
                </w:tcPr>
                <w:p w14:paraId="15DA5DFF">
                  <w:pPr>
                    <w:pStyle w:val="65"/>
                    <w:rPr>
                      <w:rFonts w:cs="Times New Roman"/>
                      <w:color w:val="auto"/>
                      <w:sz w:val="18"/>
                      <w:szCs w:val="18"/>
                    </w:rPr>
                  </w:pPr>
                </w:p>
              </w:tc>
              <w:tc>
                <w:tcPr>
                  <w:tcW w:w="362" w:type="pct"/>
                  <w:tcMar>
                    <w:top w:w="15" w:type="dxa"/>
                    <w:left w:w="15" w:type="dxa"/>
                    <w:right w:w="15" w:type="dxa"/>
                  </w:tcMar>
                  <w:vAlign w:val="center"/>
                </w:tcPr>
                <w:p w14:paraId="7554CB76">
                  <w:pPr>
                    <w:pStyle w:val="65"/>
                    <w:rPr>
                      <w:rFonts w:cs="Times New Roman"/>
                      <w:color w:val="auto"/>
                      <w:sz w:val="18"/>
                      <w:szCs w:val="18"/>
                    </w:rPr>
                  </w:pPr>
                  <w:r>
                    <w:rPr>
                      <w:rFonts w:cs="Times New Roman"/>
                      <w:color w:val="auto"/>
                      <w:sz w:val="18"/>
                      <w:szCs w:val="18"/>
                      <w:lang w:bidi="ar"/>
                    </w:rPr>
                    <w:t>2.01</w:t>
                  </w:r>
                </w:p>
              </w:tc>
              <w:tc>
                <w:tcPr>
                  <w:tcW w:w="391" w:type="pct"/>
                  <w:vMerge w:val="continue"/>
                  <w:tcMar>
                    <w:top w:w="15" w:type="dxa"/>
                    <w:left w:w="15" w:type="dxa"/>
                    <w:right w:w="15" w:type="dxa"/>
                  </w:tcMar>
                  <w:vAlign w:val="center"/>
                </w:tcPr>
                <w:p w14:paraId="510E672D">
                  <w:pPr>
                    <w:pStyle w:val="65"/>
                    <w:rPr>
                      <w:rFonts w:cs="Times New Roman"/>
                      <w:color w:val="auto"/>
                      <w:sz w:val="18"/>
                      <w:szCs w:val="18"/>
                    </w:rPr>
                  </w:pPr>
                </w:p>
              </w:tc>
              <w:tc>
                <w:tcPr>
                  <w:tcW w:w="449" w:type="pct"/>
                  <w:tcMar>
                    <w:top w:w="15" w:type="dxa"/>
                    <w:left w:w="15" w:type="dxa"/>
                    <w:right w:w="15" w:type="dxa"/>
                  </w:tcMar>
                  <w:vAlign w:val="center"/>
                </w:tcPr>
                <w:p w14:paraId="3099062F">
                  <w:pPr>
                    <w:pStyle w:val="65"/>
                    <w:rPr>
                      <w:rFonts w:cs="Times New Roman"/>
                      <w:color w:val="auto"/>
                      <w:sz w:val="18"/>
                      <w:szCs w:val="18"/>
                    </w:rPr>
                  </w:pPr>
                  <w:r>
                    <w:rPr>
                      <w:rFonts w:cs="Times New Roman"/>
                      <w:color w:val="auto"/>
                      <w:sz w:val="18"/>
                      <w:szCs w:val="18"/>
                    </w:rPr>
                    <w:t>0.40</w:t>
                  </w:r>
                </w:p>
              </w:tc>
              <w:tc>
                <w:tcPr>
                  <w:tcW w:w="304" w:type="pct"/>
                  <w:tcMar>
                    <w:top w:w="15" w:type="dxa"/>
                    <w:left w:w="15" w:type="dxa"/>
                    <w:right w:w="15" w:type="dxa"/>
                  </w:tcMar>
                  <w:vAlign w:val="center"/>
                </w:tcPr>
                <w:p w14:paraId="798F14EF">
                  <w:pPr>
                    <w:pStyle w:val="65"/>
                    <w:rPr>
                      <w:rFonts w:cs="Times New Roman"/>
                      <w:color w:val="auto"/>
                      <w:sz w:val="18"/>
                      <w:szCs w:val="18"/>
                    </w:rPr>
                  </w:pPr>
                  <w:r>
                    <w:rPr>
                      <w:rFonts w:cs="Times New Roman"/>
                      <w:color w:val="auto"/>
                      <w:sz w:val="18"/>
                      <w:szCs w:val="18"/>
                    </w:rPr>
                    <w:t>0.40</w:t>
                  </w:r>
                </w:p>
              </w:tc>
              <w:tc>
                <w:tcPr>
                  <w:tcW w:w="492" w:type="pct"/>
                  <w:tcMar>
                    <w:top w:w="15" w:type="dxa"/>
                    <w:left w:w="15" w:type="dxa"/>
                    <w:right w:w="15" w:type="dxa"/>
                  </w:tcMar>
                  <w:vAlign w:val="center"/>
                </w:tcPr>
                <w:p w14:paraId="01230931">
                  <w:pPr>
                    <w:pStyle w:val="65"/>
                    <w:rPr>
                      <w:rFonts w:cs="Times New Roman"/>
                      <w:color w:val="auto"/>
                      <w:sz w:val="18"/>
                      <w:szCs w:val="18"/>
                    </w:rPr>
                  </w:pPr>
                  <w:r>
                    <w:rPr>
                      <w:rFonts w:cs="Times New Roman"/>
                      <w:color w:val="auto"/>
                      <w:sz w:val="18"/>
                      <w:szCs w:val="18"/>
                    </w:rPr>
                    <w:t>堆放道路两侧，用于后期覆土</w:t>
                  </w:r>
                </w:p>
              </w:tc>
              <w:tc>
                <w:tcPr>
                  <w:tcW w:w="507" w:type="pct"/>
                  <w:tcMar>
                    <w:top w:w="15" w:type="dxa"/>
                    <w:left w:w="15" w:type="dxa"/>
                    <w:right w:w="15" w:type="dxa"/>
                  </w:tcMar>
                  <w:vAlign w:val="center"/>
                </w:tcPr>
                <w:p w14:paraId="382453B9">
                  <w:pPr>
                    <w:pStyle w:val="65"/>
                    <w:rPr>
                      <w:rFonts w:cs="Times New Roman"/>
                      <w:color w:val="auto"/>
                      <w:sz w:val="18"/>
                      <w:szCs w:val="18"/>
                    </w:rPr>
                  </w:pPr>
                  <w:r>
                    <w:rPr>
                      <w:rFonts w:cs="Times New Roman"/>
                      <w:color w:val="auto"/>
                      <w:sz w:val="18"/>
                      <w:szCs w:val="18"/>
                    </w:rPr>
                    <w:t>新建道路</w:t>
                  </w:r>
                </w:p>
              </w:tc>
              <w:tc>
                <w:tcPr>
                  <w:tcW w:w="398" w:type="pct"/>
                  <w:vMerge w:val="continue"/>
                  <w:tcMar>
                    <w:top w:w="15" w:type="dxa"/>
                    <w:left w:w="15" w:type="dxa"/>
                    <w:right w:w="15" w:type="dxa"/>
                  </w:tcMar>
                  <w:vAlign w:val="center"/>
                </w:tcPr>
                <w:p w14:paraId="64ACBF84">
                  <w:pPr>
                    <w:pStyle w:val="65"/>
                    <w:rPr>
                      <w:rFonts w:cs="Times New Roman"/>
                      <w:color w:val="auto"/>
                      <w:sz w:val="18"/>
                      <w:szCs w:val="18"/>
                    </w:rPr>
                  </w:pPr>
                </w:p>
              </w:tc>
              <w:tc>
                <w:tcPr>
                  <w:tcW w:w="391" w:type="pct"/>
                  <w:tcMar>
                    <w:top w:w="15" w:type="dxa"/>
                    <w:left w:w="15" w:type="dxa"/>
                    <w:right w:w="15" w:type="dxa"/>
                  </w:tcMar>
                  <w:vAlign w:val="center"/>
                </w:tcPr>
                <w:p w14:paraId="523C120E">
                  <w:pPr>
                    <w:pStyle w:val="65"/>
                    <w:rPr>
                      <w:rFonts w:cs="Times New Roman"/>
                      <w:color w:val="auto"/>
                      <w:sz w:val="18"/>
                      <w:szCs w:val="18"/>
                    </w:rPr>
                  </w:pPr>
                  <w:r>
                    <w:rPr>
                      <w:rFonts w:cs="Times New Roman"/>
                      <w:color w:val="auto"/>
                      <w:sz w:val="18"/>
                      <w:szCs w:val="18"/>
                    </w:rPr>
                    <w:t>1.13</w:t>
                  </w:r>
                </w:p>
              </w:tc>
              <w:tc>
                <w:tcPr>
                  <w:tcW w:w="340" w:type="pct"/>
                  <w:tcMar>
                    <w:top w:w="15" w:type="dxa"/>
                    <w:left w:w="15" w:type="dxa"/>
                    <w:right w:w="15" w:type="dxa"/>
                  </w:tcMar>
                  <w:vAlign w:val="center"/>
                </w:tcPr>
                <w:p w14:paraId="658D7A86">
                  <w:pPr>
                    <w:pStyle w:val="65"/>
                    <w:rPr>
                      <w:rFonts w:cs="Times New Roman"/>
                      <w:color w:val="auto"/>
                      <w:sz w:val="18"/>
                      <w:szCs w:val="18"/>
                    </w:rPr>
                  </w:pPr>
                  <w:r>
                    <w:rPr>
                      <w:rFonts w:cs="Times New Roman"/>
                      <w:color w:val="auto"/>
                      <w:sz w:val="18"/>
                      <w:szCs w:val="18"/>
                    </w:rPr>
                    <w:t>0.34</w:t>
                  </w:r>
                </w:p>
              </w:tc>
              <w:tc>
                <w:tcPr>
                  <w:tcW w:w="362" w:type="pct"/>
                  <w:tcMar>
                    <w:top w:w="15" w:type="dxa"/>
                    <w:left w:w="15" w:type="dxa"/>
                    <w:right w:w="15" w:type="dxa"/>
                  </w:tcMar>
                  <w:vAlign w:val="center"/>
                </w:tcPr>
                <w:p w14:paraId="7FA265E8">
                  <w:pPr>
                    <w:pStyle w:val="65"/>
                    <w:rPr>
                      <w:rFonts w:cs="Times New Roman"/>
                      <w:color w:val="auto"/>
                      <w:sz w:val="18"/>
                      <w:szCs w:val="18"/>
                    </w:rPr>
                  </w:pPr>
                  <w:r>
                    <w:rPr>
                      <w:rFonts w:cs="Times New Roman"/>
                      <w:color w:val="auto"/>
                      <w:sz w:val="18"/>
                      <w:szCs w:val="18"/>
                    </w:rPr>
                    <w:t>堆放道路两侧表土</w:t>
                  </w:r>
                </w:p>
              </w:tc>
            </w:tr>
            <w:tr w14:paraId="2728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85" w:type="pct"/>
                  <w:vMerge w:val="continue"/>
                  <w:tcMar>
                    <w:top w:w="15" w:type="dxa"/>
                    <w:left w:w="15" w:type="dxa"/>
                    <w:right w:w="15" w:type="dxa"/>
                  </w:tcMar>
                  <w:vAlign w:val="center"/>
                </w:tcPr>
                <w:p w14:paraId="0556CDD2">
                  <w:pPr>
                    <w:pStyle w:val="65"/>
                    <w:rPr>
                      <w:rFonts w:cs="Times New Roman"/>
                      <w:color w:val="auto"/>
                      <w:sz w:val="18"/>
                      <w:szCs w:val="18"/>
                    </w:rPr>
                  </w:pPr>
                </w:p>
              </w:tc>
              <w:tc>
                <w:tcPr>
                  <w:tcW w:w="449" w:type="pct"/>
                  <w:tcMar>
                    <w:top w:w="15" w:type="dxa"/>
                    <w:left w:w="15" w:type="dxa"/>
                    <w:right w:w="15" w:type="dxa"/>
                  </w:tcMar>
                  <w:vAlign w:val="center"/>
                </w:tcPr>
                <w:p w14:paraId="6E229B3F">
                  <w:pPr>
                    <w:pStyle w:val="65"/>
                    <w:rPr>
                      <w:rFonts w:cs="Times New Roman"/>
                      <w:color w:val="auto"/>
                      <w:sz w:val="18"/>
                      <w:szCs w:val="18"/>
                    </w:rPr>
                  </w:pPr>
                  <w:r>
                    <w:rPr>
                      <w:rFonts w:cs="Times New Roman"/>
                      <w:color w:val="auto"/>
                      <w:sz w:val="18"/>
                      <w:szCs w:val="18"/>
                    </w:rPr>
                    <w:t>小计</w:t>
                  </w:r>
                </w:p>
              </w:tc>
              <w:tc>
                <w:tcPr>
                  <w:tcW w:w="268" w:type="pct"/>
                  <w:tcMar>
                    <w:top w:w="15" w:type="dxa"/>
                    <w:left w:w="15" w:type="dxa"/>
                    <w:right w:w="15" w:type="dxa"/>
                  </w:tcMar>
                  <w:vAlign w:val="center"/>
                </w:tcPr>
                <w:p w14:paraId="40AAB54D">
                  <w:pPr>
                    <w:pStyle w:val="65"/>
                    <w:rPr>
                      <w:rFonts w:cs="Times New Roman"/>
                      <w:color w:val="auto"/>
                      <w:sz w:val="18"/>
                      <w:szCs w:val="18"/>
                    </w:rPr>
                  </w:pPr>
                  <w:r>
                    <w:rPr>
                      <w:rFonts w:cs="Times New Roman"/>
                      <w:color w:val="auto"/>
                      <w:sz w:val="18"/>
                      <w:szCs w:val="18"/>
                    </w:rPr>
                    <w:t>-</w:t>
                  </w:r>
                </w:p>
              </w:tc>
              <w:tc>
                <w:tcPr>
                  <w:tcW w:w="362" w:type="pct"/>
                  <w:tcMar>
                    <w:top w:w="15" w:type="dxa"/>
                    <w:left w:w="15" w:type="dxa"/>
                    <w:right w:w="15" w:type="dxa"/>
                  </w:tcMar>
                  <w:vAlign w:val="center"/>
                </w:tcPr>
                <w:p w14:paraId="6FFA16B9">
                  <w:pPr>
                    <w:pStyle w:val="65"/>
                    <w:rPr>
                      <w:rFonts w:cs="Times New Roman"/>
                      <w:color w:val="auto"/>
                      <w:sz w:val="18"/>
                      <w:szCs w:val="18"/>
                    </w:rPr>
                  </w:pPr>
                  <w:r>
                    <w:rPr>
                      <w:rFonts w:cs="Times New Roman"/>
                      <w:color w:val="auto"/>
                      <w:sz w:val="18"/>
                      <w:szCs w:val="18"/>
                    </w:rPr>
                    <w:t>5.96</w:t>
                  </w:r>
                </w:p>
              </w:tc>
              <w:tc>
                <w:tcPr>
                  <w:tcW w:w="391" w:type="pct"/>
                  <w:tcMar>
                    <w:top w:w="15" w:type="dxa"/>
                    <w:left w:w="15" w:type="dxa"/>
                    <w:right w:w="15" w:type="dxa"/>
                  </w:tcMar>
                  <w:vAlign w:val="center"/>
                </w:tcPr>
                <w:p w14:paraId="6846A98C">
                  <w:pPr>
                    <w:pStyle w:val="65"/>
                    <w:rPr>
                      <w:rFonts w:cs="Times New Roman"/>
                      <w:color w:val="auto"/>
                      <w:sz w:val="18"/>
                      <w:szCs w:val="18"/>
                    </w:rPr>
                  </w:pPr>
                  <w:r>
                    <w:rPr>
                      <w:rFonts w:cs="Times New Roman"/>
                      <w:color w:val="auto"/>
                      <w:sz w:val="18"/>
                      <w:szCs w:val="18"/>
                    </w:rPr>
                    <w:t>-</w:t>
                  </w:r>
                </w:p>
              </w:tc>
              <w:tc>
                <w:tcPr>
                  <w:tcW w:w="449" w:type="pct"/>
                  <w:tcMar>
                    <w:top w:w="15" w:type="dxa"/>
                    <w:left w:w="15" w:type="dxa"/>
                    <w:right w:w="15" w:type="dxa"/>
                  </w:tcMar>
                  <w:vAlign w:val="center"/>
                </w:tcPr>
                <w:p w14:paraId="79E340E3">
                  <w:pPr>
                    <w:pStyle w:val="65"/>
                    <w:rPr>
                      <w:rFonts w:cs="Times New Roman"/>
                      <w:color w:val="auto"/>
                      <w:sz w:val="18"/>
                      <w:szCs w:val="18"/>
                    </w:rPr>
                  </w:pPr>
                  <w:r>
                    <w:rPr>
                      <w:rFonts w:cs="Times New Roman"/>
                      <w:color w:val="auto"/>
                      <w:sz w:val="18"/>
                      <w:szCs w:val="18"/>
                    </w:rPr>
                    <w:t>1.19</w:t>
                  </w:r>
                </w:p>
              </w:tc>
              <w:tc>
                <w:tcPr>
                  <w:tcW w:w="304" w:type="pct"/>
                  <w:tcMar>
                    <w:top w:w="15" w:type="dxa"/>
                    <w:left w:w="15" w:type="dxa"/>
                    <w:right w:w="15" w:type="dxa"/>
                  </w:tcMar>
                  <w:vAlign w:val="center"/>
                </w:tcPr>
                <w:p w14:paraId="1E3D4D49">
                  <w:pPr>
                    <w:pStyle w:val="65"/>
                    <w:rPr>
                      <w:rFonts w:cs="Times New Roman"/>
                      <w:color w:val="auto"/>
                      <w:sz w:val="18"/>
                      <w:szCs w:val="18"/>
                    </w:rPr>
                  </w:pPr>
                  <w:r>
                    <w:rPr>
                      <w:rFonts w:cs="Times New Roman"/>
                      <w:color w:val="auto"/>
                      <w:sz w:val="18"/>
                      <w:szCs w:val="18"/>
                    </w:rPr>
                    <w:t>1.19</w:t>
                  </w:r>
                </w:p>
              </w:tc>
              <w:tc>
                <w:tcPr>
                  <w:tcW w:w="492" w:type="pct"/>
                  <w:tcMar>
                    <w:top w:w="15" w:type="dxa"/>
                    <w:left w:w="15" w:type="dxa"/>
                    <w:right w:w="15" w:type="dxa"/>
                  </w:tcMar>
                  <w:vAlign w:val="center"/>
                </w:tcPr>
                <w:p w14:paraId="30CAB712">
                  <w:pPr>
                    <w:pStyle w:val="65"/>
                    <w:rPr>
                      <w:rFonts w:cs="Times New Roman"/>
                      <w:color w:val="auto"/>
                      <w:sz w:val="18"/>
                      <w:szCs w:val="18"/>
                    </w:rPr>
                  </w:pPr>
                  <w:r>
                    <w:rPr>
                      <w:rFonts w:cs="Times New Roman"/>
                      <w:color w:val="auto"/>
                      <w:sz w:val="18"/>
                      <w:szCs w:val="18"/>
                    </w:rPr>
                    <w:t>-</w:t>
                  </w:r>
                </w:p>
              </w:tc>
              <w:tc>
                <w:tcPr>
                  <w:tcW w:w="507" w:type="pct"/>
                  <w:tcMar>
                    <w:top w:w="15" w:type="dxa"/>
                    <w:left w:w="15" w:type="dxa"/>
                    <w:right w:w="15" w:type="dxa"/>
                  </w:tcMar>
                  <w:vAlign w:val="center"/>
                </w:tcPr>
                <w:p w14:paraId="6BDE074D">
                  <w:pPr>
                    <w:pStyle w:val="65"/>
                    <w:rPr>
                      <w:rFonts w:cs="Times New Roman"/>
                      <w:color w:val="auto"/>
                      <w:sz w:val="18"/>
                      <w:szCs w:val="18"/>
                    </w:rPr>
                  </w:pPr>
                  <w:r>
                    <w:rPr>
                      <w:rFonts w:cs="Times New Roman"/>
                      <w:color w:val="auto"/>
                      <w:sz w:val="18"/>
                      <w:szCs w:val="18"/>
                    </w:rPr>
                    <w:t>小计</w:t>
                  </w:r>
                </w:p>
              </w:tc>
              <w:tc>
                <w:tcPr>
                  <w:tcW w:w="398" w:type="pct"/>
                  <w:tcMar>
                    <w:top w:w="15" w:type="dxa"/>
                    <w:left w:w="15" w:type="dxa"/>
                    <w:right w:w="15" w:type="dxa"/>
                  </w:tcMar>
                  <w:vAlign w:val="center"/>
                </w:tcPr>
                <w:p w14:paraId="3FCB060A">
                  <w:pPr>
                    <w:pStyle w:val="65"/>
                    <w:rPr>
                      <w:rFonts w:cs="Times New Roman"/>
                      <w:color w:val="auto"/>
                      <w:sz w:val="18"/>
                      <w:szCs w:val="18"/>
                    </w:rPr>
                  </w:pPr>
                  <w:r>
                    <w:rPr>
                      <w:rFonts w:cs="Times New Roman"/>
                      <w:color w:val="auto"/>
                      <w:sz w:val="18"/>
                      <w:szCs w:val="18"/>
                    </w:rPr>
                    <w:t>-</w:t>
                  </w:r>
                </w:p>
              </w:tc>
              <w:tc>
                <w:tcPr>
                  <w:tcW w:w="391" w:type="pct"/>
                  <w:tcMar>
                    <w:top w:w="15" w:type="dxa"/>
                    <w:left w:w="15" w:type="dxa"/>
                    <w:right w:w="15" w:type="dxa"/>
                  </w:tcMar>
                  <w:vAlign w:val="center"/>
                </w:tcPr>
                <w:p w14:paraId="6AB38B37">
                  <w:pPr>
                    <w:pStyle w:val="65"/>
                    <w:rPr>
                      <w:rFonts w:cs="Times New Roman"/>
                      <w:color w:val="auto"/>
                      <w:sz w:val="18"/>
                      <w:szCs w:val="18"/>
                    </w:rPr>
                  </w:pPr>
                  <w:r>
                    <w:rPr>
                      <w:rFonts w:cs="Times New Roman"/>
                      <w:color w:val="auto"/>
                      <w:sz w:val="18"/>
                      <w:szCs w:val="18"/>
                    </w:rPr>
                    <w:t>3.61</w:t>
                  </w:r>
                </w:p>
              </w:tc>
              <w:tc>
                <w:tcPr>
                  <w:tcW w:w="340" w:type="pct"/>
                  <w:tcMar>
                    <w:top w:w="15" w:type="dxa"/>
                    <w:left w:w="15" w:type="dxa"/>
                    <w:right w:w="15" w:type="dxa"/>
                  </w:tcMar>
                  <w:vAlign w:val="center"/>
                </w:tcPr>
                <w:p w14:paraId="04F0B82B">
                  <w:pPr>
                    <w:pStyle w:val="65"/>
                    <w:rPr>
                      <w:rFonts w:cs="Times New Roman"/>
                      <w:color w:val="auto"/>
                      <w:sz w:val="18"/>
                      <w:szCs w:val="18"/>
                    </w:rPr>
                  </w:pPr>
                  <w:r>
                    <w:rPr>
                      <w:rFonts w:cs="Times New Roman"/>
                      <w:color w:val="auto"/>
                      <w:sz w:val="18"/>
                      <w:szCs w:val="18"/>
                    </w:rPr>
                    <w:t>1.08</w:t>
                  </w:r>
                </w:p>
              </w:tc>
              <w:tc>
                <w:tcPr>
                  <w:tcW w:w="362" w:type="pct"/>
                  <w:tcMar>
                    <w:top w:w="15" w:type="dxa"/>
                    <w:left w:w="15" w:type="dxa"/>
                    <w:right w:w="15" w:type="dxa"/>
                  </w:tcMar>
                  <w:vAlign w:val="center"/>
                </w:tcPr>
                <w:p w14:paraId="21D5EE6A">
                  <w:pPr>
                    <w:pStyle w:val="65"/>
                    <w:rPr>
                      <w:rFonts w:cs="Times New Roman"/>
                      <w:color w:val="auto"/>
                      <w:sz w:val="18"/>
                      <w:szCs w:val="18"/>
                    </w:rPr>
                  </w:pPr>
                  <w:r>
                    <w:rPr>
                      <w:rFonts w:cs="Times New Roman"/>
                      <w:color w:val="auto"/>
                      <w:sz w:val="18"/>
                      <w:szCs w:val="18"/>
                    </w:rPr>
                    <w:t>-</w:t>
                  </w:r>
                </w:p>
              </w:tc>
            </w:tr>
            <w:tr w14:paraId="6859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5" w:type="pct"/>
                  <w:gridSpan w:val="2"/>
                  <w:tcMar>
                    <w:top w:w="15" w:type="dxa"/>
                    <w:left w:w="15" w:type="dxa"/>
                    <w:right w:w="15" w:type="dxa"/>
                  </w:tcMar>
                  <w:vAlign w:val="center"/>
                </w:tcPr>
                <w:p w14:paraId="4771A7EF">
                  <w:pPr>
                    <w:pStyle w:val="65"/>
                    <w:rPr>
                      <w:rFonts w:cs="Times New Roman"/>
                      <w:color w:val="auto"/>
                      <w:sz w:val="18"/>
                      <w:szCs w:val="18"/>
                    </w:rPr>
                  </w:pPr>
                  <w:r>
                    <w:rPr>
                      <w:rFonts w:cs="Times New Roman"/>
                      <w:color w:val="auto"/>
                      <w:sz w:val="18"/>
                      <w:szCs w:val="18"/>
                    </w:rPr>
                    <w:t>施工场营地</w:t>
                  </w:r>
                </w:p>
              </w:tc>
              <w:tc>
                <w:tcPr>
                  <w:tcW w:w="268" w:type="pct"/>
                  <w:tcMar>
                    <w:top w:w="15" w:type="dxa"/>
                    <w:left w:w="15" w:type="dxa"/>
                    <w:right w:w="15" w:type="dxa"/>
                  </w:tcMar>
                  <w:vAlign w:val="center"/>
                </w:tcPr>
                <w:p w14:paraId="6E444D58">
                  <w:pPr>
                    <w:pStyle w:val="65"/>
                    <w:rPr>
                      <w:rFonts w:cs="Times New Roman"/>
                      <w:color w:val="auto"/>
                      <w:sz w:val="18"/>
                      <w:szCs w:val="18"/>
                    </w:rPr>
                  </w:pPr>
                  <w:r>
                    <w:rPr>
                      <w:rFonts w:cs="Times New Roman"/>
                      <w:color w:val="auto"/>
                      <w:sz w:val="18"/>
                      <w:szCs w:val="18"/>
                    </w:rPr>
                    <w:t>园地</w:t>
                  </w:r>
                </w:p>
              </w:tc>
              <w:tc>
                <w:tcPr>
                  <w:tcW w:w="362" w:type="pct"/>
                  <w:tcMar>
                    <w:top w:w="15" w:type="dxa"/>
                    <w:left w:w="15" w:type="dxa"/>
                    <w:right w:w="15" w:type="dxa"/>
                  </w:tcMar>
                  <w:vAlign w:val="center"/>
                </w:tcPr>
                <w:p w14:paraId="4D581AC9">
                  <w:pPr>
                    <w:pStyle w:val="65"/>
                    <w:rPr>
                      <w:rFonts w:cs="Times New Roman"/>
                      <w:color w:val="auto"/>
                      <w:sz w:val="18"/>
                      <w:szCs w:val="18"/>
                    </w:rPr>
                  </w:pPr>
                  <w:r>
                    <w:rPr>
                      <w:rFonts w:cs="Times New Roman"/>
                      <w:color w:val="auto"/>
                      <w:sz w:val="18"/>
                      <w:szCs w:val="18"/>
                    </w:rPr>
                    <w:t>0.08</w:t>
                  </w:r>
                </w:p>
              </w:tc>
              <w:tc>
                <w:tcPr>
                  <w:tcW w:w="391" w:type="pct"/>
                  <w:tcMar>
                    <w:top w:w="15" w:type="dxa"/>
                    <w:left w:w="15" w:type="dxa"/>
                    <w:right w:w="15" w:type="dxa"/>
                  </w:tcMar>
                  <w:vAlign w:val="center"/>
                </w:tcPr>
                <w:p w14:paraId="48086790">
                  <w:pPr>
                    <w:pStyle w:val="65"/>
                    <w:rPr>
                      <w:rFonts w:cs="Times New Roman"/>
                      <w:color w:val="auto"/>
                      <w:sz w:val="18"/>
                      <w:szCs w:val="18"/>
                    </w:rPr>
                  </w:pPr>
                  <w:r>
                    <w:rPr>
                      <w:rFonts w:cs="Times New Roman"/>
                      <w:color w:val="auto"/>
                      <w:sz w:val="18"/>
                      <w:szCs w:val="18"/>
                    </w:rPr>
                    <w:t>0.28</w:t>
                  </w:r>
                </w:p>
              </w:tc>
              <w:tc>
                <w:tcPr>
                  <w:tcW w:w="449" w:type="pct"/>
                  <w:tcMar>
                    <w:top w:w="15" w:type="dxa"/>
                    <w:left w:w="15" w:type="dxa"/>
                    <w:right w:w="15" w:type="dxa"/>
                  </w:tcMar>
                  <w:vAlign w:val="center"/>
                </w:tcPr>
                <w:p w14:paraId="0579D14A">
                  <w:pPr>
                    <w:pStyle w:val="65"/>
                    <w:rPr>
                      <w:rFonts w:cs="Times New Roman"/>
                      <w:color w:val="auto"/>
                      <w:sz w:val="18"/>
                      <w:szCs w:val="18"/>
                    </w:rPr>
                  </w:pPr>
                  <w:r>
                    <w:rPr>
                      <w:rFonts w:cs="Times New Roman"/>
                      <w:color w:val="auto"/>
                      <w:sz w:val="18"/>
                      <w:szCs w:val="18"/>
                    </w:rPr>
                    <w:t>0.02</w:t>
                  </w:r>
                </w:p>
              </w:tc>
              <w:tc>
                <w:tcPr>
                  <w:tcW w:w="304" w:type="pct"/>
                  <w:tcMar>
                    <w:top w:w="15" w:type="dxa"/>
                    <w:left w:w="15" w:type="dxa"/>
                    <w:right w:w="15" w:type="dxa"/>
                  </w:tcMar>
                  <w:vAlign w:val="center"/>
                </w:tcPr>
                <w:p w14:paraId="2D5EAC6C">
                  <w:pPr>
                    <w:pStyle w:val="65"/>
                    <w:rPr>
                      <w:rFonts w:cs="Times New Roman"/>
                      <w:color w:val="auto"/>
                      <w:sz w:val="18"/>
                      <w:szCs w:val="18"/>
                    </w:rPr>
                  </w:pPr>
                  <w:r>
                    <w:rPr>
                      <w:rFonts w:cs="Times New Roman"/>
                      <w:color w:val="auto"/>
                      <w:sz w:val="18"/>
                      <w:szCs w:val="18"/>
                    </w:rPr>
                    <w:t>0.02</w:t>
                  </w:r>
                </w:p>
              </w:tc>
              <w:tc>
                <w:tcPr>
                  <w:tcW w:w="492" w:type="pct"/>
                  <w:tcMar>
                    <w:top w:w="15" w:type="dxa"/>
                    <w:left w:w="15" w:type="dxa"/>
                    <w:right w:w="15" w:type="dxa"/>
                  </w:tcMar>
                  <w:vAlign w:val="center"/>
                </w:tcPr>
                <w:p w14:paraId="240968FA">
                  <w:pPr>
                    <w:pStyle w:val="65"/>
                    <w:rPr>
                      <w:rFonts w:cs="Times New Roman"/>
                      <w:color w:val="auto"/>
                      <w:sz w:val="18"/>
                      <w:szCs w:val="18"/>
                    </w:rPr>
                  </w:pPr>
                  <w:r>
                    <w:rPr>
                      <w:rFonts w:cs="Times New Roman"/>
                      <w:color w:val="auto"/>
                      <w:sz w:val="18"/>
                      <w:szCs w:val="18"/>
                    </w:rPr>
                    <w:t>堆放于施工场地周边，便于后期场地覆土</w:t>
                  </w:r>
                </w:p>
              </w:tc>
              <w:tc>
                <w:tcPr>
                  <w:tcW w:w="507" w:type="pct"/>
                  <w:tcMar>
                    <w:top w:w="15" w:type="dxa"/>
                    <w:left w:w="15" w:type="dxa"/>
                    <w:right w:w="15" w:type="dxa"/>
                  </w:tcMar>
                  <w:vAlign w:val="center"/>
                </w:tcPr>
                <w:p w14:paraId="180D0C13">
                  <w:pPr>
                    <w:pStyle w:val="65"/>
                    <w:rPr>
                      <w:rFonts w:cs="Times New Roman"/>
                      <w:color w:val="auto"/>
                      <w:sz w:val="18"/>
                      <w:szCs w:val="18"/>
                    </w:rPr>
                  </w:pPr>
                  <w:r>
                    <w:rPr>
                      <w:rFonts w:cs="Times New Roman"/>
                      <w:color w:val="auto"/>
                      <w:sz w:val="18"/>
                      <w:szCs w:val="18"/>
                    </w:rPr>
                    <w:t>施工场营地</w:t>
                  </w:r>
                </w:p>
              </w:tc>
              <w:tc>
                <w:tcPr>
                  <w:tcW w:w="398" w:type="pct"/>
                  <w:tcMar>
                    <w:top w:w="15" w:type="dxa"/>
                    <w:left w:w="15" w:type="dxa"/>
                    <w:right w:w="15" w:type="dxa"/>
                  </w:tcMar>
                  <w:vAlign w:val="center"/>
                </w:tcPr>
                <w:p w14:paraId="4794F2CB">
                  <w:pPr>
                    <w:pStyle w:val="65"/>
                    <w:rPr>
                      <w:rFonts w:cs="Times New Roman"/>
                      <w:color w:val="auto"/>
                      <w:sz w:val="18"/>
                      <w:szCs w:val="18"/>
                    </w:rPr>
                  </w:pPr>
                  <w:r>
                    <w:rPr>
                      <w:rFonts w:cs="Times New Roman"/>
                      <w:color w:val="auto"/>
                      <w:sz w:val="18"/>
                      <w:szCs w:val="18"/>
                    </w:rPr>
                    <w:t>0.28</w:t>
                  </w:r>
                </w:p>
              </w:tc>
              <w:tc>
                <w:tcPr>
                  <w:tcW w:w="391" w:type="pct"/>
                  <w:tcMar>
                    <w:top w:w="15" w:type="dxa"/>
                    <w:left w:w="15" w:type="dxa"/>
                    <w:right w:w="15" w:type="dxa"/>
                  </w:tcMar>
                  <w:vAlign w:val="center"/>
                </w:tcPr>
                <w:p w14:paraId="383330EF">
                  <w:pPr>
                    <w:pStyle w:val="65"/>
                    <w:rPr>
                      <w:rFonts w:cs="Times New Roman"/>
                      <w:color w:val="auto"/>
                      <w:sz w:val="18"/>
                      <w:szCs w:val="18"/>
                    </w:rPr>
                  </w:pPr>
                  <w:r>
                    <w:rPr>
                      <w:rFonts w:cs="Times New Roman"/>
                      <w:color w:val="auto"/>
                      <w:sz w:val="18"/>
                      <w:szCs w:val="18"/>
                    </w:rPr>
                    <w:t>0.08</w:t>
                  </w:r>
                </w:p>
              </w:tc>
              <w:tc>
                <w:tcPr>
                  <w:tcW w:w="340" w:type="pct"/>
                  <w:tcMar>
                    <w:top w:w="15" w:type="dxa"/>
                    <w:left w:w="15" w:type="dxa"/>
                    <w:right w:w="15" w:type="dxa"/>
                  </w:tcMar>
                  <w:vAlign w:val="center"/>
                </w:tcPr>
                <w:p w14:paraId="1EE91CD7">
                  <w:pPr>
                    <w:pStyle w:val="65"/>
                    <w:rPr>
                      <w:rFonts w:cs="Times New Roman"/>
                      <w:color w:val="auto"/>
                      <w:sz w:val="18"/>
                      <w:szCs w:val="18"/>
                    </w:rPr>
                  </w:pPr>
                  <w:r>
                    <w:rPr>
                      <w:rFonts w:cs="Times New Roman"/>
                      <w:color w:val="auto"/>
                      <w:sz w:val="18"/>
                      <w:szCs w:val="18"/>
                    </w:rPr>
                    <w:t>0.02</w:t>
                  </w:r>
                </w:p>
              </w:tc>
              <w:tc>
                <w:tcPr>
                  <w:tcW w:w="362" w:type="pct"/>
                  <w:tcMar>
                    <w:top w:w="15" w:type="dxa"/>
                    <w:left w:w="15" w:type="dxa"/>
                    <w:right w:w="15" w:type="dxa"/>
                  </w:tcMar>
                  <w:vAlign w:val="center"/>
                </w:tcPr>
                <w:p w14:paraId="700419AD">
                  <w:pPr>
                    <w:pStyle w:val="65"/>
                    <w:rPr>
                      <w:rFonts w:cs="Times New Roman"/>
                      <w:color w:val="auto"/>
                      <w:sz w:val="18"/>
                      <w:szCs w:val="18"/>
                    </w:rPr>
                  </w:pPr>
                  <w:r>
                    <w:rPr>
                      <w:rFonts w:cs="Times New Roman"/>
                      <w:color w:val="auto"/>
                      <w:sz w:val="18"/>
                      <w:szCs w:val="18"/>
                    </w:rPr>
                    <w:t>堆放于施工场地周边的表土</w:t>
                  </w:r>
                </w:p>
              </w:tc>
            </w:tr>
            <w:tr w14:paraId="4229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5" w:type="pct"/>
                  <w:gridSpan w:val="2"/>
                  <w:tcMar>
                    <w:top w:w="15" w:type="dxa"/>
                    <w:left w:w="15" w:type="dxa"/>
                    <w:right w:w="15" w:type="dxa"/>
                  </w:tcMar>
                  <w:vAlign w:val="center"/>
                </w:tcPr>
                <w:p w14:paraId="5F52A6F3">
                  <w:pPr>
                    <w:pStyle w:val="65"/>
                    <w:rPr>
                      <w:rFonts w:cs="Times New Roman"/>
                      <w:color w:val="auto"/>
                      <w:sz w:val="18"/>
                      <w:szCs w:val="18"/>
                    </w:rPr>
                  </w:pPr>
                  <w:r>
                    <w:rPr>
                      <w:rFonts w:cs="Times New Roman"/>
                      <w:color w:val="auto"/>
                      <w:sz w:val="18"/>
                      <w:szCs w:val="18"/>
                    </w:rPr>
                    <w:t>合计</w:t>
                  </w:r>
                </w:p>
              </w:tc>
              <w:tc>
                <w:tcPr>
                  <w:tcW w:w="268" w:type="pct"/>
                  <w:tcMar>
                    <w:top w:w="15" w:type="dxa"/>
                    <w:left w:w="15" w:type="dxa"/>
                    <w:right w:w="15" w:type="dxa"/>
                  </w:tcMar>
                  <w:vAlign w:val="center"/>
                </w:tcPr>
                <w:p w14:paraId="00DB9EEF">
                  <w:pPr>
                    <w:pStyle w:val="65"/>
                    <w:rPr>
                      <w:rFonts w:cs="Times New Roman"/>
                      <w:color w:val="auto"/>
                      <w:sz w:val="18"/>
                      <w:szCs w:val="18"/>
                    </w:rPr>
                  </w:pPr>
                  <w:r>
                    <w:rPr>
                      <w:rFonts w:cs="Times New Roman"/>
                      <w:color w:val="auto"/>
                      <w:sz w:val="18"/>
                      <w:szCs w:val="18"/>
                    </w:rPr>
                    <w:t>-</w:t>
                  </w:r>
                </w:p>
              </w:tc>
              <w:tc>
                <w:tcPr>
                  <w:tcW w:w="362" w:type="pct"/>
                  <w:tcMar>
                    <w:top w:w="15" w:type="dxa"/>
                    <w:left w:w="15" w:type="dxa"/>
                    <w:right w:w="15" w:type="dxa"/>
                  </w:tcMar>
                  <w:vAlign w:val="center"/>
                </w:tcPr>
                <w:p w14:paraId="046CE476">
                  <w:pPr>
                    <w:pStyle w:val="65"/>
                    <w:rPr>
                      <w:rFonts w:cs="Times New Roman"/>
                      <w:color w:val="auto"/>
                      <w:sz w:val="18"/>
                      <w:szCs w:val="18"/>
                    </w:rPr>
                  </w:pPr>
                  <w:r>
                    <w:rPr>
                      <w:rFonts w:cs="Times New Roman"/>
                      <w:color w:val="auto"/>
                      <w:sz w:val="18"/>
                      <w:szCs w:val="18"/>
                    </w:rPr>
                    <w:t>7.12</w:t>
                  </w:r>
                </w:p>
              </w:tc>
              <w:tc>
                <w:tcPr>
                  <w:tcW w:w="391" w:type="pct"/>
                  <w:tcMar>
                    <w:top w:w="15" w:type="dxa"/>
                    <w:left w:w="15" w:type="dxa"/>
                    <w:right w:w="15" w:type="dxa"/>
                  </w:tcMar>
                  <w:vAlign w:val="center"/>
                </w:tcPr>
                <w:p w14:paraId="608527BB">
                  <w:pPr>
                    <w:pStyle w:val="65"/>
                    <w:rPr>
                      <w:rFonts w:cs="Times New Roman"/>
                      <w:color w:val="auto"/>
                      <w:sz w:val="18"/>
                      <w:szCs w:val="18"/>
                    </w:rPr>
                  </w:pPr>
                  <w:r>
                    <w:rPr>
                      <w:rFonts w:cs="Times New Roman"/>
                      <w:color w:val="auto"/>
                      <w:sz w:val="18"/>
                      <w:szCs w:val="18"/>
                    </w:rPr>
                    <w:t>-</w:t>
                  </w:r>
                </w:p>
              </w:tc>
              <w:tc>
                <w:tcPr>
                  <w:tcW w:w="449" w:type="pct"/>
                  <w:tcMar>
                    <w:top w:w="15" w:type="dxa"/>
                    <w:left w:w="15" w:type="dxa"/>
                    <w:right w:w="15" w:type="dxa"/>
                  </w:tcMar>
                  <w:vAlign w:val="center"/>
                </w:tcPr>
                <w:p w14:paraId="6F52245A">
                  <w:pPr>
                    <w:pStyle w:val="65"/>
                    <w:rPr>
                      <w:rFonts w:cs="Times New Roman"/>
                      <w:color w:val="auto"/>
                      <w:sz w:val="18"/>
                      <w:szCs w:val="18"/>
                    </w:rPr>
                  </w:pPr>
                  <w:r>
                    <w:rPr>
                      <w:rFonts w:cs="Times New Roman"/>
                      <w:color w:val="auto"/>
                      <w:sz w:val="18"/>
                      <w:szCs w:val="18"/>
                    </w:rPr>
                    <w:t>0.64</w:t>
                  </w:r>
                </w:p>
              </w:tc>
              <w:tc>
                <w:tcPr>
                  <w:tcW w:w="304" w:type="pct"/>
                  <w:tcMar>
                    <w:top w:w="15" w:type="dxa"/>
                    <w:left w:w="15" w:type="dxa"/>
                    <w:right w:w="15" w:type="dxa"/>
                  </w:tcMar>
                  <w:vAlign w:val="center"/>
                </w:tcPr>
                <w:p w14:paraId="3D499578">
                  <w:pPr>
                    <w:pStyle w:val="65"/>
                    <w:rPr>
                      <w:rFonts w:cs="Times New Roman"/>
                      <w:color w:val="auto"/>
                      <w:sz w:val="18"/>
                      <w:szCs w:val="18"/>
                    </w:rPr>
                  </w:pPr>
                  <w:r>
                    <w:rPr>
                      <w:rFonts w:cs="Times New Roman"/>
                      <w:color w:val="auto"/>
                      <w:sz w:val="18"/>
                      <w:szCs w:val="18"/>
                    </w:rPr>
                    <w:t>0.64</w:t>
                  </w:r>
                </w:p>
              </w:tc>
              <w:tc>
                <w:tcPr>
                  <w:tcW w:w="492" w:type="pct"/>
                  <w:tcMar>
                    <w:top w:w="15" w:type="dxa"/>
                    <w:left w:w="15" w:type="dxa"/>
                    <w:right w:w="15" w:type="dxa"/>
                  </w:tcMar>
                  <w:vAlign w:val="center"/>
                </w:tcPr>
                <w:p w14:paraId="4AF7F156">
                  <w:pPr>
                    <w:pStyle w:val="65"/>
                    <w:rPr>
                      <w:rFonts w:cs="Times New Roman"/>
                      <w:color w:val="auto"/>
                      <w:sz w:val="18"/>
                      <w:szCs w:val="18"/>
                    </w:rPr>
                  </w:pPr>
                  <w:r>
                    <w:rPr>
                      <w:rFonts w:cs="Times New Roman"/>
                      <w:color w:val="auto"/>
                      <w:sz w:val="18"/>
                      <w:szCs w:val="18"/>
                    </w:rPr>
                    <w:t>-</w:t>
                  </w:r>
                </w:p>
              </w:tc>
              <w:tc>
                <w:tcPr>
                  <w:tcW w:w="507" w:type="pct"/>
                  <w:tcMar>
                    <w:top w:w="15" w:type="dxa"/>
                    <w:left w:w="15" w:type="dxa"/>
                    <w:right w:w="15" w:type="dxa"/>
                  </w:tcMar>
                  <w:vAlign w:val="center"/>
                </w:tcPr>
                <w:p w14:paraId="24F25ACB">
                  <w:pPr>
                    <w:pStyle w:val="65"/>
                    <w:rPr>
                      <w:rFonts w:cs="Times New Roman"/>
                      <w:color w:val="auto"/>
                      <w:sz w:val="18"/>
                      <w:szCs w:val="18"/>
                    </w:rPr>
                  </w:pPr>
                  <w:r>
                    <w:rPr>
                      <w:rFonts w:cs="Times New Roman"/>
                      <w:color w:val="auto"/>
                      <w:sz w:val="18"/>
                      <w:szCs w:val="18"/>
                    </w:rPr>
                    <w:t>-</w:t>
                  </w:r>
                </w:p>
              </w:tc>
              <w:tc>
                <w:tcPr>
                  <w:tcW w:w="398" w:type="pct"/>
                  <w:tcMar>
                    <w:top w:w="15" w:type="dxa"/>
                    <w:left w:w="15" w:type="dxa"/>
                    <w:right w:w="15" w:type="dxa"/>
                  </w:tcMar>
                  <w:vAlign w:val="center"/>
                </w:tcPr>
                <w:p w14:paraId="0091DC77">
                  <w:pPr>
                    <w:pStyle w:val="65"/>
                    <w:rPr>
                      <w:rFonts w:cs="Times New Roman"/>
                      <w:color w:val="auto"/>
                      <w:sz w:val="18"/>
                      <w:szCs w:val="18"/>
                    </w:rPr>
                  </w:pPr>
                  <w:r>
                    <w:rPr>
                      <w:rFonts w:cs="Times New Roman"/>
                      <w:color w:val="auto"/>
                      <w:sz w:val="18"/>
                      <w:szCs w:val="18"/>
                    </w:rPr>
                    <w:t>-</w:t>
                  </w:r>
                </w:p>
              </w:tc>
              <w:tc>
                <w:tcPr>
                  <w:tcW w:w="391" w:type="pct"/>
                  <w:tcMar>
                    <w:top w:w="15" w:type="dxa"/>
                    <w:left w:w="15" w:type="dxa"/>
                    <w:right w:w="15" w:type="dxa"/>
                  </w:tcMar>
                  <w:vAlign w:val="center"/>
                </w:tcPr>
                <w:p w14:paraId="76C375FA">
                  <w:pPr>
                    <w:pStyle w:val="65"/>
                    <w:rPr>
                      <w:rFonts w:cs="Times New Roman"/>
                      <w:color w:val="auto"/>
                      <w:sz w:val="18"/>
                      <w:szCs w:val="18"/>
                    </w:rPr>
                  </w:pPr>
                  <w:r>
                    <w:rPr>
                      <w:rFonts w:cs="Times New Roman"/>
                      <w:color w:val="auto"/>
                      <w:sz w:val="18"/>
                      <w:szCs w:val="18"/>
                    </w:rPr>
                    <w:t>4.77</w:t>
                  </w:r>
                </w:p>
              </w:tc>
              <w:tc>
                <w:tcPr>
                  <w:tcW w:w="340" w:type="pct"/>
                  <w:tcMar>
                    <w:top w:w="15" w:type="dxa"/>
                    <w:left w:w="15" w:type="dxa"/>
                    <w:right w:w="15" w:type="dxa"/>
                  </w:tcMar>
                  <w:vAlign w:val="center"/>
                </w:tcPr>
                <w:p w14:paraId="4391F33A">
                  <w:pPr>
                    <w:pStyle w:val="65"/>
                    <w:rPr>
                      <w:rFonts w:cs="Times New Roman"/>
                      <w:color w:val="auto"/>
                      <w:sz w:val="18"/>
                      <w:szCs w:val="18"/>
                    </w:rPr>
                  </w:pPr>
                  <w:r>
                    <w:rPr>
                      <w:rFonts w:cs="Times New Roman"/>
                      <w:color w:val="auto"/>
                      <w:sz w:val="18"/>
                      <w:szCs w:val="18"/>
                    </w:rPr>
                    <w:t>1.43</w:t>
                  </w:r>
                </w:p>
              </w:tc>
              <w:tc>
                <w:tcPr>
                  <w:tcW w:w="362" w:type="pct"/>
                  <w:tcMar>
                    <w:top w:w="15" w:type="dxa"/>
                    <w:left w:w="15" w:type="dxa"/>
                    <w:right w:w="15" w:type="dxa"/>
                  </w:tcMar>
                  <w:vAlign w:val="center"/>
                </w:tcPr>
                <w:p w14:paraId="512CE3BE">
                  <w:pPr>
                    <w:pStyle w:val="65"/>
                    <w:rPr>
                      <w:rFonts w:cs="Times New Roman"/>
                      <w:color w:val="auto"/>
                      <w:sz w:val="18"/>
                      <w:szCs w:val="18"/>
                    </w:rPr>
                  </w:pPr>
                  <w:r>
                    <w:rPr>
                      <w:rFonts w:cs="Times New Roman"/>
                      <w:color w:val="auto"/>
                      <w:sz w:val="18"/>
                      <w:szCs w:val="18"/>
                    </w:rPr>
                    <w:t>-</w:t>
                  </w:r>
                </w:p>
              </w:tc>
            </w:tr>
            <w:tr w14:paraId="2188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35" w:type="pct"/>
                  <w:gridSpan w:val="2"/>
                  <w:tcMar>
                    <w:top w:w="15" w:type="dxa"/>
                    <w:left w:w="15" w:type="dxa"/>
                    <w:right w:w="15" w:type="dxa"/>
                  </w:tcMar>
                  <w:vAlign w:val="center"/>
                </w:tcPr>
                <w:p w14:paraId="584BD3CB">
                  <w:pPr>
                    <w:pStyle w:val="65"/>
                    <w:rPr>
                      <w:rFonts w:cs="Times New Roman"/>
                      <w:color w:val="auto"/>
                      <w:sz w:val="18"/>
                      <w:szCs w:val="18"/>
                    </w:rPr>
                  </w:pPr>
                </w:p>
              </w:tc>
              <w:tc>
                <w:tcPr>
                  <w:tcW w:w="4265" w:type="pct"/>
                  <w:gridSpan w:val="11"/>
                  <w:tcMar>
                    <w:top w:w="15" w:type="dxa"/>
                    <w:left w:w="15" w:type="dxa"/>
                    <w:right w:w="15" w:type="dxa"/>
                  </w:tcMar>
                  <w:vAlign w:val="center"/>
                </w:tcPr>
                <w:p w14:paraId="7008ED68">
                  <w:pPr>
                    <w:pStyle w:val="65"/>
                    <w:rPr>
                      <w:rFonts w:cs="Times New Roman"/>
                      <w:color w:val="auto"/>
                      <w:sz w:val="18"/>
                      <w:szCs w:val="18"/>
                    </w:rPr>
                  </w:pPr>
                  <w:r>
                    <w:rPr>
                      <w:rFonts w:cs="Times New Roman"/>
                      <w:color w:val="auto"/>
                      <w:sz w:val="18"/>
                      <w:szCs w:val="18"/>
                    </w:rPr>
                    <w:t>备注：表中土方量均以自然方计</w:t>
                  </w:r>
                </w:p>
              </w:tc>
            </w:tr>
          </w:tbl>
          <w:p w14:paraId="12719986">
            <w:pPr>
              <w:ind w:firstLine="480"/>
              <w:rPr>
                <w:color w:val="auto"/>
                <w:szCs w:val="21"/>
              </w:rPr>
            </w:pPr>
            <w:r>
              <w:rPr>
                <w:color w:val="auto"/>
                <w:szCs w:val="21"/>
              </w:rPr>
              <w:t>4）弃渣场</w:t>
            </w:r>
          </w:p>
          <w:p w14:paraId="2B1B5CA2">
            <w:pPr>
              <w:ind w:firstLine="480"/>
              <w:rPr>
                <w:color w:val="auto"/>
                <w:szCs w:val="21"/>
              </w:rPr>
            </w:pPr>
            <w:r>
              <w:rPr>
                <w:rFonts w:hint="eastAsia"/>
                <w:color w:val="auto"/>
                <w:szCs w:val="21"/>
              </w:rPr>
              <w:t>本项目无永久弃方产生，故不涉及弃渣场。</w:t>
            </w:r>
          </w:p>
          <w:p w14:paraId="53BD7A1C">
            <w:pPr>
              <w:ind w:firstLine="480"/>
              <w:rPr>
                <w:color w:val="auto"/>
                <w:szCs w:val="21"/>
              </w:rPr>
            </w:pPr>
            <w:r>
              <w:rPr>
                <w:color w:val="auto"/>
                <w:szCs w:val="21"/>
              </w:rPr>
              <w:t>5）</w:t>
            </w:r>
            <w:r>
              <w:rPr>
                <w:rFonts w:hint="eastAsia"/>
                <w:color w:val="auto"/>
                <w:szCs w:val="21"/>
              </w:rPr>
              <w:t>取土场</w:t>
            </w:r>
          </w:p>
          <w:p w14:paraId="2702540C">
            <w:pPr>
              <w:ind w:firstLine="480"/>
              <w:rPr>
                <w:color w:val="auto"/>
                <w:szCs w:val="21"/>
              </w:rPr>
            </w:pPr>
            <w:r>
              <w:rPr>
                <w:rFonts w:hint="eastAsia"/>
                <w:color w:val="auto"/>
                <w:szCs w:val="21"/>
              </w:rPr>
              <w:t>本项目无取土需求，无需规划取土场。</w:t>
            </w:r>
          </w:p>
          <w:p w14:paraId="43806F3A">
            <w:pPr>
              <w:ind w:firstLine="0" w:firstLineChars="0"/>
              <w:rPr>
                <w:b/>
                <w:color w:val="auto"/>
                <w:szCs w:val="21"/>
              </w:rPr>
            </w:pPr>
            <w:r>
              <w:rPr>
                <w:b/>
                <w:color w:val="auto"/>
                <w:szCs w:val="21"/>
              </w:rPr>
              <w:t>2.4.3土石方平衡</w:t>
            </w:r>
          </w:p>
          <w:p w14:paraId="3137D1FF">
            <w:pPr>
              <w:ind w:firstLine="480"/>
              <w:rPr>
                <w:color w:val="auto"/>
              </w:rPr>
            </w:pPr>
            <w:r>
              <w:rPr>
                <w:rFonts w:hint="eastAsia"/>
                <w:color w:val="auto"/>
              </w:rPr>
              <w:t>全工程土石方开挖总量13.21万m³</w:t>
            </w:r>
            <w:r>
              <w:rPr>
                <w:color w:val="auto"/>
              </w:rPr>
              <w:t>（表土剥离</w:t>
            </w:r>
            <w:r>
              <w:rPr>
                <w:rFonts w:hint="eastAsia"/>
                <w:color w:val="auto"/>
              </w:rPr>
              <w:t>1.43万</w:t>
            </w:r>
            <w:r>
              <w:rPr>
                <w:color w:val="auto"/>
              </w:rPr>
              <w:t>m³，</w:t>
            </w:r>
            <w:r>
              <w:rPr>
                <w:rFonts w:hint="eastAsia"/>
                <w:color w:val="auto"/>
              </w:rPr>
              <w:t>一般</w:t>
            </w:r>
            <w:r>
              <w:rPr>
                <w:color w:val="auto"/>
              </w:rPr>
              <w:t>土石方开挖</w:t>
            </w:r>
            <w:r>
              <w:rPr>
                <w:rFonts w:hint="eastAsia"/>
                <w:color w:val="auto"/>
              </w:rPr>
              <w:t>11.18万</w:t>
            </w:r>
            <w:r>
              <w:rPr>
                <w:color w:val="auto"/>
              </w:rPr>
              <w:t>m³</w:t>
            </w:r>
            <w:r>
              <w:rPr>
                <w:rFonts w:hint="eastAsia"/>
                <w:color w:val="auto"/>
              </w:rPr>
              <w:t>，场地平整0.6万</w:t>
            </w:r>
            <w:r>
              <w:rPr>
                <w:color w:val="auto"/>
              </w:rPr>
              <w:t>m³）</w:t>
            </w:r>
            <w:r>
              <w:rPr>
                <w:rFonts w:hint="eastAsia"/>
                <w:color w:val="auto"/>
              </w:rPr>
              <w:t>；</w:t>
            </w:r>
            <w:r>
              <w:rPr>
                <w:color w:val="auto"/>
              </w:rPr>
              <w:t>回填利用土石方</w:t>
            </w:r>
            <w:r>
              <w:rPr>
                <w:rFonts w:hint="eastAsia"/>
                <w:color w:val="auto"/>
              </w:rPr>
              <w:t>13.21万m³</w:t>
            </w:r>
            <w:r>
              <w:rPr>
                <w:color w:val="auto"/>
              </w:rPr>
              <w:t>（绿化覆土</w:t>
            </w:r>
            <w:r>
              <w:rPr>
                <w:rFonts w:hint="eastAsia"/>
                <w:color w:val="auto"/>
              </w:rPr>
              <w:t>1.43万</w:t>
            </w:r>
            <w:r>
              <w:rPr>
                <w:color w:val="auto"/>
              </w:rPr>
              <w:t>m³，土石方回填</w:t>
            </w:r>
            <w:r>
              <w:rPr>
                <w:rFonts w:hint="eastAsia"/>
                <w:color w:val="auto"/>
              </w:rPr>
              <w:t>10.41万</w:t>
            </w:r>
            <w:r>
              <w:rPr>
                <w:color w:val="auto"/>
              </w:rPr>
              <w:t>m³</w:t>
            </w:r>
            <w:r>
              <w:rPr>
                <w:rFonts w:hint="eastAsia"/>
                <w:color w:val="auto"/>
              </w:rPr>
              <w:t>，场地平整1.37万</w:t>
            </w:r>
            <w:r>
              <w:rPr>
                <w:color w:val="auto"/>
              </w:rPr>
              <w:t>m³）</w:t>
            </w:r>
            <w:r>
              <w:rPr>
                <w:rFonts w:hint="eastAsia"/>
                <w:color w:val="auto"/>
              </w:rPr>
              <w:t>，</w:t>
            </w:r>
            <w:r>
              <w:rPr>
                <w:color w:val="auto"/>
              </w:rPr>
              <w:t>无永久弃方。</w:t>
            </w:r>
          </w:p>
          <w:p w14:paraId="457FF9E1">
            <w:pPr>
              <w:keepNext/>
              <w:ind w:firstLine="480"/>
              <w:rPr>
                <w:color w:val="auto"/>
                <w:szCs w:val="21"/>
              </w:rPr>
            </w:pPr>
            <w:r>
              <w:rPr>
                <w:rFonts w:hint="eastAsia"/>
                <w:color w:val="auto"/>
                <w:szCs w:val="21"/>
              </w:rPr>
              <w:t>项目</w:t>
            </w:r>
            <w:r>
              <w:rPr>
                <w:color w:val="auto"/>
                <w:szCs w:val="21"/>
              </w:rPr>
              <w:t>土石方平衡及流向汇总详见下表。</w:t>
            </w:r>
          </w:p>
        </w:tc>
      </w:tr>
    </w:tbl>
    <w:p w14:paraId="3847C8E9">
      <w:pPr>
        <w:pStyle w:val="13"/>
        <w:ind w:firstLine="420"/>
        <w:rPr>
          <w:color w:val="auto"/>
        </w:rPr>
        <w:sectPr>
          <w:pgSz w:w="11906" w:h="16838"/>
          <w:pgMar w:top="1440" w:right="1797" w:bottom="1440" w:left="1797" w:header="737" w:footer="1134" w:gutter="0"/>
          <w:cols w:space="425" w:num="1"/>
          <w:docGrid w:linePitch="326" w:charSpace="0"/>
        </w:sectPr>
      </w:pP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3522"/>
      </w:tblGrid>
      <w:tr w14:paraId="02496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230" w:type="pct"/>
            <w:vAlign w:val="center"/>
          </w:tcPr>
          <w:p w14:paraId="34F37540">
            <w:pPr>
              <w:adjustRightInd w:val="0"/>
              <w:snapToGrid w:val="0"/>
              <w:spacing w:line="240" w:lineRule="auto"/>
              <w:ind w:firstLine="0" w:firstLineChars="0"/>
              <w:jc w:val="center"/>
              <w:rPr>
                <w:color w:val="auto"/>
                <w:kern w:val="0"/>
              </w:rPr>
            </w:pPr>
            <w:r>
              <w:rPr>
                <w:color w:val="auto"/>
                <w:kern w:val="0"/>
              </w:rPr>
              <w:t>总平面及现场布置</w:t>
            </w:r>
          </w:p>
        </w:tc>
        <w:tc>
          <w:tcPr>
            <w:tcW w:w="4770" w:type="pct"/>
            <w:vAlign w:val="center"/>
          </w:tcPr>
          <w:p w14:paraId="7AE5F396">
            <w:pPr>
              <w:pStyle w:val="63"/>
              <w:ind w:firstLine="482"/>
              <w:rPr>
                <w:color w:val="auto"/>
                <w:vertAlign w:val="superscript"/>
              </w:rPr>
            </w:pPr>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2.8</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2</w:t>
            </w:r>
            <w:r>
              <w:rPr>
                <w:color w:val="auto"/>
                <w:szCs w:val="24"/>
              </w:rPr>
              <w:fldChar w:fldCharType="end"/>
            </w:r>
            <w:r>
              <w:rPr>
                <w:color w:val="auto"/>
                <w:szCs w:val="24"/>
              </w:rPr>
              <w:t xml:space="preserve">  </w:t>
            </w:r>
            <w:r>
              <w:rPr>
                <w:color w:val="auto"/>
              </w:rPr>
              <w:t xml:space="preserve">土石方平衡分析总表      </w:t>
            </w:r>
            <w:r>
              <w:rPr>
                <w:rFonts w:hint="eastAsia"/>
                <w:color w:val="auto"/>
              </w:rPr>
              <w:t>单位：</w:t>
            </w:r>
            <w:r>
              <w:rPr>
                <w:color w:val="auto"/>
              </w:rPr>
              <w:t>万m</w:t>
            </w:r>
            <w:r>
              <w:rPr>
                <w:color w:val="auto"/>
                <w:vertAlign w:val="superscript"/>
              </w:rPr>
              <w:t>3</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05"/>
              <w:gridCol w:w="578"/>
              <w:gridCol w:w="1080"/>
              <w:gridCol w:w="722"/>
              <w:gridCol w:w="573"/>
              <w:gridCol w:w="599"/>
              <w:gridCol w:w="626"/>
              <w:gridCol w:w="586"/>
              <w:gridCol w:w="682"/>
              <w:gridCol w:w="573"/>
              <w:gridCol w:w="503"/>
              <w:gridCol w:w="398"/>
              <w:gridCol w:w="3390"/>
              <w:gridCol w:w="398"/>
              <w:gridCol w:w="1080"/>
              <w:gridCol w:w="344"/>
              <w:gridCol w:w="369"/>
              <w:gridCol w:w="390"/>
            </w:tblGrid>
            <w:tr w14:paraId="32AB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75" w:type="pct"/>
                  <w:gridSpan w:val="2"/>
                  <w:vMerge w:val="restart"/>
                  <w:tcMar>
                    <w:top w:w="15" w:type="dxa"/>
                    <w:left w:w="15" w:type="dxa"/>
                    <w:right w:w="15" w:type="dxa"/>
                  </w:tcMar>
                  <w:vAlign w:val="center"/>
                </w:tcPr>
                <w:p w14:paraId="62BEAB70">
                  <w:pPr>
                    <w:pStyle w:val="65"/>
                    <w:rPr>
                      <w:b/>
                      <w:bCs/>
                      <w:color w:val="auto"/>
                    </w:rPr>
                  </w:pPr>
                  <w:r>
                    <w:rPr>
                      <w:b/>
                      <w:bCs/>
                      <w:color w:val="auto"/>
                      <w:lang w:bidi="ar"/>
                    </w:rPr>
                    <w:t>序号</w:t>
                  </w:r>
                </w:p>
              </w:tc>
              <w:tc>
                <w:tcPr>
                  <w:tcW w:w="427" w:type="pct"/>
                  <w:vMerge w:val="restart"/>
                  <w:tcMar>
                    <w:top w:w="15" w:type="dxa"/>
                    <w:left w:w="15" w:type="dxa"/>
                    <w:right w:w="15" w:type="dxa"/>
                  </w:tcMar>
                  <w:vAlign w:val="center"/>
                </w:tcPr>
                <w:p w14:paraId="47C3E1E5">
                  <w:pPr>
                    <w:pStyle w:val="65"/>
                    <w:rPr>
                      <w:b/>
                      <w:bCs/>
                      <w:color w:val="auto"/>
                    </w:rPr>
                  </w:pPr>
                  <w:r>
                    <w:rPr>
                      <w:b/>
                      <w:bCs/>
                      <w:color w:val="auto"/>
                      <w:lang w:bidi="ar"/>
                    </w:rPr>
                    <w:t>项目组成</w:t>
                  </w:r>
                </w:p>
              </w:tc>
              <w:tc>
                <w:tcPr>
                  <w:tcW w:w="1189" w:type="pct"/>
                  <w:gridSpan w:val="4"/>
                  <w:tcMar>
                    <w:top w:w="15" w:type="dxa"/>
                    <w:left w:w="15" w:type="dxa"/>
                    <w:right w:w="15" w:type="dxa"/>
                  </w:tcMar>
                  <w:vAlign w:val="center"/>
                </w:tcPr>
                <w:p w14:paraId="40BDF1D9">
                  <w:pPr>
                    <w:pStyle w:val="65"/>
                    <w:rPr>
                      <w:b/>
                      <w:bCs/>
                      <w:color w:val="auto"/>
                      <w:lang w:bidi="ar"/>
                    </w:rPr>
                  </w:pPr>
                  <w:r>
                    <w:rPr>
                      <w:b/>
                      <w:bCs/>
                      <w:color w:val="auto"/>
                      <w:lang w:bidi="ar"/>
                    </w:rPr>
                    <w:t>开挖</w:t>
                  </w:r>
                </w:p>
              </w:tc>
              <w:tc>
                <w:tcPr>
                  <w:tcW w:w="1071" w:type="pct"/>
                  <w:gridSpan w:val="4"/>
                  <w:tcMar>
                    <w:top w:w="15" w:type="dxa"/>
                    <w:left w:w="15" w:type="dxa"/>
                    <w:right w:w="15" w:type="dxa"/>
                  </w:tcMar>
                  <w:vAlign w:val="center"/>
                </w:tcPr>
                <w:p w14:paraId="51F3DBA3">
                  <w:pPr>
                    <w:pStyle w:val="65"/>
                    <w:rPr>
                      <w:b/>
                      <w:bCs/>
                      <w:color w:val="auto"/>
                      <w:lang w:bidi="ar"/>
                    </w:rPr>
                  </w:pPr>
                  <w:r>
                    <w:rPr>
                      <w:b/>
                      <w:bCs/>
                      <w:color w:val="auto"/>
                      <w:lang w:bidi="ar"/>
                    </w:rPr>
                    <w:t>回填</w:t>
                  </w:r>
                </w:p>
              </w:tc>
              <w:tc>
                <w:tcPr>
                  <w:tcW w:w="576" w:type="pct"/>
                  <w:gridSpan w:val="2"/>
                  <w:tcMar>
                    <w:top w:w="15" w:type="dxa"/>
                    <w:left w:w="15" w:type="dxa"/>
                    <w:right w:w="15" w:type="dxa"/>
                  </w:tcMar>
                  <w:vAlign w:val="center"/>
                </w:tcPr>
                <w:p w14:paraId="133DD2D6">
                  <w:pPr>
                    <w:pStyle w:val="65"/>
                    <w:rPr>
                      <w:b/>
                      <w:bCs/>
                      <w:color w:val="auto"/>
                    </w:rPr>
                  </w:pPr>
                  <w:r>
                    <w:rPr>
                      <w:b/>
                      <w:bCs/>
                      <w:color w:val="auto"/>
                      <w:lang w:bidi="ar"/>
                    </w:rPr>
                    <w:t>调入</w:t>
                  </w:r>
                </w:p>
              </w:tc>
              <w:tc>
                <w:tcPr>
                  <w:tcW w:w="649" w:type="pct"/>
                  <w:gridSpan w:val="2"/>
                  <w:tcMar>
                    <w:top w:w="15" w:type="dxa"/>
                    <w:left w:w="15" w:type="dxa"/>
                    <w:right w:w="15" w:type="dxa"/>
                  </w:tcMar>
                  <w:vAlign w:val="center"/>
                </w:tcPr>
                <w:p w14:paraId="45CE0E52">
                  <w:pPr>
                    <w:pStyle w:val="65"/>
                    <w:rPr>
                      <w:b/>
                      <w:bCs/>
                      <w:color w:val="auto"/>
                    </w:rPr>
                  </w:pPr>
                  <w:r>
                    <w:rPr>
                      <w:b/>
                      <w:bCs/>
                      <w:color w:val="auto"/>
                      <w:lang w:bidi="ar"/>
                    </w:rPr>
                    <w:t>调出</w:t>
                  </w:r>
                </w:p>
              </w:tc>
              <w:tc>
                <w:tcPr>
                  <w:tcW w:w="412" w:type="pct"/>
                  <w:gridSpan w:val="2"/>
                  <w:tcMar>
                    <w:top w:w="15" w:type="dxa"/>
                    <w:left w:w="15" w:type="dxa"/>
                    <w:right w:w="15" w:type="dxa"/>
                  </w:tcMar>
                  <w:vAlign w:val="center"/>
                </w:tcPr>
                <w:p w14:paraId="0D082A92">
                  <w:pPr>
                    <w:pStyle w:val="65"/>
                    <w:rPr>
                      <w:b/>
                      <w:bCs/>
                      <w:color w:val="auto"/>
                    </w:rPr>
                  </w:pPr>
                  <w:r>
                    <w:rPr>
                      <w:b/>
                      <w:bCs/>
                      <w:color w:val="auto"/>
                      <w:lang w:bidi="ar"/>
                    </w:rPr>
                    <w:t>外借</w:t>
                  </w:r>
                </w:p>
              </w:tc>
              <w:tc>
                <w:tcPr>
                  <w:tcW w:w="200" w:type="pct"/>
                  <w:tcMar>
                    <w:top w:w="15" w:type="dxa"/>
                    <w:left w:w="15" w:type="dxa"/>
                    <w:right w:w="15" w:type="dxa"/>
                  </w:tcMar>
                  <w:vAlign w:val="center"/>
                </w:tcPr>
                <w:p w14:paraId="0D55E128">
                  <w:pPr>
                    <w:pStyle w:val="65"/>
                    <w:rPr>
                      <w:b/>
                      <w:bCs/>
                      <w:color w:val="auto"/>
                    </w:rPr>
                  </w:pPr>
                  <w:r>
                    <w:rPr>
                      <w:b/>
                      <w:bCs/>
                      <w:color w:val="auto"/>
                      <w:lang w:bidi="ar"/>
                    </w:rPr>
                    <w:t>弃方</w:t>
                  </w:r>
                </w:p>
              </w:tc>
            </w:tr>
            <w:tr w14:paraId="6D92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475" w:type="pct"/>
                  <w:gridSpan w:val="2"/>
                  <w:vMerge w:val="continue"/>
                  <w:tcMar>
                    <w:top w:w="15" w:type="dxa"/>
                    <w:left w:w="15" w:type="dxa"/>
                    <w:right w:w="15" w:type="dxa"/>
                  </w:tcMar>
                  <w:vAlign w:val="center"/>
                </w:tcPr>
                <w:p w14:paraId="79242AFC">
                  <w:pPr>
                    <w:pStyle w:val="65"/>
                    <w:rPr>
                      <w:b/>
                      <w:bCs/>
                      <w:color w:val="auto"/>
                    </w:rPr>
                  </w:pPr>
                </w:p>
              </w:tc>
              <w:tc>
                <w:tcPr>
                  <w:tcW w:w="427" w:type="pct"/>
                  <w:vMerge w:val="continue"/>
                  <w:tcMar>
                    <w:top w:w="15" w:type="dxa"/>
                    <w:left w:w="15" w:type="dxa"/>
                    <w:right w:w="15" w:type="dxa"/>
                  </w:tcMar>
                  <w:vAlign w:val="center"/>
                </w:tcPr>
                <w:p w14:paraId="7B9208F8">
                  <w:pPr>
                    <w:pStyle w:val="65"/>
                    <w:rPr>
                      <w:b/>
                      <w:bCs/>
                      <w:color w:val="auto"/>
                    </w:rPr>
                  </w:pPr>
                </w:p>
              </w:tc>
              <w:tc>
                <w:tcPr>
                  <w:tcW w:w="355" w:type="pct"/>
                  <w:tcMar>
                    <w:top w:w="15" w:type="dxa"/>
                    <w:left w:w="15" w:type="dxa"/>
                    <w:right w:w="15" w:type="dxa"/>
                  </w:tcMar>
                  <w:vAlign w:val="center"/>
                </w:tcPr>
                <w:p w14:paraId="2C6F0303">
                  <w:pPr>
                    <w:pStyle w:val="65"/>
                    <w:rPr>
                      <w:b/>
                      <w:bCs/>
                      <w:color w:val="auto"/>
                    </w:rPr>
                  </w:pPr>
                  <w:r>
                    <w:rPr>
                      <w:b/>
                      <w:bCs/>
                      <w:color w:val="auto"/>
                      <w:lang w:bidi="ar"/>
                    </w:rPr>
                    <w:t>表土剥离</w:t>
                  </w:r>
                </w:p>
              </w:tc>
              <w:tc>
                <w:tcPr>
                  <w:tcW w:w="268" w:type="pct"/>
                  <w:tcMar>
                    <w:top w:w="15" w:type="dxa"/>
                    <w:left w:w="15" w:type="dxa"/>
                    <w:right w:w="15" w:type="dxa"/>
                  </w:tcMar>
                  <w:vAlign w:val="center"/>
                </w:tcPr>
                <w:p w14:paraId="39D359BD">
                  <w:pPr>
                    <w:pStyle w:val="65"/>
                    <w:rPr>
                      <w:b/>
                      <w:bCs/>
                      <w:color w:val="auto"/>
                    </w:rPr>
                  </w:pPr>
                  <w:r>
                    <w:rPr>
                      <w:b/>
                      <w:bCs/>
                      <w:color w:val="auto"/>
                      <w:lang w:bidi="ar"/>
                    </w:rPr>
                    <w:t>一般开挖</w:t>
                  </w:r>
                </w:p>
              </w:tc>
              <w:tc>
                <w:tcPr>
                  <w:tcW w:w="278" w:type="pct"/>
                  <w:tcMar>
                    <w:top w:w="15" w:type="dxa"/>
                    <w:left w:w="15" w:type="dxa"/>
                    <w:right w:w="15" w:type="dxa"/>
                  </w:tcMar>
                  <w:vAlign w:val="center"/>
                </w:tcPr>
                <w:p w14:paraId="7C2684B8">
                  <w:pPr>
                    <w:pStyle w:val="65"/>
                    <w:rPr>
                      <w:b/>
                      <w:bCs/>
                      <w:color w:val="auto"/>
                      <w:lang w:bidi="ar"/>
                    </w:rPr>
                  </w:pPr>
                  <w:r>
                    <w:rPr>
                      <w:b/>
                      <w:bCs/>
                      <w:color w:val="auto"/>
                      <w:lang w:bidi="ar"/>
                    </w:rPr>
                    <w:t>场地平整</w:t>
                  </w:r>
                </w:p>
              </w:tc>
              <w:tc>
                <w:tcPr>
                  <w:tcW w:w="288" w:type="pct"/>
                  <w:tcMar>
                    <w:top w:w="15" w:type="dxa"/>
                    <w:left w:w="15" w:type="dxa"/>
                    <w:right w:w="15" w:type="dxa"/>
                  </w:tcMar>
                  <w:vAlign w:val="center"/>
                </w:tcPr>
                <w:p w14:paraId="6CBE779C">
                  <w:pPr>
                    <w:pStyle w:val="65"/>
                    <w:rPr>
                      <w:b/>
                      <w:bCs/>
                      <w:color w:val="auto"/>
                    </w:rPr>
                  </w:pPr>
                  <w:r>
                    <w:rPr>
                      <w:b/>
                      <w:bCs/>
                      <w:color w:val="auto"/>
                      <w:lang w:bidi="ar"/>
                    </w:rPr>
                    <w:t>小计</w:t>
                  </w:r>
                </w:p>
              </w:tc>
              <w:tc>
                <w:tcPr>
                  <w:tcW w:w="273" w:type="pct"/>
                  <w:tcMar>
                    <w:top w:w="15" w:type="dxa"/>
                    <w:left w:w="15" w:type="dxa"/>
                    <w:right w:w="15" w:type="dxa"/>
                  </w:tcMar>
                  <w:vAlign w:val="center"/>
                </w:tcPr>
                <w:p w14:paraId="61FF83BF">
                  <w:pPr>
                    <w:pStyle w:val="65"/>
                    <w:rPr>
                      <w:b/>
                      <w:bCs/>
                      <w:color w:val="auto"/>
                    </w:rPr>
                  </w:pPr>
                  <w:r>
                    <w:rPr>
                      <w:b/>
                      <w:bCs/>
                      <w:color w:val="auto"/>
                      <w:lang w:bidi="ar"/>
                    </w:rPr>
                    <w:t>表土覆土</w:t>
                  </w:r>
                </w:p>
              </w:tc>
              <w:tc>
                <w:tcPr>
                  <w:tcW w:w="309" w:type="pct"/>
                  <w:tcMar>
                    <w:top w:w="15" w:type="dxa"/>
                    <w:left w:w="15" w:type="dxa"/>
                    <w:right w:w="15" w:type="dxa"/>
                  </w:tcMar>
                  <w:vAlign w:val="center"/>
                </w:tcPr>
                <w:p w14:paraId="226E1BC4">
                  <w:pPr>
                    <w:pStyle w:val="65"/>
                    <w:rPr>
                      <w:b/>
                      <w:bCs/>
                      <w:color w:val="auto"/>
                    </w:rPr>
                  </w:pPr>
                  <w:r>
                    <w:rPr>
                      <w:b/>
                      <w:bCs/>
                      <w:color w:val="auto"/>
                      <w:lang w:bidi="ar"/>
                    </w:rPr>
                    <w:t>一般回填</w:t>
                  </w:r>
                </w:p>
              </w:tc>
              <w:tc>
                <w:tcPr>
                  <w:tcW w:w="268" w:type="pct"/>
                  <w:tcMar>
                    <w:top w:w="15" w:type="dxa"/>
                    <w:left w:w="15" w:type="dxa"/>
                    <w:right w:w="15" w:type="dxa"/>
                  </w:tcMar>
                  <w:vAlign w:val="center"/>
                </w:tcPr>
                <w:p w14:paraId="752BFED3">
                  <w:pPr>
                    <w:pStyle w:val="65"/>
                    <w:rPr>
                      <w:b/>
                      <w:bCs/>
                      <w:color w:val="auto"/>
                      <w:lang w:bidi="ar"/>
                    </w:rPr>
                  </w:pPr>
                  <w:r>
                    <w:rPr>
                      <w:b/>
                      <w:bCs/>
                      <w:color w:val="auto"/>
                      <w:lang w:bidi="ar"/>
                    </w:rPr>
                    <w:t>场地平整</w:t>
                  </w:r>
                </w:p>
              </w:tc>
              <w:tc>
                <w:tcPr>
                  <w:tcW w:w="221" w:type="pct"/>
                  <w:tcMar>
                    <w:top w:w="15" w:type="dxa"/>
                    <w:left w:w="15" w:type="dxa"/>
                    <w:right w:w="15" w:type="dxa"/>
                  </w:tcMar>
                  <w:vAlign w:val="center"/>
                </w:tcPr>
                <w:p w14:paraId="33DBCF93">
                  <w:pPr>
                    <w:pStyle w:val="65"/>
                    <w:rPr>
                      <w:b/>
                      <w:bCs/>
                      <w:color w:val="auto"/>
                    </w:rPr>
                  </w:pPr>
                  <w:r>
                    <w:rPr>
                      <w:b/>
                      <w:bCs/>
                      <w:color w:val="auto"/>
                      <w:lang w:bidi="ar"/>
                    </w:rPr>
                    <w:t>小计</w:t>
                  </w:r>
                </w:p>
              </w:tc>
              <w:tc>
                <w:tcPr>
                  <w:tcW w:w="196" w:type="pct"/>
                  <w:tcMar>
                    <w:top w:w="15" w:type="dxa"/>
                    <w:left w:w="15" w:type="dxa"/>
                    <w:right w:w="15" w:type="dxa"/>
                  </w:tcMar>
                  <w:vAlign w:val="center"/>
                </w:tcPr>
                <w:p w14:paraId="12B71C09">
                  <w:pPr>
                    <w:pStyle w:val="65"/>
                    <w:rPr>
                      <w:b/>
                      <w:bCs/>
                      <w:color w:val="auto"/>
                    </w:rPr>
                  </w:pPr>
                  <w:r>
                    <w:rPr>
                      <w:b/>
                      <w:bCs/>
                      <w:color w:val="auto"/>
                      <w:lang w:bidi="ar"/>
                    </w:rPr>
                    <w:t>数量</w:t>
                  </w:r>
                </w:p>
              </w:tc>
              <w:tc>
                <w:tcPr>
                  <w:tcW w:w="381" w:type="pct"/>
                  <w:tcMar>
                    <w:top w:w="15" w:type="dxa"/>
                    <w:left w:w="15" w:type="dxa"/>
                    <w:right w:w="15" w:type="dxa"/>
                  </w:tcMar>
                  <w:vAlign w:val="center"/>
                </w:tcPr>
                <w:p w14:paraId="15BB52C0">
                  <w:pPr>
                    <w:pStyle w:val="65"/>
                    <w:rPr>
                      <w:b/>
                      <w:bCs/>
                      <w:color w:val="auto"/>
                    </w:rPr>
                  </w:pPr>
                  <w:r>
                    <w:rPr>
                      <w:b/>
                      <w:bCs/>
                      <w:color w:val="auto"/>
                      <w:lang w:bidi="ar"/>
                    </w:rPr>
                    <w:t>来源</w:t>
                  </w:r>
                </w:p>
              </w:tc>
              <w:tc>
                <w:tcPr>
                  <w:tcW w:w="196" w:type="pct"/>
                  <w:tcMar>
                    <w:top w:w="15" w:type="dxa"/>
                    <w:left w:w="15" w:type="dxa"/>
                    <w:right w:w="15" w:type="dxa"/>
                  </w:tcMar>
                  <w:vAlign w:val="center"/>
                </w:tcPr>
                <w:p w14:paraId="4E623C2F">
                  <w:pPr>
                    <w:pStyle w:val="65"/>
                    <w:rPr>
                      <w:b/>
                      <w:bCs/>
                      <w:color w:val="auto"/>
                    </w:rPr>
                  </w:pPr>
                  <w:r>
                    <w:rPr>
                      <w:b/>
                      <w:bCs/>
                      <w:color w:val="auto"/>
                      <w:lang w:bidi="ar"/>
                    </w:rPr>
                    <w:t>数量</w:t>
                  </w:r>
                </w:p>
              </w:tc>
              <w:tc>
                <w:tcPr>
                  <w:tcW w:w="453" w:type="pct"/>
                  <w:tcMar>
                    <w:top w:w="15" w:type="dxa"/>
                    <w:left w:w="15" w:type="dxa"/>
                    <w:right w:w="15" w:type="dxa"/>
                  </w:tcMar>
                  <w:vAlign w:val="center"/>
                </w:tcPr>
                <w:p w14:paraId="29ABA5E7">
                  <w:pPr>
                    <w:pStyle w:val="65"/>
                    <w:rPr>
                      <w:b/>
                      <w:bCs/>
                      <w:color w:val="auto"/>
                    </w:rPr>
                  </w:pPr>
                  <w:r>
                    <w:rPr>
                      <w:b/>
                      <w:bCs/>
                      <w:color w:val="auto"/>
                      <w:lang w:bidi="ar"/>
                    </w:rPr>
                    <w:t>去向</w:t>
                  </w:r>
                </w:p>
              </w:tc>
              <w:tc>
                <w:tcPr>
                  <w:tcW w:w="221" w:type="pct"/>
                  <w:tcMar>
                    <w:top w:w="15" w:type="dxa"/>
                    <w:left w:w="15" w:type="dxa"/>
                    <w:right w:w="15" w:type="dxa"/>
                  </w:tcMar>
                  <w:vAlign w:val="center"/>
                </w:tcPr>
                <w:p w14:paraId="390845B1">
                  <w:pPr>
                    <w:pStyle w:val="65"/>
                    <w:rPr>
                      <w:b/>
                      <w:bCs/>
                      <w:color w:val="auto"/>
                    </w:rPr>
                  </w:pPr>
                  <w:r>
                    <w:rPr>
                      <w:b/>
                      <w:bCs/>
                      <w:color w:val="auto"/>
                      <w:lang w:bidi="ar"/>
                    </w:rPr>
                    <w:t>数量</w:t>
                  </w:r>
                </w:p>
              </w:tc>
              <w:tc>
                <w:tcPr>
                  <w:tcW w:w="191" w:type="pct"/>
                  <w:tcMar>
                    <w:top w:w="15" w:type="dxa"/>
                    <w:left w:w="15" w:type="dxa"/>
                    <w:right w:w="15" w:type="dxa"/>
                  </w:tcMar>
                  <w:vAlign w:val="center"/>
                </w:tcPr>
                <w:p w14:paraId="0D6668AD">
                  <w:pPr>
                    <w:pStyle w:val="65"/>
                    <w:rPr>
                      <w:b/>
                      <w:bCs/>
                      <w:color w:val="auto"/>
                    </w:rPr>
                  </w:pPr>
                  <w:r>
                    <w:rPr>
                      <w:b/>
                      <w:bCs/>
                      <w:color w:val="auto"/>
                      <w:lang w:bidi="ar"/>
                    </w:rPr>
                    <w:t>来源</w:t>
                  </w:r>
                </w:p>
              </w:tc>
              <w:tc>
                <w:tcPr>
                  <w:tcW w:w="200" w:type="pct"/>
                  <w:tcMar>
                    <w:top w:w="15" w:type="dxa"/>
                    <w:left w:w="15" w:type="dxa"/>
                    <w:right w:w="15" w:type="dxa"/>
                  </w:tcMar>
                  <w:vAlign w:val="center"/>
                </w:tcPr>
                <w:p w14:paraId="2CCA725E">
                  <w:pPr>
                    <w:pStyle w:val="65"/>
                    <w:rPr>
                      <w:b/>
                      <w:bCs/>
                      <w:color w:val="auto"/>
                    </w:rPr>
                  </w:pPr>
                  <w:r>
                    <w:rPr>
                      <w:b/>
                      <w:bCs/>
                      <w:color w:val="auto"/>
                      <w:lang w:bidi="ar"/>
                    </w:rPr>
                    <w:t>数量</w:t>
                  </w:r>
                </w:p>
              </w:tc>
            </w:tr>
            <w:tr w14:paraId="499B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5" w:type="pct"/>
                  <w:vMerge w:val="restart"/>
                  <w:noWrap/>
                  <w:tcMar>
                    <w:top w:w="15" w:type="dxa"/>
                    <w:left w:w="15" w:type="dxa"/>
                    <w:right w:w="15" w:type="dxa"/>
                  </w:tcMar>
                  <w:vAlign w:val="center"/>
                </w:tcPr>
                <w:p w14:paraId="1D8E2A65">
                  <w:pPr>
                    <w:pStyle w:val="65"/>
                    <w:rPr>
                      <w:color w:val="auto"/>
                    </w:rPr>
                  </w:pPr>
                  <w:r>
                    <w:rPr>
                      <w:color w:val="auto"/>
                      <w:lang w:bidi="ar"/>
                    </w:rPr>
                    <w:t>一</w:t>
                  </w:r>
                </w:p>
              </w:tc>
              <w:tc>
                <w:tcPr>
                  <w:tcW w:w="270" w:type="pct"/>
                  <w:vMerge w:val="restart"/>
                  <w:tcMar>
                    <w:top w:w="15" w:type="dxa"/>
                    <w:left w:w="15" w:type="dxa"/>
                    <w:right w:w="15" w:type="dxa"/>
                  </w:tcMar>
                  <w:vAlign w:val="center"/>
                </w:tcPr>
                <w:p w14:paraId="71FD1877">
                  <w:pPr>
                    <w:pStyle w:val="65"/>
                    <w:rPr>
                      <w:color w:val="auto"/>
                    </w:rPr>
                  </w:pPr>
                  <w:r>
                    <w:rPr>
                      <w:color w:val="auto"/>
                      <w:lang w:bidi="ar"/>
                    </w:rPr>
                    <w:t>光伏场区</w:t>
                  </w:r>
                </w:p>
              </w:tc>
              <w:tc>
                <w:tcPr>
                  <w:tcW w:w="427" w:type="pct"/>
                  <w:noWrap/>
                  <w:tcMar>
                    <w:top w:w="15" w:type="dxa"/>
                    <w:left w:w="15" w:type="dxa"/>
                    <w:right w:w="15" w:type="dxa"/>
                  </w:tcMar>
                  <w:vAlign w:val="center"/>
                </w:tcPr>
                <w:p w14:paraId="15A07AC7">
                  <w:pPr>
                    <w:pStyle w:val="65"/>
                    <w:rPr>
                      <w:color w:val="auto"/>
                      <w:lang w:bidi="ar"/>
                    </w:rPr>
                  </w:pPr>
                  <w:r>
                    <w:rPr>
                      <w:rFonts w:hint="eastAsia"/>
                      <w:color w:val="auto"/>
                      <w:lang w:bidi="ar"/>
                    </w:rPr>
                    <w:t>光伏阵列区</w:t>
                  </w:r>
                </w:p>
              </w:tc>
              <w:tc>
                <w:tcPr>
                  <w:tcW w:w="355" w:type="pct"/>
                  <w:tcMar>
                    <w:top w:w="15" w:type="dxa"/>
                    <w:left w:w="15" w:type="dxa"/>
                    <w:right w:w="15" w:type="dxa"/>
                  </w:tcMar>
                  <w:vAlign w:val="center"/>
                </w:tcPr>
                <w:p w14:paraId="4892ED59">
                  <w:pPr>
                    <w:pStyle w:val="65"/>
                    <w:rPr>
                      <w:color w:val="auto"/>
                      <w:lang w:bidi="ar"/>
                    </w:rPr>
                  </w:pPr>
                </w:p>
              </w:tc>
              <w:tc>
                <w:tcPr>
                  <w:tcW w:w="268" w:type="pct"/>
                  <w:tcMar>
                    <w:top w:w="15" w:type="dxa"/>
                    <w:left w:w="15" w:type="dxa"/>
                    <w:right w:w="15" w:type="dxa"/>
                  </w:tcMar>
                  <w:vAlign w:val="center"/>
                </w:tcPr>
                <w:p w14:paraId="47A84CFE">
                  <w:pPr>
                    <w:pStyle w:val="65"/>
                    <w:rPr>
                      <w:color w:val="auto"/>
                      <w:lang w:bidi="ar"/>
                    </w:rPr>
                  </w:pPr>
                  <w:r>
                    <w:rPr>
                      <w:color w:val="auto"/>
                      <w:lang w:bidi="ar"/>
                    </w:rPr>
                    <w:t>0.11</w:t>
                  </w:r>
                </w:p>
              </w:tc>
              <w:tc>
                <w:tcPr>
                  <w:tcW w:w="278" w:type="pct"/>
                  <w:tcMar>
                    <w:top w:w="15" w:type="dxa"/>
                    <w:left w:w="15" w:type="dxa"/>
                    <w:right w:w="15" w:type="dxa"/>
                  </w:tcMar>
                  <w:vAlign w:val="center"/>
                </w:tcPr>
                <w:p w14:paraId="1E9E8810">
                  <w:pPr>
                    <w:pStyle w:val="65"/>
                    <w:rPr>
                      <w:color w:val="auto"/>
                      <w:lang w:bidi="ar"/>
                    </w:rPr>
                  </w:pPr>
                </w:p>
              </w:tc>
              <w:tc>
                <w:tcPr>
                  <w:tcW w:w="288" w:type="pct"/>
                  <w:tcMar>
                    <w:top w:w="15" w:type="dxa"/>
                    <w:left w:w="15" w:type="dxa"/>
                    <w:right w:w="15" w:type="dxa"/>
                  </w:tcMar>
                  <w:vAlign w:val="center"/>
                </w:tcPr>
                <w:p w14:paraId="42D694D8">
                  <w:pPr>
                    <w:pStyle w:val="65"/>
                    <w:rPr>
                      <w:color w:val="auto"/>
                      <w:lang w:bidi="ar"/>
                    </w:rPr>
                  </w:pPr>
                  <w:r>
                    <w:rPr>
                      <w:color w:val="auto"/>
                      <w:lang w:bidi="ar"/>
                    </w:rPr>
                    <w:t>0.11</w:t>
                  </w:r>
                </w:p>
              </w:tc>
              <w:tc>
                <w:tcPr>
                  <w:tcW w:w="273" w:type="pct"/>
                  <w:tcMar>
                    <w:top w:w="15" w:type="dxa"/>
                    <w:left w:w="15" w:type="dxa"/>
                    <w:right w:w="15" w:type="dxa"/>
                  </w:tcMar>
                  <w:vAlign w:val="center"/>
                </w:tcPr>
                <w:p w14:paraId="3D1903CD">
                  <w:pPr>
                    <w:pStyle w:val="65"/>
                    <w:rPr>
                      <w:color w:val="auto"/>
                      <w:lang w:bidi="ar"/>
                    </w:rPr>
                  </w:pPr>
                </w:p>
              </w:tc>
              <w:tc>
                <w:tcPr>
                  <w:tcW w:w="309" w:type="pct"/>
                  <w:tcMar>
                    <w:top w:w="15" w:type="dxa"/>
                    <w:left w:w="15" w:type="dxa"/>
                    <w:right w:w="15" w:type="dxa"/>
                  </w:tcMar>
                  <w:vAlign w:val="center"/>
                </w:tcPr>
                <w:p w14:paraId="03B3A771">
                  <w:pPr>
                    <w:pStyle w:val="65"/>
                    <w:rPr>
                      <w:color w:val="auto"/>
                      <w:lang w:bidi="ar"/>
                    </w:rPr>
                  </w:pPr>
                  <w:r>
                    <w:rPr>
                      <w:color w:val="auto"/>
                      <w:lang w:bidi="ar"/>
                    </w:rPr>
                    <w:t>0.05</w:t>
                  </w:r>
                </w:p>
              </w:tc>
              <w:tc>
                <w:tcPr>
                  <w:tcW w:w="268" w:type="pct"/>
                  <w:tcMar>
                    <w:top w:w="15" w:type="dxa"/>
                    <w:left w:w="15" w:type="dxa"/>
                    <w:right w:w="15" w:type="dxa"/>
                  </w:tcMar>
                  <w:vAlign w:val="center"/>
                </w:tcPr>
                <w:p w14:paraId="1E2B56F8">
                  <w:pPr>
                    <w:pStyle w:val="65"/>
                    <w:rPr>
                      <w:color w:val="auto"/>
                      <w:lang w:bidi="ar"/>
                    </w:rPr>
                  </w:pPr>
                </w:p>
              </w:tc>
              <w:tc>
                <w:tcPr>
                  <w:tcW w:w="221" w:type="pct"/>
                  <w:tcMar>
                    <w:top w:w="15" w:type="dxa"/>
                    <w:left w:w="15" w:type="dxa"/>
                    <w:right w:w="15" w:type="dxa"/>
                  </w:tcMar>
                  <w:vAlign w:val="center"/>
                </w:tcPr>
                <w:p w14:paraId="7FB4356B">
                  <w:pPr>
                    <w:pStyle w:val="65"/>
                    <w:rPr>
                      <w:color w:val="auto"/>
                      <w:lang w:bidi="ar"/>
                    </w:rPr>
                  </w:pPr>
                  <w:r>
                    <w:rPr>
                      <w:color w:val="auto"/>
                      <w:lang w:bidi="ar"/>
                    </w:rPr>
                    <w:t>0.05</w:t>
                  </w:r>
                </w:p>
              </w:tc>
              <w:tc>
                <w:tcPr>
                  <w:tcW w:w="196" w:type="pct"/>
                  <w:noWrap/>
                  <w:tcMar>
                    <w:top w:w="15" w:type="dxa"/>
                    <w:left w:w="15" w:type="dxa"/>
                    <w:right w:w="15" w:type="dxa"/>
                  </w:tcMar>
                  <w:vAlign w:val="center"/>
                </w:tcPr>
                <w:p w14:paraId="3F723518">
                  <w:pPr>
                    <w:pStyle w:val="65"/>
                    <w:rPr>
                      <w:color w:val="auto"/>
                      <w:lang w:bidi="ar"/>
                    </w:rPr>
                  </w:pPr>
                </w:p>
              </w:tc>
              <w:tc>
                <w:tcPr>
                  <w:tcW w:w="381" w:type="pct"/>
                  <w:tcMar>
                    <w:top w:w="15" w:type="dxa"/>
                    <w:left w:w="15" w:type="dxa"/>
                    <w:right w:w="15" w:type="dxa"/>
                  </w:tcMar>
                  <w:vAlign w:val="center"/>
                </w:tcPr>
                <w:p w14:paraId="1B6BB0DD">
                  <w:pPr>
                    <w:pStyle w:val="65"/>
                    <w:rPr>
                      <w:color w:val="auto"/>
                      <w:lang w:bidi="ar"/>
                    </w:rPr>
                  </w:pPr>
                </w:p>
              </w:tc>
              <w:tc>
                <w:tcPr>
                  <w:tcW w:w="196" w:type="pct"/>
                  <w:tcMar>
                    <w:top w:w="15" w:type="dxa"/>
                    <w:left w:w="15" w:type="dxa"/>
                    <w:right w:w="15" w:type="dxa"/>
                  </w:tcMar>
                  <w:vAlign w:val="center"/>
                </w:tcPr>
                <w:p w14:paraId="0D6CCB48">
                  <w:pPr>
                    <w:pStyle w:val="65"/>
                    <w:rPr>
                      <w:color w:val="auto"/>
                      <w:lang w:bidi="ar"/>
                    </w:rPr>
                  </w:pPr>
                  <w:r>
                    <w:rPr>
                      <w:rFonts w:hint="eastAsia"/>
                      <w:color w:val="auto"/>
                      <w:lang w:bidi="ar"/>
                    </w:rPr>
                    <w:t>0.06</w:t>
                  </w:r>
                </w:p>
              </w:tc>
              <w:tc>
                <w:tcPr>
                  <w:tcW w:w="453" w:type="pct"/>
                  <w:noWrap/>
                  <w:tcMar>
                    <w:top w:w="15" w:type="dxa"/>
                    <w:left w:w="15" w:type="dxa"/>
                    <w:right w:w="15" w:type="dxa"/>
                  </w:tcMar>
                  <w:vAlign w:val="center"/>
                </w:tcPr>
                <w:p w14:paraId="21BF3717">
                  <w:pPr>
                    <w:pStyle w:val="65"/>
                    <w:rPr>
                      <w:color w:val="auto"/>
                      <w:lang w:bidi="ar"/>
                    </w:rPr>
                  </w:pPr>
                  <w:r>
                    <w:rPr>
                      <w:rFonts w:hint="eastAsia"/>
                      <w:color w:val="auto"/>
                      <w:lang w:bidi="ar"/>
                    </w:rPr>
                    <w:t>施工场地区</w:t>
                  </w:r>
                </w:p>
              </w:tc>
              <w:tc>
                <w:tcPr>
                  <w:tcW w:w="221" w:type="pct"/>
                  <w:tcMar>
                    <w:top w:w="15" w:type="dxa"/>
                    <w:left w:w="15" w:type="dxa"/>
                    <w:right w:w="15" w:type="dxa"/>
                  </w:tcMar>
                  <w:vAlign w:val="center"/>
                </w:tcPr>
                <w:p w14:paraId="3FB12E18">
                  <w:pPr>
                    <w:pStyle w:val="65"/>
                    <w:rPr>
                      <w:color w:val="auto"/>
                      <w:lang w:bidi="ar"/>
                    </w:rPr>
                  </w:pPr>
                </w:p>
              </w:tc>
              <w:tc>
                <w:tcPr>
                  <w:tcW w:w="191" w:type="pct"/>
                  <w:tcMar>
                    <w:top w:w="15" w:type="dxa"/>
                    <w:left w:w="15" w:type="dxa"/>
                    <w:right w:w="15" w:type="dxa"/>
                  </w:tcMar>
                  <w:vAlign w:val="center"/>
                </w:tcPr>
                <w:p w14:paraId="0B42262A">
                  <w:pPr>
                    <w:pStyle w:val="65"/>
                    <w:rPr>
                      <w:color w:val="auto"/>
                      <w:lang w:bidi="ar"/>
                    </w:rPr>
                  </w:pPr>
                </w:p>
              </w:tc>
              <w:tc>
                <w:tcPr>
                  <w:tcW w:w="200" w:type="pct"/>
                  <w:tcMar>
                    <w:top w:w="15" w:type="dxa"/>
                    <w:left w:w="15" w:type="dxa"/>
                    <w:right w:w="15" w:type="dxa"/>
                  </w:tcMar>
                  <w:vAlign w:val="center"/>
                </w:tcPr>
                <w:p w14:paraId="03BECBC3">
                  <w:pPr>
                    <w:pStyle w:val="65"/>
                    <w:rPr>
                      <w:color w:val="auto"/>
                    </w:rPr>
                  </w:pPr>
                </w:p>
              </w:tc>
            </w:tr>
            <w:tr w14:paraId="4FEA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5" w:type="pct"/>
                  <w:vMerge w:val="continue"/>
                  <w:noWrap/>
                  <w:tcMar>
                    <w:top w:w="15" w:type="dxa"/>
                    <w:left w:w="15" w:type="dxa"/>
                    <w:right w:w="15" w:type="dxa"/>
                  </w:tcMar>
                  <w:vAlign w:val="center"/>
                </w:tcPr>
                <w:p w14:paraId="767AB7E7">
                  <w:pPr>
                    <w:pStyle w:val="65"/>
                    <w:rPr>
                      <w:color w:val="auto"/>
                    </w:rPr>
                  </w:pPr>
                </w:p>
              </w:tc>
              <w:tc>
                <w:tcPr>
                  <w:tcW w:w="270" w:type="pct"/>
                  <w:vMerge w:val="continue"/>
                  <w:tcMar>
                    <w:top w:w="15" w:type="dxa"/>
                    <w:left w:w="15" w:type="dxa"/>
                    <w:right w:w="15" w:type="dxa"/>
                  </w:tcMar>
                  <w:vAlign w:val="center"/>
                </w:tcPr>
                <w:p w14:paraId="5CEE08A2">
                  <w:pPr>
                    <w:pStyle w:val="65"/>
                    <w:rPr>
                      <w:color w:val="auto"/>
                    </w:rPr>
                  </w:pPr>
                </w:p>
              </w:tc>
              <w:tc>
                <w:tcPr>
                  <w:tcW w:w="427" w:type="pct"/>
                  <w:noWrap/>
                  <w:tcMar>
                    <w:top w:w="15" w:type="dxa"/>
                    <w:left w:w="15" w:type="dxa"/>
                    <w:right w:w="15" w:type="dxa"/>
                  </w:tcMar>
                  <w:vAlign w:val="center"/>
                </w:tcPr>
                <w:p w14:paraId="32CE2876">
                  <w:pPr>
                    <w:pStyle w:val="65"/>
                    <w:rPr>
                      <w:color w:val="auto"/>
                      <w:lang w:bidi="ar"/>
                    </w:rPr>
                  </w:pPr>
                  <w:r>
                    <w:rPr>
                      <w:rFonts w:hint="eastAsia"/>
                      <w:color w:val="auto"/>
                      <w:lang w:bidi="ar"/>
                    </w:rPr>
                    <w:t>接地工程</w:t>
                  </w:r>
                </w:p>
              </w:tc>
              <w:tc>
                <w:tcPr>
                  <w:tcW w:w="355" w:type="pct"/>
                  <w:noWrap/>
                  <w:tcMar>
                    <w:top w:w="15" w:type="dxa"/>
                    <w:left w:w="15" w:type="dxa"/>
                    <w:right w:w="15" w:type="dxa"/>
                  </w:tcMar>
                  <w:vAlign w:val="center"/>
                </w:tcPr>
                <w:p w14:paraId="29F30924">
                  <w:pPr>
                    <w:pStyle w:val="65"/>
                    <w:rPr>
                      <w:color w:val="auto"/>
                      <w:lang w:bidi="ar"/>
                    </w:rPr>
                  </w:pPr>
                </w:p>
              </w:tc>
              <w:tc>
                <w:tcPr>
                  <w:tcW w:w="268" w:type="pct"/>
                  <w:tcMar>
                    <w:top w:w="15" w:type="dxa"/>
                    <w:left w:w="15" w:type="dxa"/>
                    <w:right w:w="15" w:type="dxa"/>
                  </w:tcMar>
                  <w:vAlign w:val="center"/>
                </w:tcPr>
                <w:p w14:paraId="6BB26E7C">
                  <w:pPr>
                    <w:pStyle w:val="65"/>
                    <w:rPr>
                      <w:color w:val="auto"/>
                      <w:lang w:bidi="ar"/>
                    </w:rPr>
                  </w:pPr>
                  <w:r>
                    <w:rPr>
                      <w:color w:val="auto"/>
                      <w:lang w:bidi="ar"/>
                    </w:rPr>
                    <w:t>0.84</w:t>
                  </w:r>
                </w:p>
              </w:tc>
              <w:tc>
                <w:tcPr>
                  <w:tcW w:w="278" w:type="pct"/>
                  <w:tcMar>
                    <w:top w:w="15" w:type="dxa"/>
                    <w:left w:w="15" w:type="dxa"/>
                    <w:right w:w="15" w:type="dxa"/>
                  </w:tcMar>
                  <w:vAlign w:val="center"/>
                </w:tcPr>
                <w:p w14:paraId="37458508">
                  <w:pPr>
                    <w:pStyle w:val="65"/>
                    <w:rPr>
                      <w:color w:val="auto"/>
                      <w:lang w:bidi="ar"/>
                    </w:rPr>
                  </w:pPr>
                </w:p>
              </w:tc>
              <w:tc>
                <w:tcPr>
                  <w:tcW w:w="288" w:type="pct"/>
                  <w:tcMar>
                    <w:top w:w="15" w:type="dxa"/>
                    <w:left w:w="15" w:type="dxa"/>
                    <w:right w:w="15" w:type="dxa"/>
                  </w:tcMar>
                  <w:vAlign w:val="center"/>
                </w:tcPr>
                <w:p w14:paraId="010D52A9">
                  <w:pPr>
                    <w:pStyle w:val="65"/>
                    <w:rPr>
                      <w:color w:val="auto"/>
                      <w:lang w:bidi="ar"/>
                    </w:rPr>
                  </w:pPr>
                  <w:r>
                    <w:rPr>
                      <w:color w:val="auto"/>
                      <w:lang w:bidi="ar"/>
                    </w:rPr>
                    <w:t>0.84</w:t>
                  </w:r>
                </w:p>
              </w:tc>
              <w:tc>
                <w:tcPr>
                  <w:tcW w:w="273" w:type="pct"/>
                  <w:noWrap/>
                  <w:tcMar>
                    <w:top w:w="15" w:type="dxa"/>
                    <w:left w:w="15" w:type="dxa"/>
                    <w:right w:w="15" w:type="dxa"/>
                  </w:tcMar>
                  <w:vAlign w:val="center"/>
                </w:tcPr>
                <w:p w14:paraId="7728CD32">
                  <w:pPr>
                    <w:pStyle w:val="65"/>
                    <w:rPr>
                      <w:color w:val="auto"/>
                      <w:lang w:bidi="ar"/>
                    </w:rPr>
                  </w:pPr>
                </w:p>
              </w:tc>
              <w:tc>
                <w:tcPr>
                  <w:tcW w:w="309" w:type="pct"/>
                  <w:tcMar>
                    <w:top w:w="15" w:type="dxa"/>
                    <w:left w:w="15" w:type="dxa"/>
                    <w:right w:w="15" w:type="dxa"/>
                  </w:tcMar>
                  <w:vAlign w:val="center"/>
                </w:tcPr>
                <w:p w14:paraId="7354F305">
                  <w:pPr>
                    <w:pStyle w:val="65"/>
                    <w:rPr>
                      <w:color w:val="auto"/>
                      <w:lang w:bidi="ar"/>
                    </w:rPr>
                  </w:pPr>
                  <w:r>
                    <w:rPr>
                      <w:color w:val="auto"/>
                      <w:lang w:bidi="ar"/>
                    </w:rPr>
                    <w:t>0.84</w:t>
                  </w:r>
                </w:p>
              </w:tc>
              <w:tc>
                <w:tcPr>
                  <w:tcW w:w="268" w:type="pct"/>
                  <w:tcMar>
                    <w:top w:w="15" w:type="dxa"/>
                    <w:left w:w="15" w:type="dxa"/>
                    <w:right w:w="15" w:type="dxa"/>
                  </w:tcMar>
                  <w:vAlign w:val="center"/>
                </w:tcPr>
                <w:p w14:paraId="1CFBF5F0">
                  <w:pPr>
                    <w:pStyle w:val="65"/>
                    <w:rPr>
                      <w:color w:val="auto"/>
                      <w:lang w:bidi="ar"/>
                    </w:rPr>
                  </w:pPr>
                </w:p>
              </w:tc>
              <w:tc>
                <w:tcPr>
                  <w:tcW w:w="221" w:type="pct"/>
                  <w:tcMar>
                    <w:top w:w="15" w:type="dxa"/>
                    <w:left w:w="15" w:type="dxa"/>
                    <w:right w:w="15" w:type="dxa"/>
                  </w:tcMar>
                  <w:vAlign w:val="center"/>
                </w:tcPr>
                <w:p w14:paraId="0916BA0E">
                  <w:pPr>
                    <w:pStyle w:val="65"/>
                    <w:rPr>
                      <w:color w:val="auto"/>
                      <w:lang w:bidi="ar"/>
                    </w:rPr>
                  </w:pPr>
                  <w:r>
                    <w:rPr>
                      <w:color w:val="auto"/>
                      <w:lang w:bidi="ar"/>
                    </w:rPr>
                    <w:t>0.84</w:t>
                  </w:r>
                </w:p>
              </w:tc>
              <w:tc>
                <w:tcPr>
                  <w:tcW w:w="196" w:type="pct"/>
                  <w:noWrap/>
                  <w:tcMar>
                    <w:top w:w="15" w:type="dxa"/>
                    <w:left w:w="15" w:type="dxa"/>
                    <w:right w:w="15" w:type="dxa"/>
                  </w:tcMar>
                  <w:vAlign w:val="center"/>
                </w:tcPr>
                <w:p w14:paraId="47EC5199">
                  <w:pPr>
                    <w:pStyle w:val="65"/>
                    <w:rPr>
                      <w:color w:val="auto"/>
                      <w:lang w:bidi="ar"/>
                    </w:rPr>
                  </w:pPr>
                </w:p>
              </w:tc>
              <w:tc>
                <w:tcPr>
                  <w:tcW w:w="381" w:type="pct"/>
                  <w:noWrap/>
                  <w:tcMar>
                    <w:top w:w="15" w:type="dxa"/>
                    <w:left w:w="15" w:type="dxa"/>
                    <w:right w:w="15" w:type="dxa"/>
                  </w:tcMar>
                  <w:vAlign w:val="center"/>
                </w:tcPr>
                <w:p w14:paraId="5003425B">
                  <w:pPr>
                    <w:pStyle w:val="65"/>
                    <w:rPr>
                      <w:color w:val="auto"/>
                      <w:lang w:bidi="ar"/>
                    </w:rPr>
                  </w:pPr>
                </w:p>
              </w:tc>
              <w:tc>
                <w:tcPr>
                  <w:tcW w:w="196" w:type="pct"/>
                  <w:tcMar>
                    <w:top w:w="15" w:type="dxa"/>
                    <w:left w:w="15" w:type="dxa"/>
                    <w:right w:w="15" w:type="dxa"/>
                  </w:tcMar>
                  <w:vAlign w:val="center"/>
                </w:tcPr>
                <w:p w14:paraId="28158CDA">
                  <w:pPr>
                    <w:pStyle w:val="65"/>
                    <w:rPr>
                      <w:color w:val="auto"/>
                      <w:lang w:bidi="ar"/>
                    </w:rPr>
                  </w:pPr>
                </w:p>
              </w:tc>
              <w:tc>
                <w:tcPr>
                  <w:tcW w:w="453" w:type="pct"/>
                  <w:noWrap/>
                  <w:tcMar>
                    <w:top w:w="15" w:type="dxa"/>
                    <w:left w:w="15" w:type="dxa"/>
                    <w:right w:w="15" w:type="dxa"/>
                  </w:tcMar>
                  <w:vAlign w:val="center"/>
                </w:tcPr>
                <w:p w14:paraId="5DC96155">
                  <w:pPr>
                    <w:pStyle w:val="65"/>
                    <w:rPr>
                      <w:color w:val="auto"/>
                      <w:lang w:bidi="ar"/>
                    </w:rPr>
                  </w:pPr>
                </w:p>
              </w:tc>
              <w:tc>
                <w:tcPr>
                  <w:tcW w:w="221" w:type="pct"/>
                  <w:noWrap/>
                  <w:tcMar>
                    <w:top w:w="15" w:type="dxa"/>
                    <w:left w:w="15" w:type="dxa"/>
                    <w:right w:w="15" w:type="dxa"/>
                  </w:tcMar>
                  <w:vAlign w:val="center"/>
                </w:tcPr>
                <w:p w14:paraId="11A7E76D">
                  <w:pPr>
                    <w:pStyle w:val="65"/>
                    <w:rPr>
                      <w:color w:val="auto"/>
                      <w:lang w:bidi="ar"/>
                    </w:rPr>
                  </w:pPr>
                </w:p>
              </w:tc>
              <w:tc>
                <w:tcPr>
                  <w:tcW w:w="191" w:type="pct"/>
                  <w:noWrap/>
                  <w:tcMar>
                    <w:top w:w="15" w:type="dxa"/>
                    <w:left w:w="15" w:type="dxa"/>
                    <w:right w:w="15" w:type="dxa"/>
                  </w:tcMar>
                  <w:vAlign w:val="center"/>
                </w:tcPr>
                <w:p w14:paraId="71660980">
                  <w:pPr>
                    <w:pStyle w:val="65"/>
                    <w:rPr>
                      <w:color w:val="auto"/>
                      <w:lang w:bidi="ar"/>
                    </w:rPr>
                  </w:pPr>
                </w:p>
              </w:tc>
              <w:tc>
                <w:tcPr>
                  <w:tcW w:w="200" w:type="pct"/>
                  <w:tcMar>
                    <w:top w:w="15" w:type="dxa"/>
                    <w:left w:w="15" w:type="dxa"/>
                    <w:right w:w="15" w:type="dxa"/>
                  </w:tcMar>
                  <w:vAlign w:val="center"/>
                </w:tcPr>
                <w:p w14:paraId="72876996">
                  <w:pPr>
                    <w:pStyle w:val="65"/>
                    <w:rPr>
                      <w:color w:val="auto"/>
                    </w:rPr>
                  </w:pPr>
                </w:p>
              </w:tc>
            </w:tr>
            <w:tr w14:paraId="3A06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5" w:type="pct"/>
                  <w:vMerge w:val="continue"/>
                  <w:noWrap/>
                  <w:tcMar>
                    <w:top w:w="15" w:type="dxa"/>
                    <w:left w:w="15" w:type="dxa"/>
                    <w:right w:w="15" w:type="dxa"/>
                  </w:tcMar>
                  <w:vAlign w:val="center"/>
                </w:tcPr>
                <w:p w14:paraId="72C47209">
                  <w:pPr>
                    <w:pStyle w:val="65"/>
                    <w:rPr>
                      <w:color w:val="auto"/>
                    </w:rPr>
                  </w:pPr>
                </w:p>
              </w:tc>
              <w:tc>
                <w:tcPr>
                  <w:tcW w:w="270" w:type="pct"/>
                  <w:vMerge w:val="continue"/>
                  <w:tcMar>
                    <w:top w:w="15" w:type="dxa"/>
                    <w:left w:w="15" w:type="dxa"/>
                    <w:right w:w="15" w:type="dxa"/>
                  </w:tcMar>
                  <w:vAlign w:val="center"/>
                </w:tcPr>
                <w:p w14:paraId="7557B29C">
                  <w:pPr>
                    <w:pStyle w:val="65"/>
                    <w:rPr>
                      <w:color w:val="auto"/>
                    </w:rPr>
                  </w:pPr>
                </w:p>
              </w:tc>
              <w:tc>
                <w:tcPr>
                  <w:tcW w:w="427" w:type="pct"/>
                  <w:noWrap/>
                  <w:tcMar>
                    <w:top w:w="15" w:type="dxa"/>
                    <w:left w:w="15" w:type="dxa"/>
                    <w:right w:w="15" w:type="dxa"/>
                  </w:tcMar>
                  <w:vAlign w:val="center"/>
                </w:tcPr>
                <w:p w14:paraId="406C07E1">
                  <w:pPr>
                    <w:pStyle w:val="65"/>
                    <w:rPr>
                      <w:color w:val="auto"/>
                      <w:lang w:bidi="ar"/>
                    </w:rPr>
                  </w:pPr>
                  <w:r>
                    <w:rPr>
                      <w:color w:val="auto"/>
                      <w:lang w:bidi="ar"/>
                    </w:rPr>
                    <w:t>小计</w:t>
                  </w:r>
                </w:p>
              </w:tc>
              <w:tc>
                <w:tcPr>
                  <w:tcW w:w="355" w:type="pct"/>
                  <w:noWrap/>
                  <w:tcMar>
                    <w:top w:w="15" w:type="dxa"/>
                    <w:left w:w="15" w:type="dxa"/>
                    <w:right w:w="15" w:type="dxa"/>
                  </w:tcMar>
                  <w:vAlign w:val="center"/>
                </w:tcPr>
                <w:p w14:paraId="0B770A4C">
                  <w:pPr>
                    <w:pStyle w:val="65"/>
                    <w:rPr>
                      <w:color w:val="auto"/>
                      <w:lang w:bidi="ar"/>
                    </w:rPr>
                  </w:pPr>
                </w:p>
              </w:tc>
              <w:tc>
                <w:tcPr>
                  <w:tcW w:w="268" w:type="pct"/>
                  <w:tcMar>
                    <w:top w:w="15" w:type="dxa"/>
                    <w:left w:w="15" w:type="dxa"/>
                    <w:right w:w="15" w:type="dxa"/>
                  </w:tcMar>
                  <w:vAlign w:val="center"/>
                </w:tcPr>
                <w:p w14:paraId="70D2CAFE">
                  <w:pPr>
                    <w:pStyle w:val="65"/>
                    <w:rPr>
                      <w:color w:val="auto"/>
                      <w:lang w:bidi="ar"/>
                    </w:rPr>
                  </w:pPr>
                  <w:r>
                    <w:rPr>
                      <w:color w:val="auto"/>
                      <w:lang w:bidi="ar"/>
                    </w:rPr>
                    <w:t>0.95</w:t>
                  </w:r>
                </w:p>
              </w:tc>
              <w:tc>
                <w:tcPr>
                  <w:tcW w:w="278" w:type="pct"/>
                  <w:tcMar>
                    <w:top w:w="15" w:type="dxa"/>
                    <w:left w:w="15" w:type="dxa"/>
                    <w:right w:w="15" w:type="dxa"/>
                  </w:tcMar>
                  <w:vAlign w:val="center"/>
                </w:tcPr>
                <w:p w14:paraId="61C253C1">
                  <w:pPr>
                    <w:pStyle w:val="65"/>
                    <w:rPr>
                      <w:color w:val="auto"/>
                      <w:lang w:bidi="ar"/>
                    </w:rPr>
                  </w:pPr>
                </w:p>
              </w:tc>
              <w:tc>
                <w:tcPr>
                  <w:tcW w:w="288" w:type="pct"/>
                  <w:tcMar>
                    <w:top w:w="15" w:type="dxa"/>
                    <w:left w:w="15" w:type="dxa"/>
                    <w:right w:w="15" w:type="dxa"/>
                  </w:tcMar>
                  <w:vAlign w:val="center"/>
                </w:tcPr>
                <w:p w14:paraId="7713F916">
                  <w:pPr>
                    <w:pStyle w:val="65"/>
                    <w:rPr>
                      <w:color w:val="auto"/>
                      <w:lang w:bidi="ar"/>
                    </w:rPr>
                  </w:pPr>
                  <w:r>
                    <w:rPr>
                      <w:color w:val="auto"/>
                      <w:lang w:bidi="ar"/>
                    </w:rPr>
                    <w:t>0.95</w:t>
                  </w:r>
                </w:p>
              </w:tc>
              <w:tc>
                <w:tcPr>
                  <w:tcW w:w="273" w:type="pct"/>
                  <w:noWrap/>
                  <w:tcMar>
                    <w:top w:w="15" w:type="dxa"/>
                    <w:left w:w="15" w:type="dxa"/>
                    <w:right w:w="15" w:type="dxa"/>
                  </w:tcMar>
                  <w:vAlign w:val="center"/>
                </w:tcPr>
                <w:p w14:paraId="5447C95C">
                  <w:pPr>
                    <w:pStyle w:val="65"/>
                    <w:rPr>
                      <w:color w:val="auto"/>
                      <w:lang w:bidi="ar"/>
                    </w:rPr>
                  </w:pPr>
                </w:p>
              </w:tc>
              <w:tc>
                <w:tcPr>
                  <w:tcW w:w="309" w:type="pct"/>
                  <w:tcMar>
                    <w:top w:w="15" w:type="dxa"/>
                    <w:left w:w="15" w:type="dxa"/>
                    <w:right w:w="15" w:type="dxa"/>
                  </w:tcMar>
                  <w:vAlign w:val="center"/>
                </w:tcPr>
                <w:p w14:paraId="6104BEBD">
                  <w:pPr>
                    <w:pStyle w:val="65"/>
                    <w:rPr>
                      <w:color w:val="auto"/>
                      <w:lang w:bidi="ar"/>
                    </w:rPr>
                  </w:pPr>
                  <w:r>
                    <w:rPr>
                      <w:color w:val="auto"/>
                      <w:lang w:bidi="ar"/>
                    </w:rPr>
                    <w:t>0.89</w:t>
                  </w:r>
                </w:p>
              </w:tc>
              <w:tc>
                <w:tcPr>
                  <w:tcW w:w="268" w:type="pct"/>
                  <w:tcMar>
                    <w:top w:w="15" w:type="dxa"/>
                    <w:left w:w="15" w:type="dxa"/>
                    <w:right w:w="15" w:type="dxa"/>
                  </w:tcMar>
                  <w:vAlign w:val="center"/>
                </w:tcPr>
                <w:p w14:paraId="0E163D38">
                  <w:pPr>
                    <w:pStyle w:val="65"/>
                    <w:rPr>
                      <w:color w:val="auto"/>
                      <w:lang w:bidi="ar"/>
                    </w:rPr>
                  </w:pPr>
                </w:p>
              </w:tc>
              <w:tc>
                <w:tcPr>
                  <w:tcW w:w="221" w:type="pct"/>
                  <w:tcMar>
                    <w:top w:w="15" w:type="dxa"/>
                    <w:left w:w="15" w:type="dxa"/>
                    <w:right w:w="15" w:type="dxa"/>
                  </w:tcMar>
                  <w:vAlign w:val="center"/>
                </w:tcPr>
                <w:p w14:paraId="063737AF">
                  <w:pPr>
                    <w:pStyle w:val="65"/>
                    <w:rPr>
                      <w:color w:val="auto"/>
                      <w:lang w:bidi="ar"/>
                    </w:rPr>
                  </w:pPr>
                  <w:r>
                    <w:rPr>
                      <w:color w:val="auto"/>
                      <w:lang w:bidi="ar"/>
                    </w:rPr>
                    <w:t>0.89</w:t>
                  </w:r>
                </w:p>
              </w:tc>
              <w:tc>
                <w:tcPr>
                  <w:tcW w:w="196" w:type="pct"/>
                  <w:noWrap/>
                  <w:tcMar>
                    <w:top w:w="15" w:type="dxa"/>
                    <w:left w:w="15" w:type="dxa"/>
                    <w:right w:w="15" w:type="dxa"/>
                  </w:tcMar>
                  <w:vAlign w:val="center"/>
                </w:tcPr>
                <w:p w14:paraId="0F5FD9BE">
                  <w:pPr>
                    <w:pStyle w:val="65"/>
                    <w:rPr>
                      <w:color w:val="auto"/>
                      <w:lang w:bidi="ar"/>
                    </w:rPr>
                  </w:pPr>
                </w:p>
              </w:tc>
              <w:tc>
                <w:tcPr>
                  <w:tcW w:w="381" w:type="pct"/>
                  <w:noWrap/>
                  <w:tcMar>
                    <w:top w:w="15" w:type="dxa"/>
                    <w:left w:w="15" w:type="dxa"/>
                    <w:right w:w="15" w:type="dxa"/>
                  </w:tcMar>
                  <w:vAlign w:val="center"/>
                </w:tcPr>
                <w:p w14:paraId="6B310518">
                  <w:pPr>
                    <w:pStyle w:val="65"/>
                    <w:rPr>
                      <w:color w:val="auto"/>
                      <w:lang w:bidi="ar"/>
                    </w:rPr>
                  </w:pPr>
                </w:p>
              </w:tc>
              <w:tc>
                <w:tcPr>
                  <w:tcW w:w="196" w:type="pct"/>
                  <w:tcMar>
                    <w:top w:w="15" w:type="dxa"/>
                    <w:left w:w="15" w:type="dxa"/>
                    <w:right w:w="15" w:type="dxa"/>
                  </w:tcMar>
                  <w:vAlign w:val="center"/>
                </w:tcPr>
                <w:p w14:paraId="529D56F7">
                  <w:pPr>
                    <w:pStyle w:val="65"/>
                    <w:rPr>
                      <w:color w:val="auto"/>
                      <w:lang w:bidi="ar"/>
                    </w:rPr>
                  </w:pPr>
                </w:p>
              </w:tc>
              <w:tc>
                <w:tcPr>
                  <w:tcW w:w="453" w:type="pct"/>
                  <w:noWrap/>
                  <w:tcMar>
                    <w:top w:w="15" w:type="dxa"/>
                    <w:left w:w="15" w:type="dxa"/>
                    <w:right w:w="15" w:type="dxa"/>
                  </w:tcMar>
                  <w:vAlign w:val="center"/>
                </w:tcPr>
                <w:p w14:paraId="791E1546">
                  <w:pPr>
                    <w:pStyle w:val="65"/>
                    <w:rPr>
                      <w:color w:val="auto"/>
                      <w:lang w:bidi="ar"/>
                    </w:rPr>
                  </w:pPr>
                </w:p>
              </w:tc>
              <w:tc>
                <w:tcPr>
                  <w:tcW w:w="221" w:type="pct"/>
                  <w:noWrap/>
                  <w:tcMar>
                    <w:top w:w="15" w:type="dxa"/>
                    <w:left w:w="15" w:type="dxa"/>
                    <w:right w:w="15" w:type="dxa"/>
                  </w:tcMar>
                  <w:vAlign w:val="center"/>
                </w:tcPr>
                <w:p w14:paraId="12230C94">
                  <w:pPr>
                    <w:pStyle w:val="65"/>
                    <w:rPr>
                      <w:color w:val="auto"/>
                      <w:lang w:bidi="ar"/>
                    </w:rPr>
                  </w:pPr>
                </w:p>
              </w:tc>
              <w:tc>
                <w:tcPr>
                  <w:tcW w:w="191" w:type="pct"/>
                  <w:noWrap/>
                  <w:tcMar>
                    <w:top w:w="15" w:type="dxa"/>
                    <w:left w:w="15" w:type="dxa"/>
                    <w:right w:w="15" w:type="dxa"/>
                  </w:tcMar>
                  <w:vAlign w:val="center"/>
                </w:tcPr>
                <w:p w14:paraId="65A63DD7">
                  <w:pPr>
                    <w:pStyle w:val="65"/>
                    <w:rPr>
                      <w:color w:val="auto"/>
                      <w:lang w:bidi="ar"/>
                    </w:rPr>
                  </w:pPr>
                </w:p>
              </w:tc>
              <w:tc>
                <w:tcPr>
                  <w:tcW w:w="200" w:type="pct"/>
                  <w:tcMar>
                    <w:top w:w="15" w:type="dxa"/>
                    <w:left w:w="15" w:type="dxa"/>
                    <w:right w:w="15" w:type="dxa"/>
                  </w:tcMar>
                  <w:vAlign w:val="center"/>
                </w:tcPr>
                <w:p w14:paraId="359F4429">
                  <w:pPr>
                    <w:pStyle w:val="65"/>
                    <w:rPr>
                      <w:color w:val="auto"/>
                    </w:rPr>
                  </w:pPr>
                </w:p>
              </w:tc>
            </w:tr>
            <w:tr w14:paraId="701A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5" w:type="pct"/>
                  <w:noWrap/>
                  <w:tcMar>
                    <w:top w:w="15" w:type="dxa"/>
                    <w:left w:w="15" w:type="dxa"/>
                    <w:right w:w="15" w:type="dxa"/>
                  </w:tcMar>
                  <w:vAlign w:val="center"/>
                </w:tcPr>
                <w:p w14:paraId="2EC15F6F">
                  <w:pPr>
                    <w:pStyle w:val="65"/>
                    <w:rPr>
                      <w:color w:val="auto"/>
                    </w:rPr>
                  </w:pPr>
                  <w:r>
                    <w:rPr>
                      <w:color w:val="auto"/>
                      <w:lang w:bidi="ar"/>
                    </w:rPr>
                    <w:t>二</w:t>
                  </w:r>
                </w:p>
              </w:tc>
              <w:tc>
                <w:tcPr>
                  <w:tcW w:w="697" w:type="pct"/>
                  <w:gridSpan w:val="2"/>
                  <w:tcMar>
                    <w:top w:w="15" w:type="dxa"/>
                    <w:left w:w="15" w:type="dxa"/>
                    <w:right w:w="15" w:type="dxa"/>
                  </w:tcMar>
                  <w:vAlign w:val="center"/>
                </w:tcPr>
                <w:p w14:paraId="4B76FB44">
                  <w:pPr>
                    <w:pStyle w:val="65"/>
                    <w:rPr>
                      <w:color w:val="auto"/>
                    </w:rPr>
                  </w:pPr>
                  <w:r>
                    <w:rPr>
                      <w:color w:val="auto"/>
                      <w:lang w:bidi="ar"/>
                    </w:rPr>
                    <w:t>集电线路区</w:t>
                  </w:r>
                </w:p>
              </w:tc>
              <w:tc>
                <w:tcPr>
                  <w:tcW w:w="355" w:type="pct"/>
                  <w:noWrap/>
                  <w:tcMar>
                    <w:top w:w="15" w:type="dxa"/>
                    <w:left w:w="15" w:type="dxa"/>
                    <w:right w:w="15" w:type="dxa"/>
                  </w:tcMar>
                  <w:vAlign w:val="center"/>
                </w:tcPr>
                <w:p w14:paraId="2E9246A8">
                  <w:pPr>
                    <w:pStyle w:val="65"/>
                    <w:rPr>
                      <w:color w:val="auto"/>
                      <w:lang w:bidi="ar"/>
                    </w:rPr>
                  </w:pPr>
                  <w:r>
                    <w:rPr>
                      <w:color w:val="auto"/>
                      <w:lang w:bidi="ar"/>
                    </w:rPr>
                    <w:t>0.22</w:t>
                  </w:r>
                </w:p>
              </w:tc>
              <w:tc>
                <w:tcPr>
                  <w:tcW w:w="268" w:type="pct"/>
                  <w:tcMar>
                    <w:top w:w="15" w:type="dxa"/>
                    <w:left w:w="15" w:type="dxa"/>
                    <w:right w:w="15" w:type="dxa"/>
                  </w:tcMar>
                  <w:vAlign w:val="center"/>
                </w:tcPr>
                <w:p w14:paraId="3CAD6489">
                  <w:pPr>
                    <w:pStyle w:val="65"/>
                    <w:rPr>
                      <w:color w:val="auto"/>
                      <w:lang w:bidi="ar"/>
                    </w:rPr>
                  </w:pPr>
                  <w:r>
                    <w:rPr>
                      <w:color w:val="auto"/>
                      <w:lang w:bidi="ar"/>
                    </w:rPr>
                    <w:t>1.44</w:t>
                  </w:r>
                </w:p>
              </w:tc>
              <w:tc>
                <w:tcPr>
                  <w:tcW w:w="278" w:type="pct"/>
                  <w:tcMar>
                    <w:top w:w="15" w:type="dxa"/>
                    <w:left w:w="15" w:type="dxa"/>
                    <w:right w:w="15" w:type="dxa"/>
                  </w:tcMar>
                  <w:vAlign w:val="center"/>
                </w:tcPr>
                <w:p w14:paraId="62F6BCE0">
                  <w:pPr>
                    <w:pStyle w:val="65"/>
                    <w:rPr>
                      <w:color w:val="auto"/>
                      <w:lang w:bidi="ar"/>
                    </w:rPr>
                  </w:pPr>
                </w:p>
              </w:tc>
              <w:tc>
                <w:tcPr>
                  <w:tcW w:w="288" w:type="pct"/>
                  <w:tcMar>
                    <w:top w:w="15" w:type="dxa"/>
                    <w:left w:w="15" w:type="dxa"/>
                    <w:right w:w="15" w:type="dxa"/>
                  </w:tcMar>
                  <w:vAlign w:val="center"/>
                </w:tcPr>
                <w:p w14:paraId="2EB8C6CD">
                  <w:pPr>
                    <w:pStyle w:val="65"/>
                    <w:rPr>
                      <w:color w:val="auto"/>
                      <w:lang w:bidi="ar"/>
                    </w:rPr>
                  </w:pPr>
                  <w:r>
                    <w:rPr>
                      <w:color w:val="auto"/>
                      <w:lang w:bidi="ar"/>
                    </w:rPr>
                    <w:t>1.66</w:t>
                  </w:r>
                </w:p>
              </w:tc>
              <w:tc>
                <w:tcPr>
                  <w:tcW w:w="273" w:type="pct"/>
                  <w:noWrap/>
                  <w:tcMar>
                    <w:top w:w="15" w:type="dxa"/>
                    <w:left w:w="15" w:type="dxa"/>
                    <w:right w:w="15" w:type="dxa"/>
                  </w:tcMar>
                  <w:vAlign w:val="center"/>
                </w:tcPr>
                <w:p w14:paraId="01AF6FC2">
                  <w:pPr>
                    <w:pStyle w:val="65"/>
                    <w:rPr>
                      <w:color w:val="auto"/>
                      <w:lang w:bidi="ar"/>
                    </w:rPr>
                  </w:pPr>
                  <w:r>
                    <w:rPr>
                      <w:color w:val="auto"/>
                      <w:lang w:bidi="ar"/>
                    </w:rPr>
                    <w:t>0.32</w:t>
                  </w:r>
                </w:p>
              </w:tc>
              <w:tc>
                <w:tcPr>
                  <w:tcW w:w="309" w:type="pct"/>
                  <w:tcMar>
                    <w:top w:w="15" w:type="dxa"/>
                    <w:left w:w="15" w:type="dxa"/>
                    <w:right w:w="15" w:type="dxa"/>
                  </w:tcMar>
                  <w:vAlign w:val="center"/>
                </w:tcPr>
                <w:p w14:paraId="425F0B51">
                  <w:pPr>
                    <w:pStyle w:val="65"/>
                    <w:rPr>
                      <w:color w:val="auto"/>
                      <w:lang w:bidi="ar"/>
                    </w:rPr>
                  </w:pPr>
                  <w:r>
                    <w:rPr>
                      <w:color w:val="auto"/>
                      <w:lang w:bidi="ar"/>
                    </w:rPr>
                    <w:t>1.21</w:t>
                  </w:r>
                </w:p>
              </w:tc>
              <w:tc>
                <w:tcPr>
                  <w:tcW w:w="268" w:type="pct"/>
                  <w:tcMar>
                    <w:top w:w="15" w:type="dxa"/>
                    <w:left w:w="15" w:type="dxa"/>
                    <w:right w:w="15" w:type="dxa"/>
                  </w:tcMar>
                  <w:vAlign w:val="center"/>
                </w:tcPr>
                <w:p w14:paraId="5341F1DA">
                  <w:pPr>
                    <w:pStyle w:val="65"/>
                    <w:rPr>
                      <w:color w:val="auto"/>
                      <w:lang w:bidi="ar"/>
                    </w:rPr>
                  </w:pPr>
                </w:p>
              </w:tc>
              <w:tc>
                <w:tcPr>
                  <w:tcW w:w="221" w:type="pct"/>
                  <w:tcMar>
                    <w:top w:w="15" w:type="dxa"/>
                    <w:left w:w="15" w:type="dxa"/>
                    <w:right w:w="15" w:type="dxa"/>
                  </w:tcMar>
                  <w:vAlign w:val="center"/>
                </w:tcPr>
                <w:p w14:paraId="23E8175B">
                  <w:pPr>
                    <w:pStyle w:val="65"/>
                    <w:rPr>
                      <w:color w:val="auto"/>
                      <w:lang w:bidi="ar"/>
                    </w:rPr>
                  </w:pPr>
                  <w:r>
                    <w:rPr>
                      <w:color w:val="auto"/>
                      <w:lang w:bidi="ar"/>
                    </w:rPr>
                    <w:t>1.53</w:t>
                  </w:r>
                </w:p>
              </w:tc>
              <w:tc>
                <w:tcPr>
                  <w:tcW w:w="196" w:type="pct"/>
                  <w:noWrap/>
                  <w:tcMar>
                    <w:top w:w="15" w:type="dxa"/>
                    <w:left w:w="15" w:type="dxa"/>
                    <w:right w:w="15" w:type="dxa"/>
                  </w:tcMar>
                  <w:vAlign w:val="center"/>
                </w:tcPr>
                <w:p w14:paraId="19D4CBC3">
                  <w:pPr>
                    <w:pStyle w:val="65"/>
                    <w:rPr>
                      <w:color w:val="auto"/>
                      <w:lang w:bidi="ar"/>
                    </w:rPr>
                  </w:pPr>
                </w:p>
              </w:tc>
              <w:tc>
                <w:tcPr>
                  <w:tcW w:w="381" w:type="pct"/>
                  <w:noWrap/>
                  <w:tcMar>
                    <w:top w:w="15" w:type="dxa"/>
                    <w:left w:w="15" w:type="dxa"/>
                    <w:right w:w="15" w:type="dxa"/>
                  </w:tcMar>
                  <w:vAlign w:val="center"/>
                </w:tcPr>
                <w:p w14:paraId="1399B92E">
                  <w:pPr>
                    <w:pStyle w:val="65"/>
                    <w:rPr>
                      <w:color w:val="auto"/>
                      <w:lang w:bidi="ar"/>
                    </w:rPr>
                  </w:pPr>
                </w:p>
              </w:tc>
              <w:tc>
                <w:tcPr>
                  <w:tcW w:w="196" w:type="pct"/>
                  <w:tcMar>
                    <w:top w:w="15" w:type="dxa"/>
                    <w:left w:w="15" w:type="dxa"/>
                    <w:right w:w="15" w:type="dxa"/>
                  </w:tcMar>
                  <w:vAlign w:val="center"/>
                </w:tcPr>
                <w:p w14:paraId="0B61DC2D">
                  <w:pPr>
                    <w:pStyle w:val="65"/>
                    <w:rPr>
                      <w:color w:val="auto"/>
                      <w:lang w:bidi="ar"/>
                    </w:rPr>
                  </w:pPr>
                  <w:r>
                    <w:rPr>
                      <w:rFonts w:hint="eastAsia"/>
                      <w:color w:val="auto"/>
                      <w:lang w:bidi="ar"/>
                    </w:rPr>
                    <w:t>0.13</w:t>
                  </w:r>
                </w:p>
              </w:tc>
              <w:tc>
                <w:tcPr>
                  <w:tcW w:w="453" w:type="pct"/>
                  <w:noWrap/>
                  <w:tcMar>
                    <w:top w:w="15" w:type="dxa"/>
                    <w:left w:w="15" w:type="dxa"/>
                    <w:right w:w="15" w:type="dxa"/>
                  </w:tcMar>
                  <w:vAlign w:val="center"/>
                </w:tcPr>
                <w:p w14:paraId="4448623F">
                  <w:pPr>
                    <w:pStyle w:val="65"/>
                    <w:rPr>
                      <w:color w:val="auto"/>
                      <w:lang w:bidi="ar"/>
                    </w:rPr>
                  </w:pPr>
                  <w:r>
                    <w:rPr>
                      <w:rFonts w:hint="eastAsia"/>
                      <w:color w:val="auto"/>
                      <w:lang w:bidi="ar"/>
                    </w:rPr>
                    <w:t>施工场地区</w:t>
                  </w:r>
                </w:p>
              </w:tc>
              <w:tc>
                <w:tcPr>
                  <w:tcW w:w="221" w:type="pct"/>
                  <w:noWrap/>
                  <w:tcMar>
                    <w:top w:w="15" w:type="dxa"/>
                    <w:left w:w="15" w:type="dxa"/>
                    <w:right w:w="15" w:type="dxa"/>
                  </w:tcMar>
                  <w:vAlign w:val="center"/>
                </w:tcPr>
                <w:p w14:paraId="27EDD1B2">
                  <w:pPr>
                    <w:pStyle w:val="65"/>
                    <w:rPr>
                      <w:color w:val="auto"/>
                      <w:lang w:bidi="ar"/>
                    </w:rPr>
                  </w:pPr>
                </w:p>
              </w:tc>
              <w:tc>
                <w:tcPr>
                  <w:tcW w:w="191" w:type="pct"/>
                  <w:noWrap/>
                  <w:tcMar>
                    <w:top w:w="15" w:type="dxa"/>
                    <w:left w:w="15" w:type="dxa"/>
                    <w:right w:w="15" w:type="dxa"/>
                  </w:tcMar>
                  <w:vAlign w:val="center"/>
                </w:tcPr>
                <w:p w14:paraId="69926617">
                  <w:pPr>
                    <w:pStyle w:val="65"/>
                    <w:rPr>
                      <w:color w:val="auto"/>
                      <w:lang w:bidi="ar"/>
                    </w:rPr>
                  </w:pPr>
                </w:p>
              </w:tc>
              <w:tc>
                <w:tcPr>
                  <w:tcW w:w="200" w:type="pct"/>
                  <w:tcMar>
                    <w:top w:w="15" w:type="dxa"/>
                    <w:left w:w="15" w:type="dxa"/>
                    <w:right w:w="15" w:type="dxa"/>
                  </w:tcMar>
                  <w:vAlign w:val="center"/>
                </w:tcPr>
                <w:p w14:paraId="306364B0">
                  <w:pPr>
                    <w:pStyle w:val="65"/>
                    <w:rPr>
                      <w:color w:val="auto"/>
                    </w:rPr>
                  </w:pPr>
                </w:p>
              </w:tc>
            </w:tr>
            <w:tr w14:paraId="4727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5" w:type="pct"/>
                  <w:noWrap/>
                  <w:tcMar>
                    <w:top w:w="15" w:type="dxa"/>
                    <w:left w:w="15" w:type="dxa"/>
                    <w:right w:w="15" w:type="dxa"/>
                  </w:tcMar>
                  <w:vAlign w:val="center"/>
                </w:tcPr>
                <w:p w14:paraId="413D30D3">
                  <w:pPr>
                    <w:pStyle w:val="65"/>
                    <w:rPr>
                      <w:color w:val="auto"/>
                    </w:rPr>
                  </w:pPr>
                  <w:r>
                    <w:rPr>
                      <w:color w:val="auto"/>
                      <w:lang w:bidi="ar"/>
                    </w:rPr>
                    <w:t>三</w:t>
                  </w:r>
                </w:p>
              </w:tc>
              <w:tc>
                <w:tcPr>
                  <w:tcW w:w="697" w:type="pct"/>
                  <w:gridSpan w:val="2"/>
                  <w:tcMar>
                    <w:top w:w="15" w:type="dxa"/>
                    <w:left w:w="15" w:type="dxa"/>
                    <w:right w:w="15" w:type="dxa"/>
                  </w:tcMar>
                  <w:vAlign w:val="center"/>
                </w:tcPr>
                <w:p w14:paraId="6386EB09">
                  <w:pPr>
                    <w:pStyle w:val="65"/>
                    <w:rPr>
                      <w:color w:val="auto"/>
                    </w:rPr>
                  </w:pPr>
                  <w:r>
                    <w:rPr>
                      <w:color w:val="auto"/>
                      <w:lang w:bidi="ar"/>
                    </w:rPr>
                    <w:t>道路工程区</w:t>
                  </w:r>
                </w:p>
              </w:tc>
              <w:tc>
                <w:tcPr>
                  <w:tcW w:w="355" w:type="pct"/>
                  <w:noWrap/>
                  <w:tcMar>
                    <w:top w:w="15" w:type="dxa"/>
                    <w:left w:w="15" w:type="dxa"/>
                    <w:right w:w="15" w:type="dxa"/>
                  </w:tcMar>
                  <w:vAlign w:val="center"/>
                </w:tcPr>
                <w:p w14:paraId="49F3B70C">
                  <w:pPr>
                    <w:pStyle w:val="65"/>
                    <w:rPr>
                      <w:color w:val="auto"/>
                      <w:lang w:bidi="ar"/>
                    </w:rPr>
                  </w:pPr>
                  <w:r>
                    <w:rPr>
                      <w:color w:val="auto"/>
                      <w:lang w:bidi="ar"/>
                    </w:rPr>
                    <w:t>1.19</w:t>
                  </w:r>
                </w:p>
              </w:tc>
              <w:tc>
                <w:tcPr>
                  <w:tcW w:w="268" w:type="pct"/>
                  <w:tcMar>
                    <w:top w:w="15" w:type="dxa"/>
                    <w:left w:w="15" w:type="dxa"/>
                    <w:right w:w="15" w:type="dxa"/>
                  </w:tcMar>
                  <w:vAlign w:val="center"/>
                </w:tcPr>
                <w:p w14:paraId="25C22E17">
                  <w:pPr>
                    <w:pStyle w:val="65"/>
                    <w:rPr>
                      <w:color w:val="auto"/>
                      <w:lang w:bidi="ar"/>
                    </w:rPr>
                  </w:pPr>
                  <w:r>
                    <w:rPr>
                      <w:color w:val="auto"/>
                      <w:lang w:bidi="ar"/>
                    </w:rPr>
                    <w:t>8.79</w:t>
                  </w:r>
                </w:p>
              </w:tc>
              <w:tc>
                <w:tcPr>
                  <w:tcW w:w="278" w:type="pct"/>
                  <w:tcMar>
                    <w:top w:w="15" w:type="dxa"/>
                    <w:left w:w="15" w:type="dxa"/>
                    <w:right w:w="15" w:type="dxa"/>
                  </w:tcMar>
                  <w:vAlign w:val="center"/>
                </w:tcPr>
                <w:p w14:paraId="256EDCF5">
                  <w:pPr>
                    <w:pStyle w:val="65"/>
                    <w:rPr>
                      <w:color w:val="auto"/>
                      <w:lang w:bidi="ar"/>
                    </w:rPr>
                  </w:pPr>
                </w:p>
              </w:tc>
              <w:tc>
                <w:tcPr>
                  <w:tcW w:w="288" w:type="pct"/>
                  <w:tcMar>
                    <w:top w:w="15" w:type="dxa"/>
                    <w:left w:w="15" w:type="dxa"/>
                    <w:right w:w="15" w:type="dxa"/>
                  </w:tcMar>
                  <w:vAlign w:val="center"/>
                </w:tcPr>
                <w:p w14:paraId="291F6A1D">
                  <w:pPr>
                    <w:pStyle w:val="65"/>
                    <w:rPr>
                      <w:color w:val="auto"/>
                      <w:lang w:bidi="ar"/>
                    </w:rPr>
                  </w:pPr>
                  <w:r>
                    <w:rPr>
                      <w:color w:val="auto"/>
                      <w:lang w:bidi="ar"/>
                    </w:rPr>
                    <w:t>9.98</w:t>
                  </w:r>
                </w:p>
              </w:tc>
              <w:tc>
                <w:tcPr>
                  <w:tcW w:w="273" w:type="pct"/>
                  <w:noWrap/>
                  <w:tcMar>
                    <w:top w:w="15" w:type="dxa"/>
                    <w:left w:w="15" w:type="dxa"/>
                    <w:right w:w="15" w:type="dxa"/>
                  </w:tcMar>
                  <w:vAlign w:val="center"/>
                </w:tcPr>
                <w:p w14:paraId="35369C79">
                  <w:pPr>
                    <w:pStyle w:val="65"/>
                    <w:rPr>
                      <w:color w:val="auto"/>
                      <w:lang w:bidi="ar"/>
                    </w:rPr>
                  </w:pPr>
                  <w:r>
                    <w:rPr>
                      <w:color w:val="auto"/>
                      <w:lang w:bidi="ar"/>
                    </w:rPr>
                    <w:t>1.0</w:t>
                  </w:r>
                  <w:r>
                    <w:rPr>
                      <w:rFonts w:hint="eastAsia"/>
                      <w:color w:val="auto"/>
                      <w:lang w:bidi="ar"/>
                    </w:rPr>
                    <w:t>8</w:t>
                  </w:r>
                </w:p>
              </w:tc>
              <w:tc>
                <w:tcPr>
                  <w:tcW w:w="309" w:type="pct"/>
                  <w:tcMar>
                    <w:top w:w="15" w:type="dxa"/>
                    <w:left w:w="15" w:type="dxa"/>
                    <w:right w:w="15" w:type="dxa"/>
                  </w:tcMar>
                  <w:vAlign w:val="center"/>
                </w:tcPr>
                <w:p w14:paraId="0B1DA1CE">
                  <w:pPr>
                    <w:pStyle w:val="65"/>
                    <w:rPr>
                      <w:color w:val="auto"/>
                      <w:lang w:bidi="ar"/>
                    </w:rPr>
                  </w:pPr>
                  <w:r>
                    <w:rPr>
                      <w:color w:val="auto"/>
                      <w:lang w:bidi="ar"/>
                    </w:rPr>
                    <w:t>8.32</w:t>
                  </w:r>
                </w:p>
              </w:tc>
              <w:tc>
                <w:tcPr>
                  <w:tcW w:w="268" w:type="pct"/>
                  <w:tcMar>
                    <w:top w:w="15" w:type="dxa"/>
                    <w:left w:w="15" w:type="dxa"/>
                    <w:right w:w="15" w:type="dxa"/>
                  </w:tcMar>
                  <w:vAlign w:val="center"/>
                </w:tcPr>
                <w:p w14:paraId="0AD51921">
                  <w:pPr>
                    <w:pStyle w:val="65"/>
                    <w:rPr>
                      <w:color w:val="auto"/>
                      <w:lang w:bidi="ar"/>
                    </w:rPr>
                  </w:pPr>
                </w:p>
              </w:tc>
              <w:tc>
                <w:tcPr>
                  <w:tcW w:w="221" w:type="pct"/>
                  <w:tcMar>
                    <w:top w:w="15" w:type="dxa"/>
                    <w:left w:w="15" w:type="dxa"/>
                    <w:right w:w="15" w:type="dxa"/>
                  </w:tcMar>
                  <w:vAlign w:val="center"/>
                </w:tcPr>
                <w:p w14:paraId="2C31D0CB">
                  <w:pPr>
                    <w:pStyle w:val="65"/>
                    <w:rPr>
                      <w:color w:val="auto"/>
                      <w:lang w:bidi="ar"/>
                    </w:rPr>
                  </w:pPr>
                  <w:r>
                    <w:rPr>
                      <w:color w:val="auto"/>
                      <w:lang w:bidi="ar"/>
                    </w:rPr>
                    <w:t>9.4</w:t>
                  </w:r>
                  <w:r>
                    <w:rPr>
                      <w:rFonts w:hint="eastAsia"/>
                      <w:color w:val="auto"/>
                      <w:lang w:bidi="ar"/>
                    </w:rPr>
                    <w:t>0</w:t>
                  </w:r>
                </w:p>
              </w:tc>
              <w:tc>
                <w:tcPr>
                  <w:tcW w:w="196" w:type="pct"/>
                  <w:noWrap/>
                  <w:tcMar>
                    <w:top w:w="15" w:type="dxa"/>
                    <w:left w:w="15" w:type="dxa"/>
                    <w:right w:w="15" w:type="dxa"/>
                  </w:tcMar>
                  <w:vAlign w:val="center"/>
                </w:tcPr>
                <w:p w14:paraId="0E23D25E">
                  <w:pPr>
                    <w:pStyle w:val="65"/>
                    <w:rPr>
                      <w:color w:val="auto"/>
                      <w:lang w:bidi="ar"/>
                    </w:rPr>
                  </w:pPr>
                </w:p>
              </w:tc>
              <w:tc>
                <w:tcPr>
                  <w:tcW w:w="381" w:type="pct"/>
                  <w:noWrap/>
                  <w:tcMar>
                    <w:top w:w="15" w:type="dxa"/>
                    <w:left w:w="15" w:type="dxa"/>
                    <w:right w:w="15" w:type="dxa"/>
                  </w:tcMar>
                  <w:vAlign w:val="center"/>
                </w:tcPr>
                <w:p w14:paraId="0F4A12BA">
                  <w:pPr>
                    <w:pStyle w:val="65"/>
                    <w:rPr>
                      <w:color w:val="auto"/>
                      <w:lang w:bidi="ar"/>
                    </w:rPr>
                  </w:pPr>
                </w:p>
              </w:tc>
              <w:tc>
                <w:tcPr>
                  <w:tcW w:w="196" w:type="pct"/>
                  <w:tcMar>
                    <w:top w:w="15" w:type="dxa"/>
                    <w:left w:w="15" w:type="dxa"/>
                    <w:right w:w="15" w:type="dxa"/>
                  </w:tcMar>
                  <w:vAlign w:val="center"/>
                </w:tcPr>
                <w:p w14:paraId="27BD345A">
                  <w:pPr>
                    <w:pStyle w:val="65"/>
                    <w:rPr>
                      <w:color w:val="auto"/>
                      <w:lang w:bidi="ar"/>
                    </w:rPr>
                  </w:pPr>
                  <w:r>
                    <w:rPr>
                      <w:rFonts w:hint="eastAsia"/>
                      <w:color w:val="auto"/>
                      <w:lang w:bidi="ar"/>
                    </w:rPr>
                    <w:t>0.58</w:t>
                  </w:r>
                </w:p>
              </w:tc>
              <w:tc>
                <w:tcPr>
                  <w:tcW w:w="453" w:type="pct"/>
                  <w:noWrap/>
                  <w:tcMar>
                    <w:top w:w="15" w:type="dxa"/>
                    <w:left w:w="15" w:type="dxa"/>
                    <w:right w:w="15" w:type="dxa"/>
                  </w:tcMar>
                  <w:vAlign w:val="center"/>
                </w:tcPr>
                <w:p w14:paraId="208E1ED0">
                  <w:pPr>
                    <w:pStyle w:val="65"/>
                    <w:rPr>
                      <w:color w:val="auto"/>
                      <w:lang w:bidi="ar"/>
                    </w:rPr>
                  </w:pPr>
                  <w:r>
                    <w:rPr>
                      <w:rFonts w:hint="eastAsia"/>
                      <w:color w:val="auto"/>
                      <w:lang w:bidi="ar"/>
                    </w:rPr>
                    <w:t>施工场地区</w:t>
                  </w:r>
                </w:p>
              </w:tc>
              <w:tc>
                <w:tcPr>
                  <w:tcW w:w="221" w:type="pct"/>
                  <w:noWrap/>
                  <w:tcMar>
                    <w:top w:w="15" w:type="dxa"/>
                    <w:left w:w="15" w:type="dxa"/>
                    <w:right w:w="15" w:type="dxa"/>
                  </w:tcMar>
                  <w:vAlign w:val="center"/>
                </w:tcPr>
                <w:p w14:paraId="0740DB4C">
                  <w:pPr>
                    <w:pStyle w:val="65"/>
                    <w:rPr>
                      <w:color w:val="auto"/>
                      <w:lang w:bidi="ar"/>
                    </w:rPr>
                  </w:pPr>
                </w:p>
              </w:tc>
              <w:tc>
                <w:tcPr>
                  <w:tcW w:w="191" w:type="pct"/>
                  <w:noWrap/>
                  <w:tcMar>
                    <w:top w:w="15" w:type="dxa"/>
                    <w:left w:w="15" w:type="dxa"/>
                    <w:right w:w="15" w:type="dxa"/>
                  </w:tcMar>
                  <w:vAlign w:val="center"/>
                </w:tcPr>
                <w:p w14:paraId="5E299BE5">
                  <w:pPr>
                    <w:pStyle w:val="65"/>
                    <w:rPr>
                      <w:color w:val="auto"/>
                      <w:lang w:bidi="ar"/>
                    </w:rPr>
                  </w:pPr>
                </w:p>
              </w:tc>
              <w:tc>
                <w:tcPr>
                  <w:tcW w:w="200" w:type="pct"/>
                  <w:tcMar>
                    <w:top w:w="15" w:type="dxa"/>
                    <w:left w:w="15" w:type="dxa"/>
                    <w:right w:w="15" w:type="dxa"/>
                  </w:tcMar>
                  <w:vAlign w:val="center"/>
                </w:tcPr>
                <w:p w14:paraId="7D4E7D40">
                  <w:pPr>
                    <w:pStyle w:val="65"/>
                    <w:rPr>
                      <w:color w:val="auto"/>
                    </w:rPr>
                  </w:pPr>
                </w:p>
              </w:tc>
            </w:tr>
            <w:tr w14:paraId="0661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05" w:type="pct"/>
                  <w:noWrap/>
                  <w:tcMar>
                    <w:top w:w="15" w:type="dxa"/>
                    <w:left w:w="15" w:type="dxa"/>
                    <w:right w:w="15" w:type="dxa"/>
                  </w:tcMar>
                  <w:vAlign w:val="center"/>
                </w:tcPr>
                <w:p w14:paraId="62560E87">
                  <w:pPr>
                    <w:pStyle w:val="65"/>
                    <w:rPr>
                      <w:color w:val="auto"/>
                    </w:rPr>
                  </w:pPr>
                  <w:r>
                    <w:rPr>
                      <w:color w:val="auto"/>
                      <w:lang w:bidi="ar"/>
                    </w:rPr>
                    <w:t>四</w:t>
                  </w:r>
                </w:p>
              </w:tc>
              <w:tc>
                <w:tcPr>
                  <w:tcW w:w="697" w:type="pct"/>
                  <w:gridSpan w:val="2"/>
                  <w:tcMar>
                    <w:top w:w="15" w:type="dxa"/>
                    <w:left w:w="15" w:type="dxa"/>
                    <w:right w:w="15" w:type="dxa"/>
                  </w:tcMar>
                  <w:vAlign w:val="center"/>
                </w:tcPr>
                <w:p w14:paraId="1A783659">
                  <w:pPr>
                    <w:pStyle w:val="65"/>
                    <w:rPr>
                      <w:color w:val="auto"/>
                    </w:rPr>
                  </w:pPr>
                  <w:r>
                    <w:rPr>
                      <w:color w:val="auto"/>
                      <w:lang w:bidi="ar"/>
                    </w:rPr>
                    <w:t>施工场地区</w:t>
                  </w:r>
                </w:p>
              </w:tc>
              <w:tc>
                <w:tcPr>
                  <w:tcW w:w="355" w:type="pct"/>
                  <w:noWrap/>
                  <w:tcMar>
                    <w:top w:w="15" w:type="dxa"/>
                    <w:left w:w="15" w:type="dxa"/>
                    <w:right w:w="15" w:type="dxa"/>
                  </w:tcMar>
                  <w:vAlign w:val="center"/>
                </w:tcPr>
                <w:p w14:paraId="10C9BDFD">
                  <w:pPr>
                    <w:pStyle w:val="65"/>
                    <w:rPr>
                      <w:color w:val="auto"/>
                      <w:lang w:bidi="ar"/>
                    </w:rPr>
                  </w:pPr>
                  <w:r>
                    <w:rPr>
                      <w:color w:val="auto"/>
                      <w:lang w:bidi="ar"/>
                    </w:rPr>
                    <w:t>0.02</w:t>
                  </w:r>
                </w:p>
              </w:tc>
              <w:tc>
                <w:tcPr>
                  <w:tcW w:w="268" w:type="pct"/>
                  <w:tcMar>
                    <w:top w:w="15" w:type="dxa"/>
                    <w:left w:w="15" w:type="dxa"/>
                    <w:right w:w="15" w:type="dxa"/>
                  </w:tcMar>
                  <w:vAlign w:val="center"/>
                </w:tcPr>
                <w:p w14:paraId="268A5B98">
                  <w:pPr>
                    <w:pStyle w:val="65"/>
                    <w:rPr>
                      <w:color w:val="auto"/>
                      <w:lang w:bidi="ar"/>
                    </w:rPr>
                  </w:pPr>
                </w:p>
              </w:tc>
              <w:tc>
                <w:tcPr>
                  <w:tcW w:w="278" w:type="pct"/>
                  <w:tcMar>
                    <w:top w:w="15" w:type="dxa"/>
                    <w:left w:w="15" w:type="dxa"/>
                    <w:right w:w="15" w:type="dxa"/>
                  </w:tcMar>
                  <w:vAlign w:val="center"/>
                </w:tcPr>
                <w:p w14:paraId="24E8910A">
                  <w:pPr>
                    <w:pStyle w:val="65"/>
                    <w:rPr>
                      <w:color w:val="auto"/>
                      <w:lang w:bidi="ar"/>
                    </w:rPr>
                  </w:pPr>
                  <w:r>
                    <w:rPr>
                      <w:color w:val="auto"/>
                      <w:lang w:bidi="ar"/>
                    </w:rPr>
                    <w:t>0.60</w:t>
                  </w:r>
                </w:p>
              </w:tc>
              <w:tc>
                <w:tcPr>
                  <w:tcW w:w="288" w:type="pct"/>
                  <w:tcMar>
                    <w:top w:w="15" w:type="dxa"/>
                    <w:left w:w="15" w:type="dxa"/>
                    <w:right w:w="15" w:type="dxa"/>
                  </w:tcMar>
                  <w:vAlign w:val="center"/>
                </w:tcPr>
                <w:p w14:paraId="0910F6AA">
                  <w:pPr>
                    <w:pStyle w:val="65"/>
                    <w:rPr>
                      <w:color w:val="auto"/>
                      <w:lang w:bidi="ar"/>
                    </w:rPr>
                  </w:pPr>
                  <w:r>
                    <w:rPr>
                      <w:color w:val="auto"/>
                      <w:lang w:bidi="ar"/>
                    </w:rPr>
                    <w:t>0.62</w:t>
                  </w:r>
                </w:p>
              </w:tc>
              <w:tc>
                <w:tcPr>
                  <w:tcW w:w="273" w:type="pct"/>
                  <w:noWrap/>
                  <w:tcMar>
                    <w:top w:w="15" w:type="dxa"/>
                    <w:left w:w="15" w:type="dxa"/>
                    <w:right w:w="15" w:type="dxa"/>
                  </w:tcMar>
                  <w:vAlign w:val="center"/>
                </w:tcPr>
                <w:p w14:paraId="6AD39CEA">
                  <w:pPr>
                    <w:pStyle w:val="65"/>
                    <w:rPr>
                      <w:color w:val="auto"/>
                      <w:lang w:bidi="ar"/>
                    </w:rPr>
                  </w:pPr>
                  <w:r>
                    <w:rPr>
                      <w:color w:val="auto"/>
                      <w:lang w:bidi="ar"/>
                    </w:rPr>
                    <w:t>0.02</w:t>
                  </w:r>
                </w:p>
              </w:tc>
              <w:tc>
                <w:tcPr>
                  <w:tcW w:w="309" w:type="pct"/>
                  <w:tcMar>
                    <w:top w:w="15" w:type="dxa"/>
                    <w:left w:w="15" w:type="dxa"/>
                    <w:right w:w="15" w:type="dxa"/>
                  </w:tcMar>
                  <w:vAlign w:val="center"/>
                </w:tcPr>
                <w:p w14:paraId="5337AFF2">
                  <w:pPr>
                    <w:pStyle w:val="65"/>
                    <w:rPr>
                      <w:color w:val="auto"/>
                      <w:lang w:bidi="ar"/>
                    </w:rPr>
                  </w:pPr>
                </w:p>
              </w:tc>
              <w:tc>
                <w:tcPr>
                  <w:tcW w:w="268" w:type="pct"/>
                  <w:tcMar>
                    <w:top w:w="15" w:type="dxa"/>
                    <w:left w:w="15" w:type="dxa"/>
                    <w:right w:w="15" w:type="dxa"/>
                  </w:tcMar>
                  <w:vAlign w:val="center"/>
                </w:tcPr>
                <w:p w14:paraId="1A65C955">
                  <w:pPr>
                    <w:pStyle w:val="65"/>
                    <w:rPr>
                      <w:color w:val="auto"/>
                      <w:lang w:bidi="ar"/>
                    </w:rPr>
                  </w:pPr>
                  <w:r>
                    <w:rPr>
                      <w:color w:val="auto"/>
                      <w:lang w:bidi="ar"/>
                    </w:rPr>
                    <w:t>1.37</w:t>
                  </w:r>
                </w:p>
              </w:tc>
              <w:tc>
                <w:tcPr>
                  <w:tcW w:w="221" w:type="pct"/>
                  <w:tcMar>
                    <w:top w:w="15" w:type="dxa"/>
                    <w:left w:w="15" w:type="dxa"/>
                    <w:right w:w="15" w:type="dxa"/>
                  </w:tcMar>
                  <w:vAlign w:val="center"/>
                </w:tcPr>
                <w:p w14:paraId="4DE9835E">
                  <w:pPr>
                    <w:pStyle w:val="65"/>
                    <w:rPr>
                      <w:color w:val="auto"/>
                      <w:lang w:bidi="ar"/>
                    </w:rPr>
                  </w:pPr>
                  <w:r>
                    <w:rPr>
                      <w:color w:val="auto"/>
                      <w:lang w:bidi="ar"/>
                    </w:rPr>
                    <w:t>1.39</w:t>
                  </w:r>
                </w:p>
              </w:tc>
              <w:tc>
                <w:tcPr>
                  <w:tcW w:w="196" w:type="pct"/>
                  <w:noWrap/>
                  <w:tcMar>
                    <w:top w:w="15" w:type="dxa"/>
                    <w:left w:w="15" w:type="dxa"/>
                    <w:right w:w="15" w:type="dxa"/>
                  </w:tcMar>
                  <w:vAlign w:val="center"/>
                </w:tcPr>
                <w:p w14:paraId="12617D8D">
                  <w:pPr>
                    <w:pStyle w:val="65"/>
                    <w:rPr>
                      <w:color w:val="auto"/>
                      <w:lang w:bidi="ar"/>
                    </w:rPr>
                  </w:pPr>
                  <w:r>
                    <w:rPr>
                      <w:rFonts w:hint="eastAsia"/>
                      <w:color w:val="auto"/>
                      <w:lang w:bidi="ar"/>
                    </w:rPr>
                    <w:t>0.77</w:t>
                  </w:r>
                </w:p>
              </w:tc>
              <w:tc>
                <w:tcPr>
                  <w:tcW w:w="381" w:type="pct"/>
                  <w:noWrap/>
                  <w:tcMar>
                    <w:top w:w="15" w:type="dxa"/>
                    <w:left w:w="15" w:type="dxa"/>
                    <w:right w:w="15" w:type="dxa"/>
                  </w:tcMar>
                  <w:vAlign w:val="center"/>
                </w:tcPr>
                <w:p w14:paraId="411A39E1">
                  <w:pPr>
                    <w:pStyle w:val="65"/>
                    <w:rPr>
                      <w:color w:val="auto"/>
                      <w:lang w:bidi="ar"/>
                    </w:rPr>
                  </w:pPr>
                  <w:r>
                    <w:rPr>
                      <w:rFonts w:hint="eastAsia"/>
                      <w:color w:val="auto"/>
                      <w:lang w:bidi="ar"/>
                    </w:rPr>
                    <w:t>光伏阵列区、</w:t>
                  </w:r>
                  <w:r>
                    <w:rPr>
                      <w:color w:val="auto"/>
                      <w:lang w:bidi="ar"/>
                    </w:rPr>
                    <w:t>集电线路</w:t>
                  </w:r>
                  <w:r>
                    <w:rPr>
                      <w:rFonts w:hint="eastAsia"/>
                      <w:color w:val="auto"/>
                      <w:lang w:bidi="ar"/>
                    </w:rPr>
                    <w:t>、</w:t>
                  </w:r>
                  <w:r>
                    <w:rPr>
                      <w:color w:val="auto"/>
                      <w:lang w:bidi="ar"/>
                    </w:rPr>
                    <w:t>道路工程区</w:t>
                  </w:r>
                </w:p>
              </w:tc>
              <w:tc>
                <w:tcPr>
                  <w:tcW w:w="196" w:type="pct"/>
                  <w:tcMar>
                    <w:top w:w="15" w:type="dxa"/>
                    <w:left w:w="15" w:type="dxa"/>
                    <w:right w:w="15" w:type="dxa"/>
                  </w:tcMar>
                  <w:vAlign w:val="center"/>
                </w:tcPr>
                <w:p w14:paraId="262B344C">
                  <w:pPr>
                    <w:pStyle w:val="65"/>
                    <w:rPr>
                      <w:color w:val="auto"/>
                      <w:lang w:bidi="ar"/>
                    </w:rPr>
                  </w:pPr>
                </w:p>
              </w:tc>
              <w:tc>
                <w:tcPr>
                  <w:tcW w:w="453" w:type="pct"/>
                  <w:noWrap/>
                  <w:tcMar>
                    <w:top w:w="15" w:type="dxa"/>
                    <w:left w:w="15" w:type="dxa"/>
                    <w:right w:w="15" w:type="dxa"/>
                  </w:tcMar>
                  <w:vAlign w:val="center"/>
                </w:tcPr>
                <w:p w14:paraId="62820CFE">
                  <w:pPr>
                    <w:pStyle w:val="65"/>
                    <w:rPr>
                      <w:color w:val="auto"/>
                      <w:lang w:bidi="ar"/>
                    </w:rPr>
                  </w:pPr>
                </w:p>
              </w:tc>
              <w:tc>
                <w:tcPr>
                  <w:tcW w:w="221" w:type="pct"/>
                  <w:noWrap/>
                  <w:tcMar>
                    <w:top w:w="15" w:type="dxa"/>
                    <w:left w:w="15" w:type="dxa"/>
                    <w:right w:w="15" w:type="dxa"/>
                  </w:tcMar>
                  <w:vAlign w:val="center"/>
                </w:tcPr>
                <w:p w14:paraId="32394DC2">
                  <w:pPr>
                    <w:pStyle w:val="65"/>
                    <w:rPr>
                      <w:color w:val="auto"/>
                      <w:lang w:bidi="ar"/>
                    </w:rPr>
                  </w:pPr>
                </w:p>
              </w:tc>
              <w:tc>
                <w:tcPr>
                  <w:tcW w:w="191" w:type="pct"/>
                  <w:noWrap/>
                  <w:tcMar>
                    <w:top w:w="15" w:type="dxa"/>
                    <w:left w:w="15" w:type="dxa"/>
                    <w:right w:w="15" w:type="dxa"/>
                  </w:tcMar>
                  <w:vAlign w:val="center"/>
                </w:tcPr>
                <w:p w14:paraId="5B68CB04">
                  <w:pPr>
                    <w:pStyle w:val="65"/>
                    <w:rPr>
                      <w:color w:val="auto"/>
                      <w:lang w:bidi="ar"/>
                    </w:rPr>
                  </w:pPr>
                </w:p>
              </w:tc>
              <w:tc>
                <w:tcPr>
                  <w:tcW w:w="200" w:type="pct"/>
                  <w:tcMar>
                    <w:top w:w="15" w:type="dxa"/>
                    <w:left w:w="15" w:type="dxa"/>
                    <w:right w:w="15" w:type="dxa"/>
                  </w:tcMar>
                  <w:vAlign w:val="center"/>
                </w:tcPr>
                <w:p w14:paraId="5E41337D">
                  <w:pPr>
                    <w:pStyle w:val="65"/>
                    <w:rPr>
                      <w:color w:val="auto"/>
                    </w:rPr>
                  </w:pPr>
                </w:p>
              </w:tc>
            </w:tr>
            <w:tr w14:paraId="4955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03" w:type="pct"/>
                  <w:gridSpan w:val="3"/>
                  <w:noWrap/>
                  <w:tcMar>
                    <w:top w:w="15" w:type="dxa"/>
                    <w:left w:w="15" w:type="dxa"/>
                    <w:right w:w="15" w:type="dxa"/>
                  </w:tcMar>
                  <w:vAlign w:val="center"/>
                </w:tcPr>
                <w:p w14:paraId="5A820703">
                  <w:pPr>
                    <w:pStyle w:val="65"/>
                    <w:rPr>
                      <w:color w:val="auto"/>
                    </w:rPr>
                  </w:pPr>
                  <w:r>
                    <w:rPr>
                      <w:color w:val="auto"/>
                      <w:lang w:bidi="ar"/>
                    </w:rPr>
                    <w:t>合计</w:t>
                  </w:r>
                </w:p>
              </w:tc>
              <w:tc>
                <w:tcPr>
                  <w:tcW w:w="355" w:type="pct"/>
                  <w:noWrap/>
                  <w:tcMar>
                    <w:top w:w="15" w:type="dxa"/>
                    <w:left w:w="15" w:type="dxa"/>
                    <w:right w:w="15" w:type="dxa"/>
                  </w:tcMar>
                  <w:vAlign w:val="center"/>
                </w:tcPr>
                <w:p w14:paraId="4953D24F">
                  <w:pPr>
                    <w:pStyle w:val="65"/>
                    <w:rPr>
                      <w:color w:val="auto"/>
                      <w:lang w:bidi="ar"/>
                    </w:rPr>
                  </w:pPr>
                  <w:r>
                    <w:rPr>
                      <w:color w:val="auto"/>
                      <w:lang w:bidi="ar"/>
                    </w:rPr>
                    <w:t>1.43</w:t>
                  </w:r>
                </w:p>
              </w:tc>
              <w:tc>
                <w:tcPr>
                  <w:tcW w:w="268" w:type="pct"/>
                  <w:tcMar>
                    <w:top w:w="15" w:type="dxa"/>
                    <w:left w:w="15" w:type="dxa"/>
                    <w:right w:w="15" w:type="dxa"/>
                  </w:tcMar>
                  <w:vAlign w:val="center"/>
                </w:tcPr>
                <w:p w14:paraId="2FB800D5">
                  <w:pPr>
                    <w:pStyle w:val="65"/>
                    <w:rPr>
                      <w:color w:val="auto"/>
                      <w:lang w:bidi="ar"/>
                    </w:rPr>
                  </w:pPr>
                  <w:r>
                    <w:rPr>
                      <w:color w:val="auto"/>
                      <w:lang w:bidi="ar"/>
                    </w:rPr>
                    <w:t>11.18</w:t>
                  </w:r>
                </w:p>
              </w:tc>
              <w:tc>
                <w:tcPr>
                  <w:tcW w:w="278" w:type="pct"/>
                  <w:tcMar>
                    <w:top w:w="15" w:type="dxa"/>
                    <w:left w:w="15" w:type="dxa"/>
                    <w:right w:w="15" w:type="dxa"/>
                  </w:tcMar>
                  <w:vAlign w:val="center"/>
                </w:tcPr>
                <w:p w14:paraId="4104C6F1">
                  <w:pPr>
                    <w:pStyle w:val="65"/>
                    <w:rPr>
                      <w:color w:val="auto"/>
                      <w:lang w:bidi="ar"/>
                    </w:rPr>
                  </w:pPr>
                  <w:r>
                    <w:rPr>
                      <w:color w:val="auto"/>
                      <w:lang w:bidi="ar"/>
                    </w:rPr>
                    <w:t>0.60</w:t>
                  </w:r>
                </w:p>
              </w:tc>
              <w:tc>
                <w:tcPr>
                  <w:tcW w:w="288" w:type="pct"/>
                  <w:tcMar>
                    <w:top w:w="15" w:type="dxa"/>
                    <w:left w:w="15" w:type="dxa"/>
                    <w:right w:w="15" w:type="dxa"/>
                  </w:tcMar>
                  <w:vAlign w:val="center"/>
                </w:tcPr>
                <w:p w14:paraId="6F50E40A">
                  <w:pPr>
                    <w:pStyle w:val="65"/>
                    <w:rPr>
                      <w:color w:val="auto"/>
                      <w:lang w:bidi="ar"/>
                    </w:rPr>
                  </w:pPr>
                  <w:r>
                    <w:rPr>
                      <w:color w:val="auto"/>
                      <w:lang w:bidi="ar"/>
                    </w:rPr>
                    <w:t>13.21</w:t>
                  </w:r>
                </w:p>
              </w:tc>
              <w:tc>
                <w:tcPr>
                  <w:tcW w:w="273" w:type="pct"/>
                  <w:noWrap/>
                  <w:tcMar>
                    <w:top w:w="15" w:type="dxa"/>
                    <w:left w:w="15" w:type="dxa"/>
                    <w:right w:w="15" w:type="dxa"/>
                  </w:tcMar>
                  <w:vAlign w:val="center"/>
                </w:tcPr>
                <w:p w14:paraId="0D494155">
                  <w:pPr>
                    <w:pStyle w:val="65"/>
                    <w:rPr>
                      <w:color w:val="auto"/>
                      <w:lang w:bidi="ar"/>
                    </w:rPr>
                  </w:pPr>
                  <w:r>
                    <w:rPr>
                      <w:color w:val="auto"/>
                      <w:lang w:bidi="ar"/>
                    </w:rPr>
                    <w:t>1.43</w:t>
                  </w:r>
                </w:p>
              </w:tc>
              <w:tc>
                <w:tcPr>
                  <w:tcW w:w="309" w:type="pct"/>
                  <w:tcMar>
                    <w:top w:w="15" w:type="dxa"/>
                    <w:left w:w="15" w:type="dxa"/>
                    <w:right w:w="15" w:type="dxa"/>
                  </w:tcMar>
                  <w:vAlign w:val="center"/>
                </w:tcPr>
                <w:p w14:paraId="4E5C0A5B">
                  <w:pPr>
                    <w:pStyle w:val="65"/>
                    <w:rPr>
                      <w:color w:val="auto"/>
                      <w:lang w:bidi="ar"/>
                    </w:rPr>
                  </w:pPr>
                  <w:r>
                    <w:rPr>
                      <w:color w:val="auto"/>
                      <w:lang w:bidi="ar"/>
                    </w:rPr>
                    <w:t>10.41</w:t>
                  </w:r>
                </w:p>
              </w:tc>
              <w:tc>
                <w:tcPr>
                  <w:tcW w:w="268" w:type="pct"/>
                  <w:tcMar>
                    <w:top w:w="15" w:type="dxa"/>
                    <w:left w:w="15" w:type="dxa"/>
                    <w:right w:w="15" w:type="dxa"/>
                  </w:tcMar>
                  <w:vAlign w:val="center"/>
                </w:tcPr>
                <w:p w14:paraId="3C0632E7">
                  <w:pPr>
                    <w:pStyle w:val="65"/>
                    <w:rPr>
                      <w:color w:val="auto"/>
                      <w:lang w:bidi="ar"/>
                    </w:rPr>
                  </w:pPr>
                  <w:r>
                    <w:rPr>
                      <w:color w:val="auto"/>
                      <w:lang w:bidi="ar"/>
                    </w:rPr>
                    <w:t>1.37</w:t>
                  </w:r>
                </w:p>
              </w:tc>
              <w:tc>
                <w:tcPr>
                  <w:tcW w:w="221" w:type="pct"/>
                  <w:tcMar>
                    <w:top w:w="15" w:type="dxa"/>
                    <w:left w:w="15" w:type="dxa"/>
                    <w:right w:w="15" w:type="dxa"/>
                  </w:tcMar>
                  <w:vAlign w:val="center"/>
                </w:tcPr>
                <w:p w14:paraId="54DBACB2">
                  <w:pPr>
                    <w:pStyle w:val="65"/>
                    <w:rPr>
                      <w:color w:val="auto"/>
                      <w:lang w:bidi="ar"/>
                    </w:rPr>
                  </w:pPr>
                  <w:r>
                    <w:rPr>
                      <w:color w:val="auto"/>
                      <w:lang w:bidi="ar"/>
                    </w:rPr>
                    <w:t>13.21</w:t>
                  </w:r>
                </w:p>
              </w:tc>
              <w:tc>
                <w:tcPr>
                  <w:tcW w:w="196" w:type="pct"/>
                  <w:noWrap/>
                  <w:tcMar>
                    <w:top w:w="15" w:type="dxa"/>
                    <w:left w:w="15" w:type="dxa"/>
                    <w:right w:w="15" w:type="dxa"/>
                  </w:tcMar>
                  <w:vAlign w:val="center"/>
                </w:tcPr>
                <w:p w14:paraId="0A7D0E45">
                  <w:pPr>
                    <w:pStyle w:val="65"/>
                    <w:rPr>
                      <w:color w:val="auto"/>
                      <w:lang w:bidi="ar"/>
                    </w:rPr>
                  </w:pPr>
                </w:p>
              </w:tc>
              <w:tc>
                <w:tcPr>
                  <w:tcW w:w="381" w:type="pct"/>
                  <w:noWrap/>
                  <w:tcMar>
                    <w:top w:w="15" w:type="dxa"/>
                    <w:left w:w="15" w:type="dxa"/>
                    <w:right w:w="15" w:type="dxa"/>
                  </w:tcMar>
                  <w:vAlign w:val="center"/>
                </w:tcPr>
                <w:p w14:paraId="7A992C3A">
                  <w:pPr>
                    <w:pStyle w:val="65"/>
                    <w:rPr>
                      <w:color w:val="auto"/>
                      <w:lang w:bidi="ar"/>
                    </w:rPr>
                  </w:pPr>
                </w:p>
              </w:tc>
              <w:tc>
                <w:tcPr>
                  <w:tcW w:w="196" w:type="pct"/>
                  <w:tcMar>
                    <w:top w:w="15" w:type="dxa"/>
                    <w:left w:w="15" w:type="dxa"/>
                    <w:right w:w="15" w:type="dxa"/>
                  </w:tcMar>
                  <w:vAlign w:val="center"/>
                </w:tcPr>
                <w:p w14:paraId="6142B1FE">
                  <w:pPr>
                    <w:pStyle w:val="65"/>
                    <w:rPr>
                      <w:color w:val="auto"/>
                      <w:lang w:bidi="ar"/>
                    </w:rPr>
                  </w:pPr>
                </w:p>
              </w:tc>
              <w:tc>
                <w:tcPr>
                  <w:tcW w:w="453" w:type="pct"/>
                  <w:noWrap/>
                  <w:tcMar>
                    <w:top w:w="15" w:type="dxa"/>
                    <w:left w:w="15" w:type="dxa"/>
                    <w:right w:w="15" w:type="dxa"/>
                  </w:tcMar>
                  <w:vAlign w:val="center"/>
                </w:tcPr>
                <w:p w14:paraId="56B3401A">
                  <w:pPr>
                    <w:pStyle w:val="65"/>
                    <w:rPr>
                      <w:color w:val="auto"/>
                      <w:lang w:bidi="ar"/>
                    </w:rPr>
                  </w:pPr>
                </w:p>
              </w:tc>
              <w:tc>
                <w:tcPr>
                  <w:tcW w:w="221" w:type="pct"/>
                  <w:noWrap/>
                  <w:tcMar>
                    <w:top w:w="15" w:type="dxa"/>
                    <w:left w:w="15" w:type="dxa"/>
                    <w:right w:w="15" w:type="dxa"/>
                  </w:tcMar>
                  <w:vAlign w:val="center"/>
                </w:tcPr>
                <w:p w14:paraId="35AF15B0">
                  <w:pPr>
                    <w:pStyle w:val="65"/>
                    <w:rPr>
                      <w:color w:val="auto"/>
                      <w:lang w:bidi="ar"/>
                    </w:rPr>
                  </w:pPr>
                </w:p>
              </w:tc>
              <w:tc>
                <w:tcPr>
                  <w:tcW w:w="191" w:type="pct"/>
                  <w:noWrap/>
                  <w:tcMar>
                    <w:top w:w="15" w:type="dxa"/>
                    <w:left w:w="15" w:type="dxa"/>
                    <w:right w:w="15" w:type="dxa"/>
                  </w:tcMar>
                  <w:vAlign w:val="center"/>
                </w:tcPr>
                <w:p w14:paraId="18DFDE87">
                  <w:pPr>
                    <w:pStyle w:val="65"/>
                    <w:rPr>
                      <w:color w:val="auto"/>
                      <w:lang w:bidi="ar"/>
                    </w:rPr>
                  </w:pPr>
                </w:p>
              </w:tc>
              <w:tc>
                <w:tcPr>
                  <w:tcW w:w="200" w:type="pct"/>
                  <w:tcMar>
                    <w:top w:w="15" w:type="dxa"/>
                    <w:left w:w="15" w:type="dxa"/>
                    <w:right w:w="15" w:type="dxa"/>
                  </w:tcMar>
                  <w:vAlign w:val="center"/>
                </w:tcPr>
                <w:p w14:paraId="5F688F7F">
                  <w:pPr>
                    <w:pStyle w:val="65"/>
                    <w:rPr>
                      <w:color w:val="auto"/>
                    </w:rPr>
                  </w:pPr>
                </w:p>
              </w:tc>
            </w:tr>
          </w:tbl>
          <w:p w14:paraId="2FE60C9D">
            <w:pPr>
              <w:ind w:firstLine="480"/>
              <w:rPr>
                <w:bCs/>
                <w:color w:val="auto"/>
              </w:rPr>
            </w:pPr>
            <w:r>
              <w:rPr>
                <w:rFonts w:hint="eastAsia"/>
                <w:color w:val="auto"/>
              </w:rPr>
              <w:t>注：</w:t>
            </w:r>
            <w:r>
              <w:rPr>
                <w:bCs/>
                <w:color w:val="auto"/>
              </w:rPr>
              <w:t>（1）表中土石方量均为自然方；开挖+外借=回填+废弃；</w:t>
            </w:r>
          </w:p>
          <w:p w14:paraId="277EB48F">
            <w:pPr>
              <w:ind w:firstLine="480"/>
              <w:rPr>
                <w:bCs/>
                <w:color w:val="auto"/>
              </w:rPr>
            </w:pPr>
            <w:r>
              <w:rPr>
                <w:bCs/>
                <w:color w:val="auto"/>
              </w:rPr>
              <w:t>（2）项目区内挖填平衡，无外借方及永久弃方产生。</w:t>
            </w:r>
          </w:p>
          <w:p w14:paraId="42E1ABCA">
            <w:pPr>
              <w:ind w:firstLine="480"/>
              <w:rPr>
                <w:bCs/>
                <w:color w:val="auto"/>
              </w:rPr>
            </w:pPr>
          </w:p>
          <w:p w14:paraId="6688360D">
            <w:pPr>
              <w:pStyle w:val="167"/>
              <w:ind w:firstLine="480"/>
              <w:rPr>
                <w:rFonts w:hAnsi="Times New Roman"/>
                <w:color w:val="auto"/>
              </w:rPr>
            </w:pPr>
            <w:bookmarkStart w:id="493" w:name="_1709014980"/>
            <w:bookmarkEnd w:id="493"/>
            <w:r>
              <w:rPr>
                <w:rFonts w:hAnsi="Times New Roman"/>
                <w:color w:val="auto"/>
              </w:rPr>
              <w:drawing>
                <wp:inline distT="0" distB="0" distL="0" distR="0">
                  <wp:extent cx="5761990" cy="4095115"/>
                  <wp:effectExtent l="0" t="0" r="10160" b="635"/>
                  <wp:docPr id="12677078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07849" name="图片 20"/>
                          <pic:cNvPicPr>
                            <a:picLocks noChangeAspect="1" noChangeArrowheads="1"/>
                          </pic:cNvPicPr>
                        </pic:nvPicPr>
                        <pic:blipFill>
                          <a:blip r:embed="rId39"/>
                          <a:srcRect/>
                          <a:stretch>
                            <a:fillRect/>
                          </a:stretch>
                        </pic:blipFill>
                        <pic:spPr>
                          <a:xfrm>
                            <a:off x="0" y="0"/>
                            <a:ext cx="5761990" cy="4095115"/>
                          </a:xfrm>
                          <a:prstGeom prst="rect">
                            <a:avLst/>
                          </a:prstGeom>
                          <a:noFill/>
                        </pic:spPr>
                      </pic:pic>
                    </a:graphicData>
                  </a:graphic>
                </wp:inline>
              </w:drawing>
            </w:r>
          </w:p>
          <w:p w14:paraId="128E907A">
            <w:pPr>
              <w:pStyle w:val="63"/>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2.8</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rStyle w:val="64"/>
                <w:b w:val="0"/>
                <w:color w:val="auto"/>
              </w:rPr>
              <w:t xml:space="preserve"> </w:t>
            </w:r>
            <w:r>
              <w:rPr>
                <w:bCs/>
                <w:color w:val="auto"/>
              </w:rPr>
              <w:t xml:space="preserve"> </w:t>
            </w:r>
            <w:r>
              <w:rPr>
                <w:color w:val="auto"/>
              </w:rPr>
              <w:t>土石方平衡图</w:t>
            </w:r>
            <w:r>
              <w:rPr>
                <w:rFonts w:hint="eastAsia"/>
                <w:color w:val="auto"/>
              </w:rPr>
              <w:t xml:space="preserve">  单位：万m</w:t>
            </w:r>
            <w:r>
              <w:rPr>
                <w:rFonts w:hint="eastAsia"/>
                <w:color w:val="auto"/>
                <w:vertAlign w:val="superscript"/>
              </w:rPr>
              <w:t>3</w:t>
            </w:r>
          </w:p>
        </w:tc>
      </w:tr>
    </w:tbl>
    <w:p w14:paraId="54EFD49C">
      <w:pPr>
        <w:pStyle w:val="65"/>
        <w:rPr>
          <w:color w:val="auto"/>
        </w:rPr>
        <w:sectPr>
          <w:pgSz w:w="16838" w:h="11906" w:orient="landscape"/>
          <w:pgMar w:top="1797" w:right="1440" w:bottom="1797" w:left="1440" w:header="737" w:footer="1134" w:gutter="0"/>
          <w:cols w:space="425" w:num="1"/>
          <w:docGrid w:linePitch="326" w:charSpace="0"/>
        </w:sectPr>
      </w:pP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3"/>
        <w:gridCol w:w="8095"/>
      </w:tblGrid>
      <w:tr w14:paraId="701652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54" w:type="pct"/>
            <w:vAlign w:val="center"/>
          </w:tcPr>
          <w:p w14:paraId="0FBC5705">
            <w:pPr>
              <w:adjustRightInd w:val="0"/>
              <w:snapToGrid w:val="0"/>
              <w:spacing w:line="240" w:lineRule="auto"/>
              <w:ind w:firstLine="0" w:firstLineChars="0"/>
              <w:jc w:val="center"/>
              <w:rPr>
                <w:color w:val="auto"/>
                <w:kern w:val="0"/>
              </w:rPr>
            </w:pPr>
            <w:r>
              <w:rPr>
                <w:color w:val="auto"/>
                <w:kern w:val="0"/>
              </w:rPr>
              <w:t>施工方案</w:t>
            </w:r>
          </w:p>
        </w:tc>
        <w:tc>
          <w:tcPr>
            <w:tcW w:w="4746" w:type="pct"/>
            <w:vAlign w:val="center"/>
          </w:tcPr>
          <w:p w14:paraId="476305FA">
            <w:pPr>
              <w:pStyle w:val="3"/>
              <w:spacing w:before="72" w:after="72"/>
              <w:rPr>
                <w:color w:val="auto"/>
              </w:rPr>
            </w:pPr>
            <w:bookmarkStart w:id="494" w:name="_Toc160473794"/>
            <w:bookmarkStart w:id="495" w:name="_Toc160730870"/>
            <w:bookmarkStart w:id="496" w:name="_Toc112173913"/>
            <w:bookmarkStart w:id="497" w:name="_Toc112165618"/>
            <w:bookmarkStart w:id="498" w:name="_Toc13417"/>
            <w:bookmarkStart w:id="499" w:name="_Toc161415548"/>
            <w:bookmarkStart w:id="500" w:name="_Toc112424255"/>
            <w:bookmarkStart w:id="501" w:name="_Toc177072398"/>
            <w:bookmarkStart w:id="502" w:name="_Toc177072826"/>
            <w:bookmarkStart w:id="503" w:name="_Toc136794182"/>
            <w:bookmarkStart w:id="504" w:name="_Toc159349021"/>
            <w:bookmarkStart w:id="505" w:name="_Toc136794307"/>
            <w:bookmarkStart w:id="506" w:name="_Toc18298"/>
            <w:bookmarkStart w:id="507" w:name="_Toc156137832"/>
            <w:bookmarkStart w:id="508" w:name="_Toc156144146"/>
            <w:bookmarkStart w:id="509" w:name="_Toc158491253"/>
            <w:bookmarkStart w:id="510" w:name="_Toc181293533"/>
            <w:bookmarkStart w:id="511" w:name="_Toc181732811"/>
            <w:bookmarkStart w:id="512" w:name="_Toc181738218"/>
            <w:bookmarkStart w:id="513" w:name="_Toc177488210"/>
            <w:bookmarkStart w:id="514" w:name="_Toc177482898"/>
            <w:r>
              <w:rPr>
                <w:color w:val="auto"/>
              </w:rPr>
              <w:t>施工方案</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3CE91346">
            <w:pPr>
              <w:pStyle w:val="4"/>
              <w:spacing w:before="48" w:after="48"/>
              <w:rPr>
                <w:color w:val="auto"/>
              </w:rPr>
            </w:pPr>
            <w:bookmarkStart w:id="515" w:name="_Toc136794183"/>
            <w:bookmarkStart w:id="516" w:name="_Toc156137833"/>
            <w:bookmarkStart w:id="517" w:name="_Toc161415549"/>
            <w:bookmarkStart w:id="518" w:name="_Toc160730871"/>
            <w:bookmarkStart w:id="519" w:name="_Toc156144147"/>
            <w:bookmarkStart w:id="520" w:name="_Toc181738219"/>
            <w:bookmarkStart w:id="521" w:name="_Toc159349022"/>
            <w:bookmarkStart w:id="522" w:name="_Toc158491254"/>
            <w:bookmarkStart w:id="523" w:name="_Toc15655"/>
            <w:bookmarkStart w:id="524" w:name="_Toc31078"/>
            <w:bookmarkStart w:id="525" w:name="_Toc177072827"/>
            <w:bookmarkStart w:id="526" w:name="_Toc136794308"/>
            <w:bookmarkStart w:id="527" w:name="_Toc177482899"/>
            <w:bookmarkStart w:id="528" w:name="_Toc177488211"/>
            <w:bookmarkStart w:id="529" w:name="_Toc181293534"/>
            <w:bookmarkStart w:id="530" w:name="_Toc160473795"/>
            <w:bookmarkStart w:id="531" w:name="_Toc177072399"/>
            <w:bookmarkStart w:id="532" w:name="_Toc181732812"/>
            <w:r>
              <w:rPr>
                <w:color w:val="auto"/>
              </w:rPr>
              <w:t>工程占地</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0FF81DC8">
            <w:pPr>
              <w:ind w:firstLine="480"/>
              <w:rPr>
                <w:rFonts w:cs="Times New Roman"/>
                <w:color w:val="auto"/>
              </w:rPr>
            </w:pPr>
            <w:r>
              <w:rPr>
                <w:rFonts w:cs="Times New Roman"/>
                <w:color w:val="auto"/>
              </w:rPr>
              <w:t>根据现场调查，按照《土地利用现状分类》（GB/T21010-2017）规定，项目区土地利用现状一级类为园地和交通运输用地，二级类为茶园和农村道路。项目区内主要为种植茶树的园地，个别地块内套种稀疏果树。方案占地归类统一为一级类园地。</w:t>
            </w:r>
          </w:p>
          <w:p w14:paraId="3C9B42D8">
            <w:pPr>
              <w:ind w:firstLine="480"/>
              <w:rPr>
                <w:rFonts w:cs="Times New Roman"/>
                <w:color w:val="auto"/>
              </w:rPr>
            </w:pPr>
            <w:r>
              <w:rPr>
                <w:rFonts w:cs="Times New Roman"/>
                <w:color w:val="auto"/>
              </w:rPr>
              <w:t>根据主体设计资料</w:t>
            </w:r>
            <w:r>
              <w:rPr>
                <w:rFonts w:hint="eastAsia" w:cs="Times New Roman"/>
                <w:color w:val="auto"/>
              </w:rPr>
              <w:t>以及</w:t>
            </w:r>
            <w:r>
              <w:rPr>
                <w:rFonts w:cs="Times New Roman"/>
                <w:color w:val="auto"/>
              </w:rPr>
              <w:t>结合现场调查，本项目工程占地总计117.06hm²。其中，永久占地0.28hm²（箱变及电缆分接箱基础0.06hm²，塔基0.22hm²</w:t>
            </w:r>
            <w:r>
              <w:rPr>
                <w:rFonts w:hint="eastAsia" w:cs="Times New Roman"/>
                <w:color w:val="auto"/>
              </w:rPr>
              <w:t>，场外道路改扩建部分0.22</w:t>
            </w:r>
            <w:r>
              <w:rPr>
                <w:rFonts w:cs="Times New Roman"/>
                <w:color w:val="auto"/>
              </w:rPr>
              <w:t>hm²）；</w:t>
            </w:r>
            <w:r>
              <w:rPr>
                <w:rFonts w:hint="eastAsia" w:cs="Times New Roman"/>
                <w:color w:val="auto"/>
              </w:rPr>
              <w:t>临时占地</w:t>
            </w:r>
            <w:r>
              <w:rPr>
                <w:rFonts w:cs="Times New Roman"/>
                <w:color w:val="auto"/>
              </w:rPr>
              <w:t>116.78hm²（</w:t>
            </w:r>
            <w:r>
              <w:rPr>
                <w:rFonts w:hint="eastAsia" w:cs="Times New Roman"/>
                <w:color w:val="auto"/>
              </w:rPr>
              <w:t>光伏场区109.01</w:t>
            </w:r>
            <w:r>
              <w:rPr>
                <w:color w:val="auto"/>
              </w:rPr>
              <w:t xml:space="preserve"> </w:t>
            </w:r>
            <w:r>
              <w:rPr>
                <w:rFonts w:cs="Times New Roman"/>
                <w:color w:val="auto"/>
              </w:rPr>
              <w:t>hm²</w:t>
            </w:r>
            <w:r>
              <w:rPr>
                <w:rFonts w:hint="eastAsia" w:cs="Times New Roman"/>
                <w:color w:val="auto"/>
              </w:rPr>
              <w:t>，支架基础及施工作业带0.5</w:t>
            </w:r>
            <w:r>
              <w:rPr>
                <w:rFonts w:cs="Times New Roman"/>
                <w:color w:val="auto"/>
              </w:rPr>
              <w:t xml:space="preserve"> hm²</w:t>
            </w:r>
            <w:r>
              <w:rPr>
                <w:rFonts w:hint="eastAsia" w:cs="Times New Roman"/>
                <w:color w:val="auto"/>
              </w:rPr>
              <w:t>，围栏基础及施工作业带0.37</w:t>
            </w:r>
            <w:r>
              <w:rPr>
                <w:rFonts w:cs="Times New Roman"/>
                <w:color w:val="auto"/>
              </w:rPr>
              <w:t xml:space="preserve"> hm²</w:t>
            </w:r>
            <w:r>
              <w:rPr>
                <w:rFonts w:hint="eastAsia" w:cs="Times New Roman"/>
                <w:color w:val="auto"/>
              </w:rPr>
              <w:t>，直埋线路0.86</w:t>
            </w:r>
            <w:r>
              <w:rPr>
                <w:rFonts w:cs="Times New Roman"/>
                <w:color w:val="auto"/>
              </w:rPr>
              <w:t xml:space="preserve"> hm²</w:t>
            </w:r>
            <w:r>
              <w:rPr>
                <w:rFonts w:hint="eastAsia" w:cs="Times New Roman"/>
                <w:color w:val="auto"/>
              </w:rPr>
              <w:t>，场外道路改扩建部分3.33</w:t>
            </w:r>
            <w:r>
              <w:rPr>
                <w:rFonts w:cs="Times New Roman"/>
                <w:color w:val="auto"/>
              </w:rPr>
              <w:t xml:space="preserve"> hm²</w:t>
            </w:r>
            <w:r>
              <w:rPr>
                <w:rFonts w:hint="eastAsia" w:cs="Times New Roman"/>
                <w:color w:val="auto"/>
              </w:rPr>
              <w:t>，场内道路改扩建部分0.62</w:t>
            </w:r>
            <w:r>
              <w:rPr>
                <w:rFonts w:cs="Times New Roman"/>
                <w:color w:val="auto"/>
              </w:rPr>
              <w:t xml:space="preserve"> hm²</w:t>
            </w:r>
            <w:r>
              <w:rPr>
                <w:rFonts w:hint="eastAsia" w:cs="Times New Roman"/>
                <w:color w:val="auto"/>
              </w:rPr>
              <w:t>，新建道路2.01</w:t>
            </w:r>
            <w:r>
              <w:rPr>
                <w:rFonts w:cs="Times New Roman"/>
                <w:color w:val="auto"/>
              </w:rPr>
              <w:t>hm²)。</w:t>
            </w:r>
          </w:p>
          <w:p w14:paraId="5A15C4F8">
            <w:pPr>
              <w:ind w:firstLine="480"/>
              <w:rPr>
                <w:rFonts w:cs="Times New Roman"/>
                <w:color w:val="auto"/>
              </w:rPr>
            </w:pPr>
            <w:r>
              <w:rPr>
                <w:rFonts w:cs="Times New Roman"/>
                <w:color w:val="auto"/>
              </w:rPr>
              <w:t>项目区按照占地类型划分</w:t>
            </w:r>
            <w:r>
              <w:rPr>
                <w:color w:val="auto"/>
              </w:rPr>
              <w:t>为园地</w:t>
            </w:r>
            <w:r>
              <w:rPr>
                <w:rFonts w:hint="eastAsia"/>
                <w:color w:val="auto"/>
              </w:rPr>
              <w:t>和</w:t>
            </w:r>
            <w:r>
              <w:rPr>
                <w:color w:val="auto"/>
              </w:rPr>
              <w:t>交通运输用地。</w:t>
            </w:r>
            <w:r>
              <w:rPr>
                <w:rFonts w:hint="eastAsia"/>
                <w:color w:val="auto"/>
              </w:rPr>
              <w:t>其中，园地</w:t>
            </w:r>
            <w:r>
              <w:rPr>
                <w:color w:val="auto"/>
              </w:rPr>
              <w:t>114.38</w:t>
            </w:r>
            <w:r>
              <w:rPr>
                <w:rFonts w:hint="eastAsia"/>
                <w:color w:val="auto"/>
              </w:rPr>
              <w:t>hm²，交通运输用地2.65hm²</w:t>
            </w:r>
            <w:r>
              <w:rPr>
                <w:color w:val="auto"/>
              </w:rPr>
              <w:t>。</w:t>
            </w:r>
          </w:p>
          <w:p w14:paraId="103241D4">
            <w:pPr>
              <w:pStyle w:val="63"/>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2.9</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项目占地类型及面积统计表   单位：hm²</w:t>
            </w:r>
          </w:p>
          <w:tbl>
            <w:tblPr>
              <w:tblStyle w:val="41"/>
              <w:tblW w:w="0" w:type="auto"/>
              <w:tblInd w:w="0" w:type="dxa"/>
              <w:tblLayout w:type="fixed"/>
              <w:tblCellMar>
                <w:top w:w="0" w:type="dxa"/>
                <w:left w:w="108" w:type="dxa"/>
                <w:bottom w:w="0" w:type="dxa"/>
                <w:right w:w="108" w:type="dxa"/>
              </w:tblCellMar>
            </w:tblPr>
            <w:tblGrid>
              <w:gridCol w:w="590"/>
              <w:gridCol w:w="1275"/>
              <w:gridCol w:w="821"/>
              <w:gridCol w:w="820"/>
              <w:gridCol w:w="820"/>
              <w:gridCol w:w="822"/>
              <w:gridCol w:w="820"/>
              <w:gridCol w:w="820"/>
              <w:gridCol w:w="822"/>
            </w:tblGrid>
            <w:tr w14:paraId="66C2A8D2">
              <w:tblPrEx>
                <w:tblCellMar>
                  <w:top w:w="0" w:type="dxa"/>
                  <w:left w:w="108" w:type="dxa"/>
                  <w:bottom w:w="0" w:type="dxa"/>
                  <w:right w:w="108" w:type="dxa"/>
                </w:tblCellMar>
              </w:tblPrEx>
              <w:trPr>
                <w:trHeight w:val="20" w:hRule="atLeast"/>
              </w:trPr>
              <w:tc>
                <w:tcPr>
                  <w:tcW w:w="1865" w:type="dxa"/>
                  <w:gridSpan w:val="2"/>
                  <w:vMerge w:val="restart"/>
                  <w:tcBorders>
                    <w:top w:val="single" w:color="auto" w:sz="4" w:space="0"/>
                    <w:left w:val="single" w:color="auto" w:sz="4" w:space="0"/>
                    <w:bottom w:val="single" w:color="auto" w:sz="4" w:space="0"/>
                    <w:right w:val="single" w:color="auto" w:sz="4" w:space="0"/>
                  </w:tcBorders>
                  <w:vAlign w:val="center"/>
                </w:tcPr>
                <w:p w14:paraId="0F29BA8F">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项目分区</w:t>
                  </w:r>
                </w:p>
              </w:tc>
              <w:tc>
                <w:tcPr>
                  <w:tcW w:w="821" w:type="dxa"/>
                  <w:vMerge w:val="restart"/>
                  <w:tcBorders>
                    <w:top w:val="single" w:color="auto" w:sz="4" w:space="0"/>
                    <w:left w:val="single" w:color="auto" w:sz="4" w:space="0"/>
                    <w:bottom w:val="single" w:color="auto" w:sz="4" w:space="0"/>
                    <w:right w:val="single" w:color="auto" w:sz="4" w:space="0"/>
                  </w:tcBorders>
                  <w:vAlign w:val="center"/>
                </w:tcPr>
                <w:p w14:paraId="4EE6C0C3">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占地面积</w:t>
                  </w:r>
                </w:p>
              </w:tc>
              <w:tc>
                <w:tcPr>
                  <w:tcW w:w="2462" w:type="dxa"/>
                  <w:gridSpan w:val="3"/>
                  <w:tcBorders>
                    <w:top w:val="single" w:color="auto" w:sz="4" w:space="0"/>
                    <w:left w:val="nil"/>
                    <w:bottom w:val="single" w:color="auto" w:sz="4" w:space="0"/>
                    <w:right w:val="single" w:color="auto" w:sz="4" w:space="0"/>
                  </w:tcBorders>
                  <w:vAlign w:val="center"/>
                </w:tcPr>
                <w:p w14:paraId="057DD741">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占地类型</w:t>
                  </w:r>
                </w:p>
              </w:tc>
              <w:tc>
                <w:tcPr>
                  <w:tcW w:w="2462" w:type="dxa"/>
                  <w:gridSpan w:val="3"/>
                  <w:tcBorders>
                    <w:top w:val="single" w:color="auto" w:sz="4" w:space="0"/>
                    <w:left w:val="nil"/>
                    <w:bottom w:val="single" w:color="auto" w:sz="4" w:space="0"/>
                    <w:right w:val="single" w:color="auto" w:sz="4" w:space="0"/>
                  </w:tcBorders>
                  <w:vAlign w:val="center"/>
                </w:tcPr>
                <w:p w14:paraId="47B786FE">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占地性质</w:t>
                  </w:r>
                </w:p>
              </w:tc>
            </w:tr>
            <w:tr w14:paraId="432B9F97">
              <w:tblPrEx>
                <w:tblCellMar>
                  <w:top w:w="0" w:type="dxa"/>
                  <w:left w:w="108" w:type="dxa"/>
                  <w:bottom w:w="0" w:type="dxa"/>
                  <w:right w:w="108" w:type="dxa"/>
                </w:tblCellMar>
              </w:tblPrEx>
              <w:trPr>
                <w:trHeight w:val="276" w:hRule="atLeast"/>
              </w:trPr>
              <w:tc>
                <w:tcPr>
                  <w:tcW w:w="1865" w:type="dxa"/>
                  <w:gridSpan w:val="2"/>
                  <w:vMerge w:val="continue"/>
                  <w:tcBorders>
                    <w:top w:val="single" w:color="auto" w:sz="4" w:space="0"/>
                    <w:left w:val="single" w:color="auto" w:sz="4" w:space="0"/>
                    <w:bottom w:val="single" w:color="auto" w:sz="4" w:space="0"/>
                    <w:right w:val="single" w:color="auto" w:sz="4" w:space="0"/>
                  </w:tcBorders>
                  <w:vAlign w:val="center"/>
                </w:tcPr>
                <w:p w14:paraId="54D3655E">
                  <w:pPr>
                    <w:widowControl/>
                    <w:spacing w:line="240" w:lineRule="auto"/>
                    <w:ind w:firstLine="0" w:firstLineChars="0"/>
                    <w:jc w:val="center"/>
                    <w:rPr>
                      <w:rFonts w:cs="Times New Roman"/>
                      <w:b/>
                      <w:bCs/>
                      <w:color w:val="auto"/>
                      <w:kern w:val="0"/>
                      <w:sz w:val="21"/>
                      <w:szCs w:val="21"/>
                    </w:rPr>
                  </w:pPr>
                </w:p>
              </w:tc>
              <w:tc>
                <w:tcPr>
                  <w:tcW w:w="821" w:type="dxa"/>
                  <w:vMerge w:val="continue"/>
                  <w:tcBorders>
                    <w:top w:val="single" w:color="auto" w:sz="4" w:space="0"/>
                    <w:left w:val="single" w:color="auto" w:sz="4" w:space="0"/>
                    <w:bottom w:val="single" w:color="auto" w:sz="4" w:space="0"/>
                    <w:right w:val="single" w:color="auto" w:sz="4" w:space="0"/>
                  </w:tcBorders>
                  <w:vAlign w:val="center"/>
                </w:tcPr>
                <w:p w14:paraId="4CE4A243">
                  <w:pPr>
                    <w:widowControl/>
                    <w:spacing w:line="240" w:lineRule="auto"/>
                    <w:ind w:firstLine="0" w:firstLineChars="0"/>
                    <w:jc w:val="center"/>
                    <w:rPr>
                      <w:rFonts w:cs="Times New Roman"/>
                      <w:b/>
                      <w:bCs/>
                      <w:color w:val="auto"/>
                      <w:kern w:val="0"/>
                      <w:sz w:val="21"/>
                      <w:szCs w:val="21"/>
                    </w:rPr>
                  </w:pPr>
                </w:p>
              </w:tc>
              <w:tc>
                <w:tcPr>
                  <w:tcW w:w="820" w:type="dxa"/>
                  <w:vMerge w:val="restart"/>
                  <w:tcBorders>
                    <w:top w:val="nil"/>
                    <w:left w:val="single" w:color="auto" w:sz="4" w:space="0"/>
                    <w:bottom w:val="single" w:color="auto" w:sz="4" w:space="0"/>
                    <w:right w:val="single" w:color="auto" w:sz="4" w:space="0"/>
                  </w:tcBorders>
                  <w:vAlign w:val="center"/>
                </w:tcPr>
                <w:p w14:paraId="7A31B961">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园地</w:t>
                  </w:r>
                </w:p>
              </w:tc>
              <w:tc>
                <w:tcPr>
                  <w:tcW w:w="820" w:type="dxa"/>
                  <w:vMerge w:val="restart"/>
                  <w:tcBorders>
                    <w:top w:val="nil"/>
                    <w:left w:val="single" w:color="auto" w:sz="4" w:space="0"/>
                    <w:bottom w:val="single" w:color="auto" w:sz="4" w:space="0"/>
                    <w:right w:val="single" w:color="auto" w:sz="4" w:space="0"/>
                  </w:tcBorders>
                  <w:vAlign w:val="center"/>
                </w:tcPr>
                <w:p w14:paraId="60A1C4A8">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交通运输用地</w:t>
                  </w:r>
                </w:p>
              </w:tc>
              <w:tc>
                <w:tcPr>
                  <w:tcW w:w="822" w:type="dxa"/>
                  <w:vMerge w:val="restart"/>
                  <w:tcBorders>
                    <w:top w:val="nil"/>
                    <w:left w:val="single" w:color="auto" w:sz="4" w:space="0"/>
                    <w:bottom w:val="single" w:color="auto" w:sz="4" w:space="0"/>
                    <w:right w:val="single" w:color="auto" w:sz="4" w:space="0"/>
                  </w:tcBorders>
                  <w:vAlign w:val="center"/>
                </w:tcPr>
                <w:p w14:paraId="39025C24">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合计</w:t>
                  </w:r>
                </w:p>
              </w:tc>
              <w:tc>
                <w:tcPr>
                  <w:tcW w:w="820" w:type="dxa"/>
                  <w:vMerge w:val="restart"/>
                  <w:tcBorders>
                    <w:top w:val="nil"/>
                    <w:left w:val="single" w:color="auto" w:sz="4" w:space="0"/>
                    <w:bottom w:val="single" w:color="auto" w:sz="4" w:space="0"/>
                    <w:right w:val="single" w:color="auto" w:sz="4" w:space="0"/>
                  </w:tcBorders>
                  <w:vAlign w:val="center"/>
                </w:tcPr>
                <w:p w14:paraId="2A959544">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永久占地</w:t>
                  </w:r>
                </w:p>
              </w:tc>
              <w:tc>
                <w:tcPr>
                  <w:tcW w:w="820" w:type="dxa"/>
                  <w:vMerge w:val="restart"/>
                  <w:tcBorders>
                    <w:top w:val="nil"/>
                    <w:left w:val="single" w:color="auto" w:sz="4" w:space="0"/>
                    <w:bottom w:val="single" w:color="auto" w:sz="4" w:space="0"/>
                    <w:right w:val="single" w:color="auto" w:sz="4" w:space="0"/>
                  </w:tcBorders>
                  <w:vAlign w:val="center"/>
                </w:tcPr>
                <w:p w14:paraId="478C106B">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临时占地</w:t>
                  </w:r>
                </w:p>
              </w:tc>
              <w:tc>
                <w:tcPr>
                  <w:tcW w:w="822" w:type="dxa"/>
                  <w:vMerge w:val="restart"/>
                  <w:tcBorders>
                    <w:top w:val="nil"/>
                    <w:left w:val="single" w:color="auto" w:sz="4" w:space="0"/>
                    <w:bottom w:val="single" w:color="auto" w:sz="4" w:space="0"/>
                    <w:right w:val="single" w:color="auto" w:sz="4" w:space="0"/>
                  </w:tcBorders>
                  <w:vAlign w:val="center"/>
                </w:tcPr>
                <w:p w14:paraId="635EB3FB">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合计</w:t>
                  </w:r>
                </w:p>
              </w:tc>
            </w:tr>
            <w:tr w14:paraId="34951CF9">
              <w:tblPrEx>
                <w:tblCellMar>
                  <w:top w:w="0" w:type="dxa"/>
                  <w:left w:w="108" w:type="dxa"/>
                  <w:bottom w:w="0" w:type="dxa"/>
                  <w:right w:w="108" w:type="dxa"/>
                </w:tblCellMar>
              </w:tblPrEx>
              <w:trPr>
                <w:trHeight w:val="20" w:hRule="atLeast"/>
              </w:trPr>
              <w:tc>
                <w:tcPr>
                  <w:tcW w:w="590" w:type="dxa"/>
                  <w:tcBorders>
                    <w:top w:val="nil"/>
                    <w:left w:val="single" w:color="auto" w:sz="4" w:space="0"/>
                    <w:bottom w:val="single" w:color="auto" w:sz="4" w:space="0"/>
                    <w:right w:val="single" w:color="auto" w:sz="4" w:space="0"/>
                  </w:tcBorders>
                  <w:vAlign w:val="center"/>
                </w:tcPr>
                <w:p w14:paraId="7B9643E9">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一级分区</w:t>
                  </w:r>
                </w:p>
              </w:tc>
              <w:tc>
                <w:tcPr>
                  <w:tcW w:w="1275" w:type="dxa"/>
                  <w:tcBorders>
                    <w:top w:val="nil"/>
                    <w:left w:val="nil"/>
                    <w:bottom w:val="single" w:color="auto" w:sz="4" w:space="0"/>
                    <w:right w:val="single" w:color="auto" w:sz="4" w:space="0"/>
                  </w:tcBorders>
                  <w:vAlign w:val="center"/>
                </w:tcPr>
                <w:p w14:paraId="4EB83C9A">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二级分区</w:t>
                  </w:r>
                </w:p>
              </w:tc>
              <w:tc>
                <w:tcPr>
                  <w:tcW w:w="821" w:type="dxa"/>
                  <w:vMerge w:val="continue"/>
                  <w:tcBorders>
                    <w:top w:val="single" w:color="auto" w:sz="4" w:space="0"/>
                    <w:left w:val="single" w:color="auto" w:sz="4" w:space="0"/>
                    <w:bottom w:val="single" w:color="auto" w:sz="4" w:space="0"/>
                    <w:right w:val="single" w:color="auto" w:sz="4" w:space="0"/>
                  </w:tcBorders>
                  <w:vAlign w:val="center"/>
                </w:tcPr>
                <w:p w14:paraId="0CF9BCA3">
                  <w:pPr>
                    <w:widowControl/>
                    <w:spacing w:line="240" w:lineRule="auto"/>
                    <w:ind w:firstLine="0" w:firstLineChars="0"/>
                    <w:jc w:val="center"/>
                    <w:rPr>
                      <w:rFonts w:cs="Times New Roman"/>
                      <w:b/>
                      <w:bCs/>
                      <w:color w:val="auto"/>
                      <w:kern w:val="0"/>
                      <w:sz w:val="21"/>
                      <w:szCs w:val="21"/>
                    </w:rPr>
                  </w:pPr>
                </w:p>
              </w:tc>
              <w:tc>
                <w:tcPr>
                  <w:tcW w:w="820" w:type="dxa"/>
                  <w:vMerge w:val="continue"/>
                  <w:tcBorders>
                    <w:top w:val="nil"/>
                    <w:left w:val="single" w:color="auto" w:sz="4" w:space="0"/>
                    <w:bottom w:val="single" w:color="auto" w:sz="4" w:space="0"/>
                    <w:right w:val="single" w:color="auto" w:sz="4" w:space="0"/>
                  </w:tcBorders>
                  <w:vAlign w:val="center"/>
                </w:tcPr>
                <w:p w14:paraId="63C660C6">
                  <w:pPr>
                    <w:widowControl/>
                    <w:spacing w:line="240" w:lineRule="auto"/>
                    <w:ind w:firstLine="0" w:firstLineChars="0"/>
                    <w:jc w:val="center"/>
                    <w:rPr>
                      <w:rFonts w:cs="Times New Roman"/>
                      <w:b/>
                      <w:bCs/>
                      <w:color w:val="auto"/>
                      <w:kern w:val="0"/>
                      <w:sz w:val="21"/>
                      <w:szCs w:val="21"/>
                    </w:rPr>
                  </w:pPr>
                </w:p>
              </w:tc>
              <w:tc>
                <w:tcPr>
                  <w:tcW w:w="820" w:type="dxa"/>
                  <w:vMerge w:val="continue"/>
                  <w:tcBorders>
                    <w:top w:val="nil"/>
                    <w:left w:val="single" w:color="auto" w:sz="4" w:space="0"/>
                    <w:bottom w:val="single" w:color="auto" w:sz="4" w:space="0"/>
                    <w:right w:val="single" w:color="auto" w:sz="4" w:space="0"/>
                  </w:tcBorders>
                  <w:vAlign w:val="center"/>
                </w:tcPr>
                <w:p w14:paraId="4C7B8889">
                  <w:pPr>
                    <w:widowControl/>
                    <w:spacing w:line="240" w:lineRule="auto"/>
                    <w:ind w:firstLine="0" w:firstLineChars="0"/>
                    <w:jc w:val="center"/>
                    <w:rPr>
                      <w:rFonts w:cs="Times New Roman"/>
                      <w:b/>
                      <w:bCs/>
                      <w:color w:val="auto"/>
                      <w:kern w:val="0"/>
                      <w:sz w:val="21"/>
                      <w:szCs w:val="21"/>
                    </w:rPr>
                  </w:pPr>
                </w:p>
              </w:tc>
              <w:tc>
                <w:tcPr>
                  <w:tcW w:w="822" w:type="dxa"/>
                  <w:vMerge w:val="continue"/>
                  <w:tcBorders>
                    <w:top w:val="nil"/>
                    <w:left w:val="single" w:color="auto" w:sz="4" w:space="0"/>
                    <w:bottom w:val="single" w:color="auto" w:sz="4" w:space="0"/>
                    <w:right w:val="single" w:color="auto" w:sz="4" w:space="0"/>
                  </w:tcBorders>
                  <w:vAlign w:val="center"/>
                </w:tcPr>
                <w:p w14:paraId="3A31CC3B">
                  <w:pPr>
                    <w:widowControl/>
                    <w:spacing w:line="240" w:lineRule="auto"/>
                    <w:ind w:firstLine="0" w:firstLineChars="0"/>
                    <w:jc w:val="center"/>
                    <w:rPr>
                      <w:rFonts w:cs="Times New Roman"/>
                      <w:b/>
                      <w:bCs/>
                      <w:color w:val="auto"/>
                      <w:kern w:val="0"/>
                      <w:sz w:val="21"/>
                      <w:szCs w:val="21"/>
                    </w:rPr>
                  </w:pPr>
                </w:p>
              </w:tc>
              <w:tc>
                <w:tcPr>
                  <w:tcW w:w="820" w:type="dxa"/>
                  <w:vMerge w:val="continue"/>
                  <w:tcBorders>
                    <w:top w:val="nil"/>
                    <w:left w:val="single" w:color="auto" w:sz="4" w:space="0"/>
                    <w:bottom w:val="single" w:color="auto" w:sz="4" w:space="0"/>
                    <w:right w:val="single" w:color="auto" w:sz="4" w:space="0"/>
                  </w:tcBorders>
                  <w:vAlign w:val="center"/>
                </w:tcPr>
                <w:p w14:paraId="2374D2D2">
                  <w:pPr>
                    <w:widowControl/>
                    <w:spacing w:line="240" w:lineRule="auto"/>
                    <w:ind w:firstLine="0" w:firstLineChars="0"/>
                    <w:jc w:val="center"/>
                    <w:rPr>
                      <w:rFonts w:cs="Times New Roman"/>
                      <w:b/>
                      <w:bCs/>
                      <w:color w:val="auto"/>
                      <w:kern w:val="0"/>
                      <w:sz w:val="21"/>
                      <w:szCs w:val="21"/>
                    </w:rPr>
                  </w:pPr>
                </w:p>
              </w:tc>
              <w:tc>
                <w:tcPr>
                  <w:tcW w:w="820" w:type="dxa"/>
                  <w:vMerge w:val="continue"/>
                  <w:tcBorders>
                    <w:top w:val="nil"/>
                    <w:left w:val="single" w:color="auto" w:sz="4" w:space="0"/>
                    <w:bottom w:val="single" w:color="auto" w:sz="4" w:space="0"/>
                    <w:right w:val="single" w:color="auto" w:sz="4" w:space="0"/>
                  </w:tcBorders>
                  <w:vAlign w:val="center"/>
                </w:tcPr>
                <w:p w14:paraId="53C87E88">
                  <w:pPr>
                    <w:widowControl/>
                    <w:spacing w:line="240" w:lineRule="auto"/>
                    <w:ind w:firstLine="0" w:firstLineChars="0"/>
                    <w:jc w:val="center"/>
                    <w:rPr>
                      <w:rFonts w:cs="Times New Roman"/>
                      <w:b/>
                      <w:bCs/>
                      <w:color w:val="auto"/>
                      <w:kern w:val="0"/>
                      <w:sz w:val="21"/>
                      <w:szCs w:val="21"/>
                    </w:rPr>
                  </w:pPr>
                </w:p>
              </w:tc>
              <w:tc>
                <w:tcPr>
                  <w:tcW w:w="822" w:type="dxa"/>
                  <w:vMerge w:val="continue"/>
                  <w:tcBorders>
                    <w:top w:val="nil"/>
                    <w:left w:val="single" w:color="auto" w:sz="4" w:space="0"/>
                    <w:bottom w:val="single" w:color="auto" w:sz="4" w:space="0"/>
                    <w:right w:val="single" w:color="auto" w:sz="4" w:space="0"/>
                  </w:tcBorders>
                  <w:vAlign w:val="center"/>
                </w:tcPr>
                <w:p w14:paraId="4DAB02BE">
                  <w:pPr>
                    <w:widowControl/>
                    <w:spacing w:line="240" w:lineRule="auto"/>
                    <w:ind w:firstLine="0" w:firstLineChars="0"/>
                    <w:jc w:val="center"/>
                    <w:rPr>
                      <w:rFonts w:cs="Times New Roman"/>
                      <w:b/>
                      <w:bCs/>
                      <w:color w:val="auto"/>
                      <w:kern w:val="0"/>
                      <w:sz w:val="21"/>
                      <w:szCs w:val="21"/>
                    </w:rPr>
                  </w:pPr>
                </w:p>
              </w:tc>
            </w:tr>
            <w:tr w14:paraId="735318E0">
              <w:tblPrEx>
                <w:tblCellMar>
                  <w:top w:w="0" w:type="dxa"/>
                  <w:left w:w="108" w:type="dxa"/>
                  <w:bottom w:w="0" w:type="dxa"/>
                  <w:right w:w="108" w:type="dxa"/>
                </w:tblCellMar>
              </w:tblPrEx>
              <w:trPr>
                <w:trHeight w:val="510" w:hRule="atLeast"/>
              </w:trPr>
              <w:tc>
                <w:tcPr>
                  <w:tcW w:w="590" w:type="dxa"/>
                  <w:vMerge w:val="restart"/>
                  <w:tcBorders>
                    <w:top w:val="nil"/>
                    <w:left w:val="single" w:color="auto" w:sz="4" w:space="0"/>
                    <w:bottom w:val="single" w:color="auto" w:sz="4" w:space="0"/>
                    <w:right w:val="single" w:color="auto" w:sz="4" w:space="0"/>
                  </w:tcBorders>
                  <w:vAlign w:val="center"/>
                </w:tcPr>
                <w:p w14:paraId="5785502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光伏阵列区</w:t>
                  </w:r>
                </w:p>
              </w:tc>
              <w:tc>
                <w:tcPr>
                  <w:tcW w:w="1275" w:type="dxa"/>
                  <w:tcBorders>
                    <w:top w:val="nil"/>
                    <w:left w:val="nil"/>
                    <w:bottom w:val="single" w:color="auto" w:sz="4" w:space="0"/>
                    <w:right w:val="single" w:color="auto" w:sz="4" w:space="0"/>
                  </w:tcBorders>
                  <w:vAlign w:val="center"/>
                </w:tcPr>
                <w:p w14:paraId="3060BDE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光伏场区</w:t>
                  </w:r>
                </w:p>
              </w:tc>
              <w:tc>
                <w:tcPr>
                  <w:tcW w:w="821" w:type="dxa"/>
                  <w:tcBorders>
                    <w:top w:val="nil"/>
                    <w:left w:val="nil"/>
                    <w:bottom w:val="single" w:color="auto" w:sz="4" w:space="0"/>
                    <w:right w:val="single" w:color="auto" w:sz="4" w:space="0"/>
                  </w:tcBorders>
                  <w:noWrap/>
                  <w:vAlign w:val="center"/>
                </w:tcPr>
                <w:p w14:paraId="0A617F8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109.01</w:t>
                  </w:r>
                </w:p>
              </w:tc>
              <w:tc>
                <w:tcPr>
                  <w:tcW w:w="820" w:type="dxa"/>
                  <w:tcBorders>
                    <w:top w:val="nil"/>
                    <w:left w:val="nil"/>
                    <w:bottom w:val="single" w:color="auto" w:sz="4" w:space="0"/>
                    <w:right w:val="single" w:color="auto" w:sz="4" w:space="0"/>
                  </w:tcBorders>
                  <w:noWrap/>
                  <w:vAlign w:val="center"/>
                </w:tcPr>
                <w:p w14:paraId="59659A7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109.01</w:t>
                  </w:r>
                </w:p>
              </w:tc>
              <w:tc>
                <w:tcPr>
                  <w:tcW w:w="820" w:type="dxa"/>
                  <w:tcBorders>
                    <w:top w:val="nil"/>
                    <w:left w:val="nil"/>
                    <w:bottom w:val="single" w:color="auto" w:sz="4" w:space="0"/>
                    <w:right w:val="single" w:color="auto" w:sz="4" w:space="0"/>
                  </w:tcBorders>
                  <w:vAlign w:val="center"/>
                </w:tcPr>
                <w:p w14:paraId="29E35A7D">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2" w:type="dxa"/>
                  <w:tcBorders>
                    <w:top w:val="nil"/>
                    <w:left w:val="nil"/>
                    <w:bottom w:val="single" w:color="auto" w:sz="4" w:space="0"/>
                    <w:right w:val="single" w:color="auto" w:sz="4" w:space="0"/>
                  </w:tcBorders>
                  <w:noWrap/>
                  <w:vAlign w:val="center"/>
                </w:tcPr>
                <w:p w14:paraId="12133B0A">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109.01</w:t>
                  </w:r>
                </w:p>
              </w:tc>
              <w:tc>
                <w:tcPr>
                  <w:tcW w:w="820" w:type="dxa"/>
                  <w:tcBorders>
                    <w:top w:val="nil"/>
                    <w:left w:val="nil"/>
                    <w:bottom w:val="single" w:color="auto" w:sz="4" w:space="0"/>
                    <w:right w:val="single" w:color="auto" w:sz="4" w:space="0"/>
                  </w:tcBorders>
                  <w:vAlign w:val="center"/>
                </w:tcPr>
                <w:p w14:paraId="06CCA90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0" w:type="dxa"/>
                  <w:tcBorders>
                    <w:top w:val="nil"/>
                    <w:left w:val="nil"/>
                    <w:bottom w:val="single" w:color="auto" w:sz="4" w:space="0"/>
                    <w:right w:val="single" w:color="auto" w:sz="4" w:space="0"/>
                  </w:tcBorders>
                  <w:noWrap/>
                  <w:vAlign w:val="center"/>
                </w:tcPr>
                <w:p w14:paraId="747C51F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109.01</w:t>
                  </w:r>
                </w:p>
              </w:tc>
              <w:tc>
                <w:tcPr>
                  <w:tcW w:w="822" w:type="dxa"/>
                  <w:tcBorders>
                    <w:top w:val="nil"/>
                    <w:left w:val="nil"/>
                    <w:bottom w:val="single" w:color="auto" w:sz="4" w:space="0"/>
                    <w:right w:val="single" w:color="auto" w:sz="4" w:space="0"/>
                  </w:tcBorders>
                  <w:noWrap/>
                  <w:vAlign w:val="center"/>
                </w:tcPr>
                <w:p w14:paraId="60608EC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109.01</w:t>
                  </w:r>
                </w:p>
              </w:tc>
            </w:tr>
            <w:tr w14:paraId="2D312463">
              <w:tblPrEx>
                <w:tblCellMar>
                  <w:top w:w="0" w:type="dxa"/>
                  <w:left w:w="108" w:type="dxa"/>
                  <w:bottom w:w="0" w:type="dxa"/>
                  <w:right w:w="108" w:type="dxa"/>
                </w:tblCellMar>
              </w:tblPrEx>
              <w:trPr>
                <w:trHeight w:val="510" w:hRule="atLeast"/>
              </w:trPr>
              <w:tc>
                <w:tcPr>
                  <w:tcW w:w="590" w:type="dxa"/>
                  <w:vMerge w:val="continue"/>
                  <w:tcBorders>
                    <w:top w:val="nil"/>
                    <w:left w:val="single" w:color="auto" w:sz="4" w:space="0"/>
                    <w:bottom w:val="single" w:color="auto" w:sz="4" w:space="0"/>
                    <w:right w:val="single" w:color="auto" w:sz="4" w:space="0"/>
                  </w:tcBorders>
                  <w:vAlign w:val="center"/>
                </w:tcPr>
                <w:p w14:paraId="55EE3160">
                  <w:pPr>
                    <w:widowControl/>
                    <w:spacing w:line="240" w:lineRule="auto"/>
                    <w:ind w:firstLine="0" w:firstLineChars="0"/>
                    <w:jc w:val="center"/>
                    <w:rPr>
                      <w:rFonts w:cs="Times New Roman"/>
                      <w:color w:val="auto"/>
                      <w:kern w:val="0"/>
                      <w:sz w:val="21"/>
                      <w:szCs w:val="21"/>
                    </w:rPr>
                  </w:pPr>
                </w:p>
              </w:tc>
              <w:tc>
                <w:tcPr>
                  <w:tcW w:w="1275" w:type="dxa"/>
                  <w:tcBorders>
                    <w:top w:val="nil"/>
                    <w:left w:val="nil"/>
                    <w:bottom w:val="single" w:color="auto" w:sz="4" w:space="0"/>
                    <w:right w:val="single" w:color="auto" w:sz="4" w:space="0"/>
                  </w:tcBorders>
                  <w:vAlign w:val="center"/>
                </w:tcPr>
                <w:p w14:paraId="2DE90E36">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支架基础及施工作业带</w:t>
                  </w:r>
                </w:p>
              </w:tc>
              <w:tc>
                <w:tcPr>
                  <w:tcW w:w="821" w:type="dxa"/>
                  <w:tcBorders>
                    <w:top w:val="nil"/>
                    <w:left w:val="nil"/>
                    <w:bottom w:val="single" w:color="auto" w:sz="4" w:space="0"/>
                    <w:right w:val="single" w:color="auto" w:sz="4" w:space="0"/>
                  </w:tcBorders>
                  <w:vAlign w:val="center"/>
                </w:tcPr>
                <w:p w14:paraId="60D2FB6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0.5</w:t>
                  </w:r>
                </w:p>
              </w:tc>
              <w:tc>
                <w:tcPr>
                  <w:tcW w:w="820" w:type="dxa"/>
                  <w:tcBorders>
                    <w:top w:val="nil"/>
                    <w:left w:val="nil"/>
                    <w:bottom w:val="single" w:color="auto" w:sz="4" w:space="0"/>
                    <w:right w:val="single" w:color="auto" w:sz="4" w:space="0"/>
                  </w:tcBorders>
                  <w:vAlign w:val="center"/>
                </w:tcPr>
                <w:p w14:paraId="19031A00">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0.5</w:t>
                  </w:r>
                </w:p>
              </w:tc>
              <w:tc>
                <w:tcPr>
                  <w:tcW w:w="820" w:type="dxa"/>
                  <w:tcBorders>
                    <w:top w:val="nil"/>
                    <w:left w:val="nil"/>
                    <w:bottom w:val="single" w:color="auto" w:sz="4" w:space="0"/>
                    <w:right w:val="single" w:color="auto" w:sz="4" w:space="0"/>
                  </w:tcBorders>
                  <w:vAlign w:val="center"/>
                </w:tcPr>
                <w:p w14:paraId="2709305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2" w:type="dxa"/>
                  <w:tcBorders>
                    <w:top w:val="nil"/>
                    <w:left w:val="nil"/>
                    <w:bottom w:val="single" w:color="auto" w:sz="4" w:space="0"/>
                    <w:right w:val="single" w:color="auto" w:sz="4" w:space="0"/>
                  </w:tcBorders>
                  <w:vAlign w:val="center"/>
                </w:tcPr>
                <w:p w14:paraId="2690583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0.5</w:t>
                  </w:r>
                </w:p>
              </w:tc>
              <w:tc>
                <w:tcPr>
                  <w:tcW w:w="820" w:type="dxa"/>
                  <w:tcBorders>
                    <w:top w:val="nil"/>
                    <w:left w:val="nil"/>
                    <w:bottom w:val="single" w:color="auto" w:sz="4" w:space="0"/>
                    <w:right w:val="single" w:color="auto" w:sz="4" w:space="0"/>
                  </w:tcBorders>
                  <w:vAlign w:val="center"/>
                </w:tcPr>
                <w:p w14:paraId="0A9605D0">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0" w:type="dxa"/>
                  <w:tcBorders>
                    <w:top w:val="nil"/>
                    <w:left w:val="nil"/>
                    <w:bottom w:val="single" w:color="auto" w:sz="4" w:space="0"/>
                    <w:right w:val="single" w:color="auto" w:sz="4" w:space="0"/>
                  </w:tcBorders>
                  <w:vAlign w:val="center"/>
                </w:tcPr>
                <w:p w14:paraId="3869B46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0.5</w:t>
                  </w:r>
                </w:p>
              </w:tc>
              <w:tc>
                <w:tcPr>
                  <w:tcW w:w="822" w:type="dxa"/>
                  <w:tcBorders>
                    <w:top w:val="nil"/>
                    <w:left w:val="nil"/>
                    <w:bottom w:val="single" w:color="auto" w:sz="4" w:space="0"/>
                    <w:right w:val="single" w:color="auto" w:sz="4" w:space="0"/>
                  </w:tcBorders>
                  <w:vAlign w:val="center"/>
                </w:tcPr>
                <w:p w14:paraId="4A39F9C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0.5</w:t>
                  </w:r>
                </w:p>
              </w:tc>
            </w:tr>
            <w:tr w14:paraId="610600E7">
              <w:tblPrEx>
                <w:tblCellMar>
                  <w:top w:w="0" w:type="dxa"/>
                  <w:left w:w="108" w:type="dxa"/>
                  <w:bottom w:w="0" w:type="dxa"/>
                  <w:right w:w="108" w:type="dxa"/>
                </w:tblCellMar>
              </w:tblPrEx>
              <w:trPr>
                <w:trHeight w:val="510" w:hRule="atLeast"/>
              </w:trPr>
              <w:tc>
                <w:tcPr>
                  <w:tcW w:w="590" w:type="dxa"/>
                  <w:vMerge w:val="continue"/>
                  <w:tcBorders>
                    <w:top w:val="nil"/>
                    <w:left w:val="single" w:color="auto" w:sz="4" w:space="0"/>
                    <w:bottom w:val="single" w:color="auto" w:sz="4" w:space="0"/>
                    <w:right w:val="single" w:color="auto" w:sz="4" w:space="0"/>
                  </w:tcBorders>
                  <w:vAlign w:val="center"/>
                </w:tcPr>
                <w:p w14:paraId="514DA78E">
                  <w:pPr>
                    <w:widowControl/>
                    <w:spacing w:line="240" w:lineRule="auto"/>
                    <w:ind w:firstLine="0" w:firstLineChars="0"/>
                    <w:jc w:val="center"/>
                    <w:rPr>
                      <w:rFonts w:cs="Times New Roman"/>
                      <w:color w:val="auto"/>
                      <w:kern w:val="0"/>
                      <w:sz w:val="21"/>
                      <w:szCs w:val="21"/>
                    </w:rPr>
                  </w:pPr>
                </w:p>
              </w:tc>
              <w:tc>
                <w:tcPr>
                  <w:tcW w:w="1275" w:type="dxa"/>
                  <w:tcBorders>
                    <w:top w:val="nil"/>
                    <w:left w:val="nil"/>
                    <w:bottom w:val="single" w:color="auto" w:sz="4" w:space="0"/>
                    <w:right w:val="single" w:color="auto" w:sz="4" w:space="0"/>
                  </w:tcBorders>
                  <w:vAlign w:val="center"/>
                </w:tcPr>
                <w:p w14:paraId="2B21D84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围栏基础及施工作业带</w:t>
                  </w:r>
                </w:p>
              </w:tc>
              <w:tc>
                <w:tcPr>
                  <w:tcW w:w="821" w:type="dxa"/>
                  <w:tcBorders>
                    <w:top w:val="nil"/>
                    <w:left w:val="nil"/>
                    <w:bottom w:val="single" w:color="auto" w:sz="4" w:space="0"/>
                    <w:right w:val="single" w:color="auto" w:sz="4" w:space="0"/>
                  </w:tcBorders>
                  <w:vAlign w:val="center"/>
                </w:tcPr>
                <w:p w14:paraId="4C726ED6">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0.37</w:t>
                  </w:r>
                </w:p>
              </w:tc>
              <w:tc>
                <w:tcPr>
                  <w:tcW w:w="820" w:type="dxa"/>
                  <w:tcBorders>
                    <w:top w:val="nil"/>
                    <w:left w:val="nil"/>
                    <w:bottom w:val="single" w:color="auto" w:sz="4" w:space="0"/>
                    <w:right w:val="single" w:color="auto" w:sz="4" w:space="0"/>
                  </w:tcBorders>
                  <w:vAlign w:val="center"/>
                </w:tcPr>
                <w:p w14:paraId="5D12E22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0.37</w:t>
                  </w:r>
                </w:p>
              </w:tc>
              <w:tc>
                <w:tcPr>
                  <w:tcW w:w="820" w:type="dxa"/>
                  <w:tcBorders>
                    <w:top w:val="nil"/>
                    <w:left w:val="nil"/>
                    <w:bottom w:val="single" w:color="auto" w:sz="4" w:space="0"/>
                    <w:right w:val="single" w:color="auto" w:sz="4" w:space="0"/>
                  </w:tcBorders>
                  <w:vAlign w:val="center"/>
                </w:tcPr>
                <w:p w14:paraId="387BE1C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2" w:type="dxa"/>
                  <w:tcBorders>
                    <w:top w:val="nil"/>
                    <w:left w:val="nil"/>
                    <w:bottom w:val="single" w:color="auto" w:sz="4" w:space="0"/>
                    <w:right w:val="single" w:color="auto" w:sz="4" w:space="0"/>
                  </w:tcBorders>
                  <w:vAlign w:val="center"/>
                </w:tcPr>
                <w:p w14:paraId="0390FAF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0.37</w:t>
                  </w:r>
                </w:p>
              </w:tc>
              <w:tc>
                <w:tcPr>
                  <w:tcW w:w="820" w:type="dxa"/>
                  <w:tcBorders>
                    <w:top w:val="nil"/>
                    <w:left w:val="nil"/>
                    <w:bottom w:val="single" w:color="auto" w:sz="4" w:space="0"/>
                    <w:right w:val="single" w:color="auto" w:sz="4" w:space="0"/>
                  </w:tcBorders>
                  <w:vAlign w:val="center"/>
                </w:tcPr>
                <w:p w14:paraId="6BF98D2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0" w:type="dxa"/>
                  <w:tcBorders>
                    <w:top w:val="nil"/>
                    <w:left w:val="nil"/>
                    <w:bottom w:val="single" w:color="auto" w:sz="4" w:space="0"/>
                    <w:right w:val="single" w:color="auto" w:sz="4" w:space="0"/>
                  </w:tcBorders>
                  <w:vAlign w:val="center"/>
                </w:tcPr>
                <w:p w14:paraId="5FA8274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0.37</w:t>
                  </w:r>
                </w:p>
              </w:tc>
              <w:tc>
                <w:tcPr>
                  <w:tcW w:w="822" w:type="dxa"/>
                  <w:tcBorders>
                    <w:top w:val="nil"/>
                    <w:left w:val="nil"/>
                    <w:bottom w:val="single" w:color="auto" w:sz="4" w:space="0"/>
                    <w:right w:val="single" w:color="auto" w:sz="4" w:space="0"/>
                  </w:tcBorders>
                  <w:vAlign w:val="center"/>
                </w:tcPr>
                <w:p w14:paraId="50F84F46">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0.37</w:t>
                  </w:r>
                </w:p>
              </w:tc>
            </w:tr>
            <w:tr w14:paraId="326361BE">
              <w:tblPrEx>
                <w:tblCellMar>
                  <w:top w:w="0" w:type="dxa"/>
                  <w:left w:w="108" w:type="dxa"/>
                  <w:bottom w:w="0" w:type="dxa"/>
                  <w:right w:w="108" w:type="dxa"/>
                </w:tblCellMar>
              </w:tblPrEx>
              <w:trPr>
                <w:trHeight w:val="510" w:hRule="atLeast"/>
              </w:trPr>
              <w:tc>
                <w:tcPr>
                  <w:tcW w:w="590" w:type="dxa"/>
                  <w:vMerge w:val="continue"/>
                  <w:tcBorders>
                    <w:top w:val="nil"/>
                    <w:left w:val="single" w:color="auto" w:sz="4" w:space="0"/>
                    <w:bottom w:val="single" w:color="auto" w:sz="4" w:space="0"/>
                    <w:right w:val="single" w:color="auto" w:sz="4" w:space="0"/>
                  </w:tcBorders>
                  <w:vAlign w:val="center"/>
                </w:tcPr>
                <w:p w14:paraId="3E5D7AE8">
                  <w:pPr>
                    <w:widowControl/>
                    <w:spacing w:line="240" w:lineRule="auto"/>
                    <w:ind w:firstLine="0" w:firstLineChars="0"/>
                    <w:jc w:val="center"/>
                    <w:rPr>
                      <w:rFonts w:cs="Times New Roman"/>
                      <w:color w:val="auto"/>
                      <w:kern w:val="0"/>
                      <w:sz w:val="21"/>
                      <w:szCs w:val="21"/>
                    </w:rPr>
                  </w:pPr>
                </w:p>
              </w:tc>
              <w:tc>
                <w:tcPr>
                  <w:tcW w:w="1275" w:type="dxa"/>
                  <w:tcBorders>
                    <w:top w:val="nil"/>
                    <w:left w:val="nil"/>
                    <w:bottom w:val="single" w:color="auto" w:sz="4" w:space="0"/>
                    <w:right w:val="single" w:color="auto" w:sz="4" w:space="0"/>
                  </w:tcBorders>
                  <w:vAlign w:val="center"/>
                </w:tcPr>
                <w:p w14:paraId="2340D9B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箱变及电缆分接箱基础</w:t>
                  </w:r>
                </w:p>
              </w:tc>
              <w:tc>
                <w:tcPr>
                  <w:tcW w:w="821" w:type="dxa"/>
                  <w:tcBorders>
                    <w:top w:val="nil"/>
                    <w:left w:val="nil"/>
                    <w:bottom w:val="single" w:color="auto" w:sz="4" w:space="0"/>
                    <w:right w:val="single" w:color="auto" w:sz="4" w:space="0"/>
                  </w:tcBorders>
                  <w:vAlign w:val="center"/>
                </w:tcPr>
                <w:p w14:paraId="09ED2D9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0.06</w:t>
                  </w:r>
                </w:p>
              </w:tc>
              <w:tc>
                <w:tcPr>
                  <w:tcW w:w="820" w:type="dxa"/>
                  <w:tcBorders>
                    <w:top w:val="nil"/>
                    <w:left w:val="nil"/>
                    <w:bottom w:val="single" w:color="auto" w:sz="4" w:space="0"/>
                    <w:right w:val="single" w:color="auto" w:sz="4" w:space="0"/>
                  </w:tcBorders>
                  <w:vAlign w:val="center"/>
                </w:tcPr>
                <w:p w14:paraId="6AFB4AE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0.06</w:t>
                  </w:r>
                </w:p>
              </w:tc>
              <w:tc>
                <w:tcPr>
                  <w:tcW w:w="820" w:type="dxa"/>
                  <w:tcBorders>
                    <w:top w:val="nil"/>
                    <w:left w:val="nil"/>
                    <w:bottom w:val="single" w:color="auto" w:sz="4" w:space="0"/>
                    <w:right w:val="single" w:color="auto" w:sz="4" w:space="0"/>
                  </w:tcBorders>
                  <w:vAlign w:val="center"/>
                </w:tcPr>
                <w:p w14:paraId="4575779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2" w:type="dxa"/>
                  <w:tcBorders>
                    <w:top w:val="nil"/>
                    <w:left w:val="nil"/>
                    <w:bottom w:val="single" w:color="auto" w:sz="4" w:space="0"/>
                    <w:right w:val="single" w:color="auto" w:sz="4" w:space="0"/>
                  </w:tcBorders>
                  <w:vAlign w:val="center"/>
                </w:tcPr>
                <w:p w14:paraId="467945C0">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0.06</w:t>
                  </w:r>
                </w:p>
              </w:tc>
              <w:tc>
                <w:tcPr>
                  <w:tcW w:w="820" w:type="dxa"/>
                  <w:tcBorders>
                    <w:top w:val="nil"/>
                    <w:left w:val="nil"/>
                    <w:bottom w:val="single" w:color="auto" w:sz="4" w:space="0"/>
                    <w:right w:val="single" w:color="auto" w:sz="4" w:space="0"/>
                  </w:tcBorders>
                  <w:vAlign w:val="center"/>
                </w:tcPr>
                <w:p w14:paraId="3575C08D">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0.06</w:t>
                  </w:r>
                </w:p>
              </w:tc>
              <w:tc>
                <w:tcPr>
                  <w:tcW w:w="820" w:type="dxa"/>
                  <w:tcBorders>
                    <w:top w:val="nil"/>
                    <w:left w:val="nil"/>
                    <w:bottom w:val="single" w:color="auto" w:sz="4" w:space="0"/>
                    <w:right w:val="single" w:color="auto" w:sz="4" w:space="0"/>
                  </w:tcBorders>
                  <w:vAlign w:val="center"/>
                </w:tcPr>
                <w:p w14:paraId="0168A6F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2" w:type="dxa"/>
                  <w:tcBorders>
                    <w:top w:val="nil"/>
                    <w:left w:val="nil"/>
                    <w:bottom w:val="single" w:color="auto" w:sz="4" w:space="0"/>
                    <w:right w:val="single" w:color="auto" w:sz="4" w:space="0"/>
                  </w:tcBorders>
                  <w:vAlign w:val="center"/>
                </w:tcPr>
                <w:p w14:paraId="26DAC92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0.06</w:t>
                  </w:r>
                </w:p>
              </w:tc>
            </w:tr>
            <w:tr w14:paraId="05EF5292">
              <w:tblPrEx>
                <w:tblCellMar>
                  <w:top w:w="0" w:type="dxa"/>
                  <w:left w:w="108" w:type="dxa"/>
                  <w:bottom w:w="0" w:type="dxa"/>
                  <w:right w:w="108" w:type="dxa"/>
                </w:tblCellMar>
              </w:tblPrEx>
              <w:trPr>
                <w:trHeight w:val="510" w:hRule="atLeast"/>
              </w:trPr>
              <w:tc>
                <w:tcPr>
                  <w:tcW w:w="590" w:type="dxa"/>
                  <w:vMerge w:val="continue"/>
                  <w:tcBorders>
                    <w:top w:val="nil"/>
                    <w:left w:val="single" w:color="auto" w:sz="4" w:space="0"/>
                    <w:bottom w:val="single" w:color="auto" w:sz="4" w:space="0"/>
                    <w:right w:val="single" w:color="auto" w:sz="4" w:space="0"/>
                  </w:tcBorders>
                  <w:vAlign w:val="center"/>
                </w:tcPr>
                <w:p w14:paraId="29A97813">
                  <w:pPr>
                    <w:widowControl/>
                    <w:spacing w:line="240" w:lineRule="auto"/>
                    <w:ind w:firstLine="0" w:firstLineChars="0"/>
                    <w:jc w:val="center"/>
                    <w:rPr>
                      <w:rFonts w:cs="Times New Roman"/>
                      <w:color w:val="auto"/>
                      <w:kern w:val="0"/>
                      <w:sz w:val="21"/>
                      <w:szCs w:val="21"/>
                    </w:rPr>
                  </w:pPr>
                </w:p>
              </w:tc>
              <w:tc>
                <w:tcPr>
                  <w:tcW w:w="1275" w:type="dxa"/>
                  <w:tcBorders>
                    <w:top w:val="nil"/>
                    <w:left w:val="nil"/>
                    <w:bottom w:val="single" w:color="auto" w:sz="4" w:space="0"/>
                    <w:right w:val="single" w:color="auto" w:sz="4" w:space="0"/>
                  </w:tcBorders>
                  <w:vAlign w:val="center"/>
                </w:tcPr>
                <w:p w14:paraId="65703C04">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小计</w:t>
                  </w:r>
                </w:p>
              </w:tc>
              <w:tc>
                <w:tcPr>
                  <w:tcW w:w="821" w:type="dxa"/>
                  <w:tcBorders>
                    <w:top w:val="nil"/>
                    <w:left w:val="nil"/>
                    <w:bottom w:val="single" w:color="auto" w:sz="4" w:space="0"/>
                    <w:right w:val="single" w:color="auto" w:sz="4" w:space="0"/>
                  </w:tcBorders>
                  <w:vAlign w:val="center"/>
                </w:tcPr>
                <w:p w14:paraId="1DBB561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109.94</w:t>
                  </w:r>
                </w:p>
              </w:tc>
              <w:tc>
                <w:tcPr>
                  <w:tcW w:w="820" w:type="dxa"/>
                  <w:tcBorders>
                    <w:top w:val="nil"/>
                    <w:left w:val="nil"/>
                    <w:bottom w:val="single" w:color="auto" w:sz="4" w:space="0"/>
                    <w:right w:val="single" w:color="auto" w:sz="4" w:space="0"/>
                  </w:tcBorders>
                  <w:noWrap/>
                  <w:vAlign w:val="center"/>
                </w:tcPr>
                <w:p w14:paraId="36E33A80">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109.94</w:t>
                  </w:r>
                </w:p>
              </w:tc>
              <w:tc>
                <w:tcPr>
                  <w:tcW w:w="820" w:type="dxa"/>
                  <w:tcBorders>
                    <w:top w:val="nil"/>
                    <w:left w:val="nil"/>
                    <w:bottom w:val="single" w:color="auto" w:sz="4" w:space="0"/>
                    <w:right w:val="single" w:color="auto" w:sz="4" w:space="0"/>
                  </w:tcBorders>
                  <w:vAlign w:val="center"/>
                </w:tcPr>
                <w:p w14:paraId="4648218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2" w:type="dxa"/>
                  <w:tcBorders>
                    <w:top w:val="nil"/>
                    <w:left w:val="nil"/>
                    <w:bottom w:val="single" w:color="auto" w:sz="4" w:space="0"/>
                    <w:right w:val="single" w:color="auto" w:sz="4" w:space="0"/>
                  </w:tcBorders>
                  <w:noWrap/>
                  <w:vAlign w:val="center"/>
                </w:tcPr>
                <w:p w14:paraId="583B40D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109.94</w:t>
                  </w:r>
                </w:p>
              </w:tc>
              <w:tc>
                <w:tcPr>
                  <w:tcW w:w="820" w:type="dxa"/>
                  <w:tcBorders>
                    <w:top w:val="nil"/>
                    <w:left w:val="nil"/>
                    <w:bottom w:val="single" w:color="auto" w:sz="4" w:space="0"/>
                    <w:right w:val="single" w:color="auto" w:sz="4" w:space="0"/>
                  </w:tcBorders>
                  <w:noWrap/>
                  <w:vAlign w:val="center"/>
                </w:tcPr>
                <w:p w14:paraId="74342BAF">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0.06</w:t>
                  </w:r>
                </w:p>
              </w:tc>
              <w:tc>
                <w:tcPr>
                  <w:tcW w:w="820" w:type="dxa"/>
                  <w:tcBorders>
                    <w:top w:val="nil"/>
                    <w:left w:val="nil"/>
                    <w:bottom w:val="single" w:color="auto" w:sz="4" w:space="0"/>
                    <w:right w:val="single" w:color="auto" w:sz="4" w:space="0"/>
                  </w:tcBorders>
                  <w:noWrap/>
                  <w:vAlign w:val="center"/>
                </w:tcPr>
                <w:p w14:paraId="107CCAC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109.88</w:t>
                  </w:r>
                </w:p>
              </w:tc>
              <w:tc>
                <w:tcPr>
                  <w:tcW w:w="822" w:type="dxa"/>
                  <w:tcBorders>
                    <w:top w:val="nil"/>
                    <w:left w:val="nil"/>
                    <w:bottom w:val="single" w:color="auto" w:sz="4" w:space="0"/>
                    <w:right w:val="single" w:color="auto" w:sz="4" w:space="0"/>
                  </w:tcBorders>
                  <w:noWrap/>
                  <w:vAlign w:val="center"/>
                </w:tcPr>
                <w:p w14:paraId="1E7B942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109.94</w:t>
                  </w:r>
                </w:p>
              </w:tc>
            </w:tr>
            <w:tr w14:paraId="2A2F23D4">
              <w:tblPrEx>
                <w:tblCellMar>
                  <w:top w:w="0" w:type="dxa"/>
                  <w:left w:w="108" w:type="dxa"/>
                  <w:bottom w:w="0" w:type="dxa"/>
                  <w:right w:w="108" w:type="dxa"/>
                </w:tblCellMar>
              </w:tblPrEx>
              <w:trPr>
                <w:trHeight w:val="510" w:hRule="atLeast"/>
              </w:trPr>
              <w:tc>
                <w:tcPr>
                  <w:tcW w:w="590" w:type="dxa"/>
                  <w:vMerge w:val="restart"/>
                  <w:tcBorders>
                    <w:top w:val="nil"/>
                    <w:left w:val="single" w:color="auto" w:sz="4" w:space="0"/>
                    <w:bottom w:val="single" w:color="auto" w:sz="4" w:space="0"/>
                    <w:right w:val="single" w:color="auto" w:sz="4" w:space="0"/>
                  </w:tcBorders>
                  <w:vAlign w:val="center"/>
                </w:tcPr>
                <w:p w14:paraId="493F599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集电线路工程区</w:t>
                  </w:r>
                </w:p>
              </w:tc>
              <w:tc>
                <w:tcPr>
                  <w:tcW w:w="1275" w:type="dxa"/>
                  <w:tcBorders>
                    <w:top w:val="nil"/>
                    <w:left w:val="nil"/>
                    <w:bottom w:val="single" w:color="auto" w:sz="4" w:space="0"/>
                    <w:right w:val="single" w:color="auto" w:sz="4" w:space="0"/>
                  </w:tcBorders>
                  <w:vAlign w:val="center"/>
                </w:tcPr>
                <w:p w14:paraId="1E5C082A">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直埋线路</w:t>
                  </w:r>
                </w:p>
              </w:tc>
              <w:tc>
                <w:tcPr>
                  <w:tcW w:w="821" w:type="dxa"/>
                  <w:tcBorders>
                    <w:top w:val="nil"/>
                    <w:left w:val="nil"/>
                    <w:bottom w:val="single" w:color="auto" w:sz="4" w:space="0"/>
                    <w:right w:val="single" w:color="auto" w:sz="4" w:space="0"/>
                  </w:tcBorders>
                  <w:vAlign w:val="center"/>
                </w:tcPr>
                <w:p w14:paraId="4BB1E9B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0.86</w:t>
                  </w:r>
                </w:p>
              </w:tc>
              <w:tc>
                <w:tcPr>
                  <w:tcW w:w="820" w:type="dxa"/>
                  <w:tcBorders>
                    <w:top w:val="nil"/>
                    <w:left w:val="nil"/>
                    <w:bottom w:val="single" w:color="auto" w:sz="4" w:space="0"/>
                    <w:right w:val="single" w:color="auto" w:sz="4" w:space="0"/>
                  </w:tcBorders>
                  <w:vAlign w:val="center"/>
                </w:tcPr>
                <w:p w14:paraId="036086CD">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0.86</w:t>
                  </w:r>
                </w:p>
              </w:tc>
              <w:tc>
                <w:tcPr>
                  <w:tcW w:w="820" w:type="dxa"/>
                  <w:tcBorders>
                    <w:top w:val="nil"/>
                    <w:left w:val="nil"/>
                    <w:bottom w:val="single" w:color="auto" w:sz="4" w:space="0"/>
                    <w:right w:val="single" w:color="auto" w:sz="4" w:space="0"/>
                  </w:tcBorders>
                  <w:vAlign w:val="center"/>
                </w:tcPr>
                <w:p w14:paraId="29200E1D">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2" w:type="dxa"/>
                  <w:tcBorders>
                    <w:top w:val="nil"/>
                    <w:left w:val="nil"/>
                    <w:bottom w:val="single" w:color="auto" w:sz="4" w:space="0"/>
                    <w:right w:val="single" w:color="auto" w:sz="4" w:space="0"/>
                  </w:tcBorders>
                  <w:vAlign w:val="center"/>
                </w:tcPr>
                <w:p w14:paraId="4DCA256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0.86</w:t>
                  </w:r>
                </w:p>
              </w:tc>
              <w:tc>
                <w:tcPr>
                  <w:tcW w:w="820" w:type="dxa"/>
                  <w:tcBorders>
                    <w:top w:val="nil"/>
                    <w:left w:val="nil"/>
                    <w:bottom w:val="single" w:color="auto" w:sz="4" w:space="0"/>
                    <w:right w:val="single" w:color="auto" w:sz="4" w:space="0"/>
                  </w:tcBorders>
                  <w:vAlign w:val="center"/>
                </w:tcPr>
                <w:p w14:paraId="5F08F8F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0" w:type="dxa"/>
                  <w:tcBorders>
                    <w:top w:val="nil"/>
                    <w:left w:val="nil"/>
                    <w:bottom w:val="single" w:color="auto" w:sz="4" w:space="0"/>
                    <w:right w:val="single" w:color="auto" w:sz="4" w:space="0"/>
                  </w:tcBorders>
                  <w:vAlign w:val="center"/>
                </w:tcPr>
                <w:p w14:paraId="7643154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0.86</w:t>
                  </w:r>
                </w:p>
              </w:tc>
              <w:tc>
                <w:tcPr>
                  <w:tcW w:w="822" w:type="dxa"/>
                  <w:tcBorders>
                    <w:top w:val="nil"/>
                    <w:left w:val="nil"/>
                    <w:bottom w:val="single" w:color="auto" w:sz="4" w:space="0"/>
                    <w:right w:val="single" w:color="auto" w:sz="4" w:space="0"/>
                  </w:tcBorders>
                  <w:vAlign w:val="center"/>
                </w:tcPr>
                <w:p w14:paraId="069556C9">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0.86</w:t>
                  </w:r>
                </w:p>
              </w:tc>
            </w:tr>
            <w:tr w14:paraId="37D0FC6F">
              <w:tblPrEx>
                <w:tblCellMar>
                  <w:top w:w="0" w:type="dxa"/>
                  <w:left w:w="108" w:type="dxa"/>
                  <w:bottom w:w="0" w:type="dxa"/>
                  <w:right w:w="108" w:type="dxa"/>
                </w:tblCellMar>
              </w:tblPrEx>
              <w:trPr>
                <w:trHeight w:val="510" w:hRule="atLeast"/>
              </w:trPr>
              <w:tc>
                <w:tcPr>
                  <w:tcW w:w="590" w:type="dxa"/>
                  <w:vMerge w:val="continue"/>
                  <w:tcBorders>
                    <w:top w:val="nil"/>
                    <w:left w:val="single" w:color="auto" w:sz="4" w:space="0"/>
                    <w:bottom w:val="single" w:color="auto" w:sz="4" w:space="0"/>
                    <w:right w:val="single" w:color="auto" w:sz="4" w:space="0"/>
                  </w:tcBorders>
                  <w:vAlign w:val="center"/>
                </w:tcPr>
                <w:p w14:paraId="6D7E4871">
                  <w:pPr>
                    <w:widowControl/>
                    <w:spacing w:line="240" w:lineRule="auto"/>
                    <w:ind w:firstLine="0" w:firstLineChars="0"/>
                    <w:jc w:val="center"/>
                    <w:rPr>
                      <w:rFonts w:cs="Times New Roman"/>
                      <w:color w:val="auto"/>
                      <w:kern w:val="0"/>
                      <w:sz w:val="21"/>
                      <w:szCs w:val="21"/>
                    </w:rPr>
                  </w:pPr>
                </w:p>
              </w:tc>
              <w:tc>
                <w:tcPr>
                  <w:tcW w:w="1275" w:type="dxa"/>
                  <w:tcBorders>
                    <w:top w:val="nil"/>
                    <w:left w:val="nil"/>
                    <w:bottom w:val="single" w:color="auto" w:sz="4" w:space="0"/>
                    <w:right w:val="single" w:color="auto" w:sz="4" w:space="0"/>
                  </w:tcBorders>
                  <w:vAlign w:val="center"/>
                </w:tcPr>
                <w:p w14:paraId="20ADFB6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架空线路</w:t>
                  </w:r>
                </w:p>
              </w:tc>
              <w:tc>
                <w:tcPr>
                  <w:tcW w:w="821" w:type="dxa"/>
                  <w:tcBorders>
                    <w:top w:val="nil"/>
                    <w:left w:val="nil"/>
                    <w:bottom w:val="single" w:color="auto" w:sz="4" w:space="0"/>
                    <w:right w:val="single" w:color="auto" w:sz="4" w:space="0"/>
                  </w:tcBorders>
                  <w:vAlign w:val="center"/>
                </w:tcPr>
                <w:p w14:paraId="4D919A7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0.22</w:t>
                  </w:r>
                </w:p>
              </w:tc>
              <w:tc>
                <w:tcPr>
                  <w:tcW w:w="820" w:type="dxa"/>
                  <w:tcBorders>
                    <w:top w:val="nil"/>
                    <w:left w:val="nil"/>
                    <w:bottom w:val="single" w:color="auto" w:sz="4" w:space="0"/>
                    <w:right w:val="single" w:color="auto" w:sz="4" w:space="0"/>
                  </w:tcBorders>
                  <w:vAlign w:val="center"/>
                </w:tcPr>
                <w:p w14:paraId="65DFCC7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0.22</w:t>
                  </w:r>
                </w:p>
              </w:tc>
              <w:tc>
                <w:tcPr>
                  <w:tcW w:w="820" w:type="dxa"/>
                  <w:tcBorders>
                    <w:top w:val="nil"/>
                    <w:left w:val="nil"/>
                    <w:bottom w:val="single" w:color="auto" w:sz="4" w:space="0"/>
                    <w:right w:val="single" w:color="auto" w:sz="4" w:space="0"/>
                  </w:tcBorders>
                  <w:vAlign w:val="center"/>
                </w:tcPr>
                <w:p w14:paraId="55B3565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2" w:type="dxa"/>
                  <w:tcBorders>
                    <w:top w:val="nil"/>
                    <w:left w:val="nil"/>
                    <w:bottom w:val="single" w:color="auto" w:sz="4" w:space="0"/>
                    <w:right w:val="single" w:color="auto" w:sz="4" w:space="0"/>
                  </w:tcBorders>
                  <w:vAlign w:val="center"/>
                </w:tcPr>
                <w:p w14:paraId="5C03CCB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0.22</w:t>
                  </w:r>
                </w:p>
              </w:tc>
              <w:tc>
                <w:tcPr>
                  <w:tcW w:w="820" w:type="dxa"/>
                  <w:tcBorders>
                    <w:top w:val="nil"/>
                    <w:left w:val="nil"/>
                    <w:bottom w:val="single" w:color="auto" w:sz="4" w:space="0"/>
                    <w:right w:val="single" w:color="auto" w:sz="4" w:space="0"/>
                  </w:tcBorders>
                  <w:vAlign w:val="center"/>
                </w:tcPr>
                <w:p w14:paraId="18D0D65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0.22</w:t>
                  </w:r>
                </w:p>
              </w:tc>
              <w:tc>
                <w:tcPr>
                  <w:tcW w:w="820" w:type="dxa"/>
                  <w:tcBorders>
                    <w:top w:val="nil"/>
                    <w:left w:val="nil"/>
                    <w:bottom w:val="single" w:color="auto" w:sz="4" w:space="0"/>
                    <w:right w:val="single" w:color="auto" w:sz="4" w:space="0"/>
                  </w:tcBorders>
                  <w:vAlign w:val="center"/>
                </w:tcPr>
                <w:p w14:paraId="1EBC270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2" w:type="dxa"/>
                  <w:tcBorders>
                    <w:top w:val="nil"/>
                    <w:left w:val="nil"/>
                    <w:bottom w:val="single" w:color="auto" w:sz="4" w:space="0"/>
                    <w:right w:val="single" w:color="auto" w:sz="4" w:space="0"/>
                  </w:tcBorders>
                  <w:vAlign w:val="center"/>
                </w:tcPr>
                <w:p w14:paraId="33329D80">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0.22</w:t>
                  </w:r>
                </w:p>
              </w:tc>
            </w:tr>
            <w:tr w14:paraId="739FBBF5">
              <w:tblPrEx>
                <w:tblCellMar>
                  <w:top w:w="0" w:type="dxa"/>
                  <w:left w:w="108" w:type="dxa"/>
                  <w:bottom w:w="0" w:type="dxa"/>
                  <w:right w:w="108" w:type="dxa"/>
                </w:tblCellMar>
              </w:tblPrEx>
              <w:trPr>
                <w:trHeight w:val="510" w:hRule="atLeast"/>
              </w:trPr>
              <w:tc>
                <w:tcPr>
                  <w:tcW w:w="590" w:type="dxa"/>
                  <w:vMerge w:val="continue"/>
                  <w:tcBorders>
                    <w:top w:val="nil"/>
                    <w:left w:val="single" w:color="auto" w:sz="4" w:space="0"/>
                    <w:bottom w:val="single" w:color="auto" w:sz="4" w:space="0"/>
                    <w:right w:val="single" w:color="auto" w:sz="4" w:space="0"/>
                  </w:tcBorders>
                  <w:vAlign w:val="center"/>
                </w:tcPr>
                <w:p w14:paraId="67710C5B">
                  <w:pPr>
                    <w:widowControl/>
                    <w:spacing w:line="240" w:lineRule="auto"/>
                    <w:ind w:firstLine="0" w:firstLineChars="0"/>
                    <w:jc w:val="center"/>
                    <w:rPr>
                      <w:rFonts w:cs="Times New Roman"/>
                      <w:color w:val="auto"/>
                      <w:kern w:val="0"/>
                      <w:sz w:val="21"/>
                      <w:szCs w:val="21"/>
                    </w:rPr>
                  </w:pPr>
                </w:p>
              </w:tc>
              <w:tc>
                <w:tcPr>
                  <w:tcW w:w="1275" w:type="dxa"/>
                  <w:tcBorders>
                    <w:top w:val="nil"/>
                    <w:left w:val="nil"/>
                    <w:bottom w:val="single" w:color="auto" w:sz="4" w:space="0"/>
                    <w:right w:val="single" w:color="auto" w:sz="4" w:space="0"/>
                  </w:tcBorders>
                  <w:vAlign w:val="center"/>
                </w:tcPr>
                <w:p w14:paraId="76F3FDAF">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小计</w:t>
                  </w:r>
                </w:p>
              </w:tc>
              <w:tc>
                <w:tcPr>
                  <w:tcW w:w="821" w:type="dxa"/>
                  <w:tcBorders>
                    <w:top w:val="nil"/>
                    <w:left w:val="nil"/>
                    <w:bottom w:val="single" w:color="auto" w:sz="4" w:space="0"/>
                    <w:right w:val="single" w:color="auto" w:sz="4" w:space="0"/>
                  </w:tcBorders>
                  <w:vAlign w:val="center"/>
                </w:tcPr>
                <w:p w14:paraId="095821BB">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1.08</w:t>
                  </w:r>
                </w:p>
              </w:tc>
              <w:tc>
                <w:tcPr>
                  <w:tcW w:w="820" w:type="dxa"/>
                  <w:tcBorders>
                    <w:top w:val="nil"/>
                    <w:left w:val="nil"/>
                    <w:bottom w:val="single" w:color="auto" w:sz="4" w:space="0"/>
                    <w:right w:val="single" w:color="auto" w:sz="4" w:space="0"/>
                  </w:tcBorders>
                  <w:vAlign w:val="center"/>
                </w:tcPr>
                <w:p w14:paraId="1512BFDA">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1.08</w:t>
                  </w:r>
                </w:p>
              </w:tc>
              <w:tc>
                <w:tcPr>
                  <w:tcW w:w="820" w:type="dxa"/>
                  <w:tcBorders>
                    <w:top w:val="nil"/>
                    <w:left w:val="nil"/>
                    <w:bottom w:val="single" w:color="auto" w:sz="4" w:space="0"/>
                    <w:right w:val="single" w:color="auto" w:sz="4" w:space="0"/>
                  </w:tcBorders>
                  <w:vAlign w:val="center"/>
                </w:tcPr>
                <w:p w14:paraId="0B56DB86">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w:t>
                  </w:r>
                </w:p>
              </w:tc>
              <w:tc>
                <w:tcPr>
                  <w:tcW w:w="822" w:type="dxa"/>
                  <w:tcBorders>
                    <w:top w:val="nil"/>
                    <w:left w:val="nil"/>
                    <w:bottom w:val="single" w:color="auto" w:sz="4" w:space="0"/>
                    <w:right w:val="single" w:color="auto" w:sz="4" w:space="0"/>
                  </w:tcBorders>
                  <w:vAlign w:val="center"/>
                </w:tcPr>
                <w:p w14:paraId="1E30688B">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1.08</w:t>
                  </w:r>
                </w:p>
              </w:tc>
              <w:tc>
                <w:tcPr>
                  <w:tcW w:w="820" w:type="dxa"/>
                  <w:tcBorders>
                    <w:top w:val="nil"/>
                    <w:left w:val="nil"/>
                    <w:bottom w:val="single" w:color="auto" w:sz="4" w:space="0"/>
                    <w:right w:val="single" w:color="auto" w:sz="4" w:space="0"/>
                  </w:tcBorders>
                  <w:vAlign w:val="center"/>
                </w:tcPr>
                <w:p w14:paraId="42274D33">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0</w:t>
                  </w:r>
                </w:p>
              </w:tc>
              <w:tc>
                <w:tcPr>
                  <w:tcW w:w="820" w:type="dxa"/>
                  <w:tcBorders>
                    <w:top w:val="nil"/>
                    <w:left w:val="nil"/>
                    <w:bottom w:val="single" w:color="auto" w:sz="4" w:space="0"/>
                    <w:right w:val="single" w:color="auto" w:sz="4" w:space="0"/>
                  </w:tcBorders>
                  <w:vAlign w:val="center"/>
                </w:tcPr>
                <w:p w14:paraId="78C979E9">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0.86</w:t>
                  </w:r>
                </w:p>
              </w:tc>
              <w:tc>
                <w:tcPr>
                  <w:tcW w:w="822" w:type="dxa"/>
                  <w:tcBorders>
                    <w:top w:val="nil"/>
                    <w:left w:val="nil"/>
                    <w:bottom w:val="single" w:color="auto" w:sz="4" w:space="0"/>
                    <w:right w:val="single" w:color="auto" w:sz="4" w:space="0"/>
                  </w:tcBorders>
                  <w:vAlign w:val="center"/>
                </w:tcPr>
                <w:p w14:paraId="6456DE6C">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0.86</w:t>
                  </w:r>
                </w:p>
              </w:tc>
            </w:tr>
            <w:tr w14:paraId="6BD2BB47">
              <w:tblPrEx>
                <w:tblCellMar>
                  <w:top w:w="0" w:type="dxa"/>
                  <w:left w:w="108" w:type="dxa"/>
                  <w:bottom w:w="0" w:type="dxa"/>
                  <w:right w:w="108" w:type="dxa"/>
                </w:tblCellMar>
              </w:tblPrEx>
              <w:trPr>
                <w:trHeight w:val="510" w:hRule="atLeast"/>
              </w:trPr>
              <w:tc>
                <w:tcPr>
                  <w:tcW w:w="590" w:type="dxa"/>
                  <w:vMerge w:val="restart"/>
                  <w:tcBorders>
                    <w:top w:val="nil"/>
                    <w:left w:val="single" w:color="auto" w:sz="4" w:space="0"/>
                    <w:bottom w:val="single" w:color="auto" w:sz="4" w:space="0"/>
                    <w:right w:val="single" w:color="auto" w:sz="4" w:space="0"/>
                  </w:tcBorders>
                  <w:vAlign w:val="center"/>
                </w:tcPr>
                <w:p w14:paraId="51FAA75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道路工程区</w:t>
                  </w:r>
                </w:p>
              </w:tc>
              <w:tc>
                <w:tcPr>
                  <w:tcW w:w="1275" w:type="dxa"/>
                  <w:tcBorders>
                    <w:top w:val="nil"/>
                    <w:left w:val="nil"/>
                    <w:bottom w:val="single" w:color="auto" w:sz="4" w:space="0"/>
                    <w:right w:val="single" w:color="auto" w:sz="4" w:space="0"/>
                  </w:tcBorders>
                  <w:vAlign w:val="center"/>
                </w:tcPr>
                <w:p w14:paraId="17F22F2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场外道路改扩建部分</w:t>
                  </w:r>
                </w:p>
              </w:tc>
              <w:tc>
                <w:tcPr>
                  <w:tcW w:w="821" w:type="dxa"/>
                  <w:tcBorders>
                    <w:top w:val="nil"/>
                    <w:left w:val="nil"/>
                    <w:bottom w:val="single" w:color="auto" w:sz="4" w:space="0"/>
                    <w:right w:val="single" w:color="auto" w:sz="4" w:space="0"/>
                  </w:tcBorders>
                  <w:vAlign w:val="center"/>
                </w:tcPr>
                <w:p w14:paraId="4107219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3.33</w:t>
                  </w:r>
                </w:p>
              </w:tc>
              <w:tc>
                <w:tcPr>
                  <w:tcW w:w="820" w:type="dxa"/>
                  <w:tcBorders>
                    <w:top w:val="nil"/>
                    <w:left w:val="nil"/>
                    <w:bottom w:val="single" w:color="auto" w:sz="4" w:space="0"/>
                    <w:right w:val="single" w:color="auto" w:sz="4" w:space="0"/>
                  </w:tcBorders>
                  <w:vAlign w:val="center"/>
                </w:tcPr>
                <w:p w14:paraId="49A0697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0.99</w:t>
                  </w:r>
                </w:p>
              </w:tc>
              <w:tc>
                <w:tcPr>
                  <w:tcW w:w="820" w:type="dxa"/>
                  <w:tcBorders>
                    <w:top w:val="nil"/>
                    <w:left w:val="nil"/>
                    <w:bottom w:val="single" w:color="auto" w:sz="4" w:space="0"/>
                    <w:right w:val="single" w:color="auto" w:sz="4" w:space="0"/>
                  </w:tcBorders>
                  <w:vAlign w:val="center"/>
                </w:tcPr>
                <w:p w14:paraId="29FA91E9">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2.34</w:t>
                  </w:r>
                </w:p>
              </w:tc>
              <w:tc>
                <w:tcPr>
                  <w:tcW w:w="822" w:type="dxa"/>
                  <w:tcBorders>
                    <w:top w:val="nil"/>
                    <w:left w:val="nil"/>
                    <w:bottom w:val="single" w:color="auto" w:sz="4" w:space="0"/>
                    <w:right w:val="single" w:color="auto" w:sz="4" w:space="0"/>
                  </w:tcBorders>
                  <w:vAlign w:val="center"/>
                </w:tcPr>
                <w:p w14:paraId="0CBC5A69">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3.33</w:t>
                  </w:r>
                </w:p>
              </w:tc>
              <w:tc>
                <w:tcPr>
                  <w:tcW w:w="820" w:type="dxa"/>
                  <w:tcBorders>
                    <w:top w:val="nil"/>
                    <w:left w:val="nil"/>
                    <w:bottom w:val="single" w:color="auto" w:sz="4" w:space="0"/>
                    <w:right w:val="single" w:color="auto" w:sz="4" w:space="0"/>
                  </w:tcBorders>
                  <w:vAlign w:val="center"/>
                </w:tcPr>
                <w:p w14:paraId="30E51B8D">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0.22</w:t>
                  </w:r>
                </w:p>
              </w:tc>
              <w:tc>
                <w:tcPr>
                  <w:tcW w:w="820" w:type="dxa"/>
                  <w:tcBorders>
                    <w:top w:val="nil"/>
                    <w:left w:val="nil"/>
                    <w:bottom w:val="single" w:color="auto" w:sz="4" w:space="0"/>
                    <w:right w:val="single" w:color="auto" w:sz="4" w:space="0"/>
                  </w:tcBorders>
                  <w:vAlign w:val="center"/>
                </w:tcPr>
                <w:p w14:paraId="605ECCE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3.33</w:t>
                  </w:r>
                </w:p>
              </w:tc>
              <w:tc>
                <w:tcPr>
                  <w:tcW w:w="822" w:type="dxa"/>
                  <w:tcBorders>
                    <w:top w:val="nil"/>
                    <w:left w:val="nil"/>
                    <w:bottom w:val="single" w:color="auto" w:sz="4" w:space="0"/>
                    <w:right w:val="single" w:color="auto" w:sz="4" w:space="0"/>
                  </w:tcBorders>
                  <w:vAlign w:val="center"/>
                </w:tcPr>
                <w:p w14:paraId="2FE7D49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3.33</w:t>
                  </w:r>
                </w:p>
              </w:tc>
            </w:tr>
            <w:tr w14:paraId="24F4436D">
              <w:tblPrEx>
                <w:tblCellMar>
                  <w:top w:w="0" w:type="dxa"/>
                  <w:left w:w="108" w:type="dxa"/>
                  <w:bottom w:w="0" w:type="dxa"/>
                  <w:right w:w="108" w:type="dxa"/>
                </w:tblCellMar>
              </w:tblPrEx>
              <w:trPr>
                <w:trHeight w:val="510" w:hRule="atLeast"/>
              </w:trPr>
              <w:tc>
                <w:tcPr>
                  <w:tcW w:w="590" w:type="dxa"/>
                  <w:vMerge w:val="continue"/>
                  <w:tcBorders>
                    <w:top w:val="nil"/>
                    <w:left w:val="single" w:color="auto" w:sz="4" w:space="0"/>
                    <w:bottom w:val="single" w:color="auto" w:sz="4" w:space="0"/>
                    <w:right w:val="single" w:color="auto" w:sz="4" w:space="0"/>
                  </w:tcBorders>
                  <w:vAlign w:val="center"/>
                </w:tcPr>
                <w:p w14:paraId="0E67959F">
                  <w:pPr>
                    <w:widowControl/>
                    <w:spacing w:line="240" w:lineRule="auto"/>
                    <w:ind w:firstLine="0" w:firstLineChars="0"/>
                    <w:jc w:val="center"/>
                    <w:rPr>
                      <w:rFonts w:cs="Times New Roman"/>
                      <w:color w:val="auto"/>
                      <w:kern w:val="0"/>
                      <w:sz w:val="21"/>
                      <w:szCs w:val="21"/>
                    </w:rPr>
                  </w:pPr>
                </w:p>
              </w:tc>
              <w:tc>
                <w:tcPr>
                  <w:tcW w:w="1275" w:type="dxa"/>
                  <w:tcBorders>
                    <w:top w:val="nil"/>
                    <w:left w:val="nil"/>
                    <w:bottom w:val="single" w:color="auto" w:sz="4" w:space="0"/>
                    <w:right w:val="single" w:color="auto" w:sz="4" w:space="0"/>
                  </w:tcBorders>
                  <w:vAlign w:val="center"/>
                </w:tcPr>
                <w:p w14:paraId="36E3ADEF">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场内道路改扩建部分</w:t>
                  </w:r>
                </w:p>
              </w:tc>
              <w:tc>
                <w:tcPr>
                  <w:tcW w:w="821" w:type="dxa"/>
                  <w:tcBorders>
                    <w:top w:val="nil"/>
                    <w:left w:val="nil"/>
                    <w:bottom w:val="single" w:color="auto" w:sz="4" w:space="0"/>
                    <w:right w:val="single" w:color="auto" w:sz="4" w:space="0"/>
                  </w:tcBorders>
                  <w:vAlign w:val="center"/>
                </w:tcPr>
                <w:p w14:paraId="5794740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0.62</w:t>
                  </w:r>
                </w:p>
              </w:tc>
              <w:tc>
                <w:tcPr>
                  <w:tcW w:w="820" w:type="dxa"/>
                  <w:tcBorders>
                    <w:top w:val="nil"/>
                    <w:left w:val="nil"/>
                    <w:bottom w:val="single" w:color="auto" w:sz="4" w:space="0"/>
                    <w:right w:val="single" w:color="auto" w:sz="4" w:space="0"/>
                  </w:tcBorders>
                  <w:vAlign w:val="center"/>
                </w:tcPr>
                <w:p w14:paraId="75331D7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0.31</w:t>
                  </w:r>
                </w:p>
              </w:tc>
              <w:tc>
                <w:tcPr>
                  <w:tcW w:w="820" w:type="dxa"/>
                  <w:tcBorders>
                    <w:top w:val="nil"/>
                    <w:left w:val="nil"/>
                    <w:bottom w:val="single" w:color="auto" w:sz="4" w:space="0"/>
                    <w:right w:val="single" w:color="auto" w:sz="4" w:space="0"/>
                  </w:tcBorders>
                  <w:vAlign w:val="center"/>
                </w:tcPr>
                <w:p w14:paraId="44FDFC34">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0.31</w:t>
                  </w:r>
                </w:p>
              </w:tc>
              <w:tc>
                <w:tcPr>
                  <w:tcW w:w="822" w:type="dxa"/>
                  <w:tcBorders>
                    <w:top w:val="nil"/>
                    <w:left w:val="nil"/>
                    <w:bottom w:val="single" w:color="auto" w:sz="4" w:space="0"/>
                    <w:right w:val="single" w:color="auto" w:sz="4" w:space="0"/>
                  </w:tcBorders>
                  <w:vAlign w:val="center"/>
                </w:tcPr>
                <w:p w14:paraId="5EC1238A">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0.62</w:t>
                  </w:r>
                </w:p>
              </w:tc>
              <w:tc>
                <w:tcPr>
                  <w:tcW w:w="820" w:type="dxa"/>
                  <w:tcBorders>
                    <w:top w:val="nil"/>
                    <w:left w:val="nil"/>
                    <w:bottom w:val="single" w:color="auto" w:sz="4" w:space="0"/>
                    <w:right w:val="single" w:color="auto" w:sz="4" w:space="0"/>
                  </w:tcBorders>
                  <w:vAlign w:val="center"/>
                </w:tcPr>
                <w:p w14:paraId="327D5E5E">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0" w:type="dxa"/>
                  <w:tcBorders>
                    <w:top w:val="nil"/>
                    <w:left w:val="nil"/>
                    <w:bottom w:val="single" w:color="auto" w:sz="4" w:space="0"/>
                    <w:right w:val="single" w:color="auto" w:sz="4" w:space="0"/>
                  </w:tcBorders>
                  <w:vAlign w:val="center"/>
                </w:tcPr>
                <w:p w14:paraId="0E9A11F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0.62</w:t>
                  </w:r>
                </w:p>
              </w:tc>
              <w:tc>
                <w:tcPr>
                  <w:tcW w:w="822" w:type="dxa"/>
                  <w:tcBorders>
                    <w:top w:val="nil"/>
                    <w:left w:val="nil"/>
                    <w:bottom w:val="single" w:color="auto" w:sz="4" w:space="0"/>
                    <w:right w:val="single" w:color="auto" w:sz="4" w:space="0"/>
                  </w:tcBorders>
                  <w:vAlign w:val="center"/>
                </w:tcPr>
                <w:p w14:paraId="47AF2391">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0.62</w:t>
                  </w:r>
                </w:p>
              </w:tc>
            </w:tr>
            <w:tr w14:paraId="59A14638">
              <w:tblPrEx>
                <w:tblCellMar>
                  <w:top w:w="0" w:type="dxa"/>
                  <w:left w:w="108" w:type="dxa"/>
                  <w:bottom w:w="0" w:type="dxa"/>
                  <w:right w:w="108" w:type="dxa"/>
                </w:tblCellMar>
              </w:tblPrEx>
              <w:trPr>
                <w:trHeight w:val="510" w:hRule="atLeast"/>
              </w:trPr>
              <w:tc>
                <w:tcPr>
                  <w:tcW w:w="590" w:type="dxa"/>
                  <w:vMerge w:val="continue"/>
                  <w:tcBorders>
                    <w:top w:val="nil"/>
                    <w:left w:val="single" w:color="auto" w:sz="4" w:space="0"/>
                    <w:bottom w:val="single" w:color="auto" w:sz="4" w:space="0"/>
                    <w:right w:val="single" w:color="auto" w:sz="4" w:space="0"/>
                  </w:tcBorders>
                  <w:vAlign w:val="center"/>
                </w:tcPr>
                <w:p w14:paraId="49CB6698">
                  <w:pPr>
                    <w:widowControl/>
                    <w:spacing w:line="240" w:lineRule="auto"/>
                    <w:ind w:firstLine="0" w:firstLineChars="0"/>
                    <w:jc w:val="center"/>
                    <w:rPr>
                      <w:rFonts w:cs="Times New Roman"/>
                      <w:color w:val="auto"/>
                      <w:kern w:val="0"/>
                      <w:sz w:val="21"/>
                      <w:szCs w:val="21"/>
                    </w:rPr>
                  </w:pPr>
                </w:p>
              </w:tc>
              <w:tc>
                <w:tcPr>
                  <w:tcW w:w="1275" w:type="dxa"/>
                  <w:tcBorders>
                    <w:top w:val="nil"/>
                    <w:left w:val="nil"/>
                    <w:bottom w:val="single" w:color="auto" w:sz="4" w:space="0"/>
                    <w:right w:val="single" w:color="auto" w:sz="4" w:space="0"/>
                  </w:tcBorders>
                  <w:vAlign w:val="center"/>
                </w:tcPr>
                <w:p w14:paraId="1B2B9F5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新建道路</w:t>
                  </w:r>
                </w:p>
              </w:tc>
              <w:tc>
                <w:tcPr>
                  <w:tcW w:w="821" w:type="dxa"/>
                  <w:tcBorders>
                    <w:top w:val="nil"/>
                    <w:left w:val="nil"/>
                    <w:bottom w:val="single" w:color="auto" w:sz="4" w:space="0"/>
                    <w:right w:val="single" w:color="auto" w:sz="4" w:space="0"/>
                  </w:tcBorders>
                  <w:vAlign w:val="center"/>
                </w:tcPr>
                <w:p w14:paraId="738BFF4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w:t>
                  </w:r>
                </w:p>
              </w:tc>
              <w:tc>
                <w:tcPr>
                  <w:tcW w:w="820" w:type="dxa"/>
                  <w:tcBorders>
                    <w:top w:val="nil"/>
                    <w:left w:val="nil"/>
                    <w:bottom w:val="single" w:color="auto" w:sz="4" w:space="0"/>
                    <w:right w:val="single" w:color="auto" w:sz="4" w:space="0"/>
                  </w:tcBorders>
                  <w:vAlign w:val="center"/>
                </w:tcPr>
                <w:p w14:paraId="5CCD359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w:t>
                  </w:r>
                </w:p>
              </w:tc>
              <w:tc>
                <w:tcPr>
                  <w:tcW w:w="820" w:type="dxa"/>
                  <w:tcBorders>
                    <w:top w:val="nil"/>
                    <w:left w:val="nil"/>
                    <w:bottom w:val="single" w:color="auto" w:sz="4" w:space="0"/>
                    <w:right w:val="single" w:color="auto" w:sz="4" w:space="0"/>
                  </w:tcBorders>
                  <w:vAlign w:val="center"/>
                </w:tcPr>
                <w:p w14:paraId="478E946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2" w:type="dxa"/>
                  <w:tcBorders>
                    <w:top w:val="nil"/>
                    <w:left w:val="nil"/>
                    <w:bottom w:val="single" w:color="auto" w:sz="4" w:space="0"/>
                    <w:right w:val="single" w:color="auto" w:sz="4" w:space="0"/>
                  </w:tcBorders>
                  <w:vAlign w:val="center"/>
                </w:tcPr>
                <w:p w14:paraId="43DF775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w:t>
                  </w:r>
                </w:p>
              </w:tc>
              <w:tc>
                <w:tcPr>
                  <w:tcW w:w="820" w:type="dxa"/>
                  <w:tcBorders>
                    <w:top w:val="nil"/>
                    <w:left w:val="nil"/>
                    <w:bottom w:val="single" w:color="auto" w:sz="4" w:space="0"/>
                    <w:right w:val="single" w:color="auto" w:sz="4" w:space="0"/>
                  </w:tcBorders>
                  <w:vAlign w:val="center"/>
                </w:tcPr>
                <w:p w14:paraId="6EF1916D">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0" w:type="dxa"/>
                  <w:tcBorders>
                    <w:top w:val="nil"/>
                    <w:left w:val="nil"/>
                    <w:bottom w:val="single" w:color="auto" w:sz="4" w:space="0"/>
                    <w:right w:val="single" w:color="auto" w:sz="4" w:space="0"/>
                  </w:tcBorders>
                  <w:vAlign w:val="center"/>
                </w:tcPr>
                <w:p w14:paraId="4465007A">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w:t>
                  </w:r>
                </w:p>
              </w:tc>
              <w:tc>
                <w:tcPr>
                  <w:tcW w:w="822" w:type="dxa"/>
                  <w:tcBorders>
                    <w:top w:val="nil"/>
                    <w:left w:val="nil"/>
                    <w:bottom w:val="single" w:color="auto" w:sz="4" w:space="0"/>
                    <w:right w:val="single" w:color="auto" w:sz="4" w:space="0"/>
                  </w:tcBorders>
                  <w:vAlign w:val="center"/>
                </w:tcPr>
                <w:p w14:paraId="71D0282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2.01</w:t>
                  </w:r>
                </w:p>
              </w:tc>
            </w:tr>
            <w:tr w14:paraId="466D409C">
              <w:tblPrEx>
                <w:tblCellMar>
                  <w:top w:w="0" w:type="dxa"/>
                  <w:left w:w="108" w:type="dxa"/>
                  <w:bottom w:w="0" w:type="dxa"/>
                  <w:right w:w="108" w:type="dxa"/>
                </w:tblCellMar>
              </w:tblPrEx>
              <w:trPr>
                <w:trHeight w:val="510" w:hRule="atLeast"/>
              </w:trPr>
              <w:tc>
                <w:tcPr>
                  <w:tcW w:w="590" w:type="dxa"/>
                  <w:vMerge w:val="continue"/>
                  <w:tcBorders>
                    <w:top w:val="nil"/>
                    <w:left w:val="single" w:color="auto" w:sz="4" w:space="0"/>
                    <w:bottom w:val="single" w:color="auto" w:sz="4" w:space="0"/>
                    <w:right w:val="single" w:color="auto" w:sz="4" w:space="0"/>
                  </w:tcBorders>
                  <w:vAlign w:val="center"/>
                </w:tcPr>
                <w:p w14:paraId="1B0FBB79">
                  <w:pPr>
                    <w:widowControl/>
                    <w:spacing w:line="240" w:lineRule="auto"/>
                    <w:ind w:firstLine="0" w:firstLineChars="0"/>
                    <w:jc w:val="center"/>
                    <w:rPr>
                      <w:rFonts w:cs="Times New Roman"/>
                      <w:color w:val="auto"/>
                      <w:kern w:val="0"/>
                      <w:sz w:val="21"/>
                      <w:szCs w:val="21"/>
                    </w:rPr>
                  </w:pPr>
                </w:p>
              </w:tc>
              <w:tc>
                <w:tcPr>
                  <w:tcW w:w="1275" w:type="dxa"/>
                  <w:tcBorders>
                    <w:top w:val="nil"/>
                    <w:left w:val="nil"/>
                    <w:bottom w:val="single" w:color="auto" w:sz="4" w:space="0"/>
                    <w:right w:val="single" w:color="auto" w:sz="4" w:space="0"/>
                  </w:tcBorders>
                  <w:vAlign w:val="center"/>
                </w:tcPr>
                <w:p w14:paraId="4597BE5D">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小计</w:t>
                  </w:r>
                </w:p>
              </w:tc>
              <w:tc>
                <w:tcPr>
                  <w:tcW w:w="821" w:type="dxa"/>
                  <w:tcBorders>
                    <w:top w:val="nil"/>
                    <w:left w:val="nil"/>
                    <w:bottom w:val="single" w:color="auto" w:sz="4" w:space="0"/>
                    <w:right w:val="single" w:color="auto" w:sz="4" w:space="0"/>
                  </w:tcBorders>
                  <w:vAlign w:val="center"/>
                </w:tcPr>
                <w:p w14:paraId="696ED278">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5.96</w:t>
                  </w:r>
                </w:p>
              </w:tc>
              <w:tc>
                <w:tcPr>
                  <w:tcW w:w="820" w:type="dxa"/>
                  <w:tcBorders>
                    <w:top w:val="nil"/>
                    <w:left w:val="nil"/>
                    <w:bottom w:val="single" w:color="auto" w:sz="4" w:space="0"/>
                    <w:right w:val="single" w:color="auto" w:sz="4" w:space="0"/>
                  </w:tcBorders>
                  <w:vAlign w:val="center"/>
                </w:tcPr>
                <w:p w14:paraId="5B8D39E2">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3.31</w:t>
                  </w:r>
                </w:p>
              </w:tc>
              <w:tc>
                <w:tcPr>
                  <w:tcW w:w="820" w:type="dxa"/>
                  <w:tcBorders>
                    <w:top w:val="nil"/>
                    <w:left w:val="nil"/>
                    <w:bottom w:val="single" w:color="auto" w:sz="4" w:space="0"/>
                    <w:right w:val="single" w:color="auto" w:sz="4" w:space="0"/>
                  </w:tcBorders>
                  <w:vAlign w:val="center"/>
                </w:tcPr>
                <w:p w14:paraId="53F26958">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2.65</w:t>
                  </w:r>
                </w:p>
              </w:tc>
              <w:tc>
                <w:tcPr>
                  <w:tcW w:w="822" w:type="dxa"/>
                  <w:tcBorders>
                    <w:top w:val="nil"/>
                    <w:left w:val="nil"/>
                    <w:bottom w:val="single" w:color="auto" w:sz="4" w:space="0"/>
                    <w:right w:val="single" w:color="auto" w:sz="4" w:space="0"/>
                  </w:tcBorders>
                  <w:vAlign w:val="center"/>
                </w:tcPr>
                <w:p w14:paraId="15C0316F">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5.96</w:t>
                  </w:r>
                </w:p>
              </w:tc>
              <w:tc>
                <w:tcPr>
                  <w:tcW w:w="820" w:type="dxa"/>
                  <w:tcBorders>
                    <w:top w:val="nil"/>
                    <w:left w:val="nil"/>
                    <w:bottom w:val="single" w:color="auto" w:sz="4" w:space="0"/>
                    <w:right w:val="single" w:color="auto" w:sz="4" w:space="0"/>
                  </w:tcBorders>
                  <w:vAlign w:val="center"/>
                </w:tcPr>
                <w:p w14:paraId="09352859">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0.22</w:t>
                  </w:r>
                </w:p>
              </w:tc>
              <w:tc>
                <w:tcPr>
                  <w:tcW w:w="820" w:type="dxa"/>
                  <w:tcBorders>
                    <w:top w:val="nil"/>
                    <w:left w:val="nil"/>
                    <w:bottom w:val="single" w:color="auto" w:sz="4" w:space="0"/>
                    <w:right w:val="single" w:color="auto" w:sz="4" w:space="0"/>
                  </w:tcBorders>
                  <w:vAlign w:val="center"/>
                </w:tcPr>
                <w:p w14:paraId="57599A93">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5.96</w:t>
                  </w:r>
                </w:p>
              </w:tc>
              <w:tc>
                <w:tcPr>
                  <w:tcW w:w="822" w:type="dxa"/>
                  <w:tcBorders>
                    <w:top w:val="nil"/>
                    <w:left w:val="nil"/>
                    <w:bottom w:val="single" w:color="auto" w:sz="4" w:space="0"/>
                    <w:right w:val="single" w:color="auto" w:sz="4" w:space="0"/>
                  </w:tcBorders>
                  <w:vAlign w:val="center"/>
                </w:tcPr>
                <w:p w14:paraId="238BD4BE">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5.96</w:t>
                  </w:r>
                </w:p>
              </w:tc>
            </w:tr>
            <w:tr w14:paraId="7CA00D97">
              <w:tblPrEx>
                <w:tblCellMar>
                  <w:top w:w="0" w:type="dxa"/>
                  <w:left w:w="108" w:type="dxa"/>
                  <w:bottom w:w="0" w:type="dxa"/>
                  <w:right w:w="108" w:type="dxa"/>
                </w:tblCellMar>
              </w:tblPrEx>
              <w:trPr>
                <w:trHeight w:val="510" w:hRule="atLeast"/>
              </w:trPr>
              <w:tc>
                <w:tcPr>
                  <w:tcW w:w="1865" w:type="dxa"/>
                  <w:gridSpan w:val="2"/>
                  <w:tcBorders>
                    <w:top w:val="single" w:color="auto" w:sz="4" w:space="0"/>
                    <w:left w:val="single" w:color="auto" w:sz="4" w:space="0"/>
                    <w:bottom w:val="single" w:color="auto" w:sz="4" w:space="0"/>
                    <w:right w:val="single" w:color="auto" w:sz="4" w:space="0"/>
                  </w:tcBorders>
                  <w:vAlign w:val="center"/>
                </w:tcPr>
                <w:p w14:paraId="6854745D">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施工生产区</w:t>
                  </w:r>
                </w:p>
              </w:tc>
              <w:tc>
                <w:tcPr>
                  <w:tcW w:w="821" w:type="dxa"/>
                  <w:tcBorders>
                    <w:top w:val="nil"/>
                    <w:left w:val="nil"/>
                    <w:bottom w:val="single" w:color="auto" w:sz="4" w:space="0"/>
                    <w:right w:val="single" w:color="auto" w:sz="4" w:space="0"/>
                  </w:tcBorders>
                  <w:vAlign w:val="center"/>
                </w:tcPr>
                <w:p w14:paraId="0B010FDF">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0.08</w:t>
                  </w:r>
                </w:p>
              </w:tc>
              <w:tc>
                <w:tcPr>
                  <w:tcW w:w="820" w:type="dxa"/>
                  <w:tcBorders>
                    <w:top w:val="nil"/>
                    <w:left w:val="nil"/>
                    <w:bottom w:val="single" w:color="auto" w:sz="4" w:space="0"/>
                    <w:right w:val="single" w:color="auto" w:sz="4" w:space="0"/>
                  </w:tcBorders>
                  <w:vAlign w:val="center"/>
                </w:tcPr>
                <w:p w14:paraId="42CA89B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0.08</w:t>
                  </w:r>
                </w:p>
              </w:tc>
              <w:tc>
                <w:tcPr>
                  <w:tcW w:w="820" w:type="dxa"/>
                  <w:tcBorders>
                    <w:top w:val="nil"/>
                    <w:left w:val="nil"/>
                    <w:bottom w:val="single" w:color="auto" w:sz="4" w:space="0"/>
                    <w:right w:val="single" w:color="auto" w:sz="4" w:space="0"/>
                  </w:tcBorders>
                  <w:vAlign w:val="center"/>
                </w:tcPr>
                <w:p w14:paraId="6F114788">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2" w:type="dxa"/>
                  <w:tcBorders>
                    <w:top w:val="nil"/>
                    <w:left w:val="nil"/>
                    <w:bottom w:val="single" w:color="auto" w:sz="4" w:space="0"/>
                    <w:right w:val="single" w:color="auto" w:sz="4" w:space="0"/>
                  </w:tcBorders>
                  <w:vAlign w:val="center"/>
                </w:tcPr>
                <w:p w14:paraId="04F20C6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0.08</w:t>
                  </w:r>
                </w:p>
              </w:tc>
              <w:tc>
                <w:tcPr>
                  <w:tcW w:w="820" w:type="dxa"/>
                  <w:tcBorders>
                    <w:top w:val="nil"/>
                    <w:left w:val="nil"/>
                    <w:bottom w:val="single" w:color="auto" w:sz="4" w:space="0"/>
                    <w:right w:val="single" w:color="auto" w:sz="4" w:space="0"/>
                  </w:tcBorders>
                  <w:vAlign w:val="center"/>
                </w:tcPr>
                <w:p w14:paraId="54D2260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w:t>
                  </w:r>
                </w:p>
              </w:tc>
              <w:tc>
                <w:tcPr>
                  <w:tcW w:w="820" w:type="dxa"/>
                  <w:tcBorders>
                    <w:top w:val="nil"/>
                    <w:left w:val="nil"/>
                    <w:bottom w:val="single" w:color="auto" w:sz="4" w:space="0"/>
                    <w:right w:val="single" w:color="auto" w:sz="4" w:space="0"/>
                  </w:tcBorders>
                  <w:vAlign w:val="center"/>
                </w:tcPr>
                <w:p w14:paraId="1D09C23F">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0.08</w:t>
                  </w:r>
                </w:p>
              </w:tc>
              <w:tc>
                <w:tcPr>
                  <w:tcW w:w="822" w:type="dxa"/>
                  <w:tcBorders>
                    <w:top w:val="nil"/>
                    <w:left w:val="nil"/>
                    <w:bottom w:val="single" w:color="auto" w:sz="4" w:space="0"/>
                    <w:right w:val="single" w:color="auto" w:sz="4" w:space="0"/>
                  </w:tcBorders>
                  <w:vAlign w:val="center"/>
                </w:tcPr>
                <w:p w14:paraId="1A6DAD5A">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0.08</w:t>
                  </w:r>
                </w:p>
              </w:tc>
            </w:tr>
            <w:tr w14:paraId="2E50BC22">
              <w:tblPrEx>
                <w:tblCellMar>
                  <w:top w:w="0" w:type="dxa"/>
                  <w:left w:w="108" w:type="dxa"/>
                  <w:bottom w:w="0" w:type="dxa"/>
                  <w:right w:w="108" w:type="dxa"/>
                </w:tblCellMar>
              </w:tblPrEx>
              <w:trPr>
                <w:trHeight w:val="510" w:hRule="atLeast"/>
              </w:trPr>
              <w:tc>
                <w:tcPr>
                  <w:tcW w:w="1865" w:type="dxa"/>
                  <w:gridSpan w:val="2"/>
                  <w:tcBorders>
                    <w:top w:val="single" w:color="auto" w:sz="4" w:space="0"/>
                    <w:left w:val="single" w:color="auto" w:sz="4" w:space="0"/>
                    <w:bottom w:val="single" w:color="auto" w:sz="4" w:space="0"/>
                    <w:right w:val="single" w:color="auto" w:sz="4" w:space="0"/>
                  </w:tcBorders>
                  <w:vAlign w:val="center"/>
                </w:tcPr>
                <w:p w14:paraId="23364707">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合计</w:t>
                  </w:r>
                </w:p>
              </w:tc>
              <w:tc>
                <w:tcPr>
                  <w:tcW w:w="821" w:type="dxa"/>
                  <w:tcBorders>
                    <w:top w:val="nil"/>
                    <w:left w:val="nil"/>
                    <w:bottom w:val="single" w:color="auto" w:sz="4" w:space="0"/>
                    <w:right w:val="single" w:color="auto" w:sz="4" w:space="0"/>
                  </w:tcBorders>
                  <w:noWrap/>
                  <w:vAlign w:val="center"/>
                </w:tcPr>
                <w:p w14:paraId="744FA40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117.06</w:t>
                  </w:r>
                </w:p>
              </w:tc>
              <w:tc>
                <w:tcPr>
                  <w:tcW w:w="820" w:type="dxa"/>
                  <w:tcBorders>
                    <w:top w:val="nil"/>
                    <w:left w:val="nil"/>
                    <w:bottom w:val="single" w:color="auto" w:sz="4" w:space="0"/>
                    <w:right w:val="single" w:color="auto" w:sz="4" w:space="0"/>
                  </w:tcBorders>
                  <w:noWrap/>
                  <w:vAlign w:val="center"/>
                </w:tcPr>
                <w:p w14:paraId="2E55254B">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114.38</w:t>
                  </w:r>
                </w:p>
              </w:tc>
              <w:tc>
                <w:tcPr>
                  <w:tcW w:w="820" w:type="dxa"/>
                  <w:tcBorders>
                    <w:top w:val="nil"/>
                    <w:left w:val="nil"/>
                    <w:bottom w:val="single" w:color="auto" w:sz="4" w:space="0"/>
                    <w:right w:val="single" w:color="auto" w:sz="4" w:space="0"/>
                  </w:tcBorders>
                  <w:noWrap/>
                  <w:vAlign w:val="center"/>
                </w:tcPr>
                <w:p w14:paraId="13848C49">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2.65</w:t>
                  </w:r>
                </w:p>
              </w:tc>
              <w:tc>
                <w:tcPr>
                  <w:tcW w:w="822" w:type="dxa"/>
                  <w:tcBorders>
                    <w:top w:val="nil"/>
                    <w:left w:val="nil"/>
                    <w:bottom w:val="single" w:color="auto" w:sz="4" w:space="0"/>
                    <w:right w:val="single" w:color="auto" w:sz="4" w:space="0"/>
                  </w:tcBorders>
                  <w:noWrap/>
                  <w:vAlign w:val="center"/>
                </w:tcPr>
                <w:p w14:paraId="5F067E6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117.03</w:t>
                  </w:r>
                </w:p>
              </w:tc>
              <w:tc>
                <w:tcPr>
                  <w:tcW w:w="820" w:type="dxa"/>
                  <w:tcBorders>
                    <w:top w:val="nil"/>
                    <w:left w:val="nil"/>
                    <w:bottom w:val="single" w:color="auto" w:sz="4" w:space="0"/>
                    <w:right w:val="single" w:color="auto" w:sz="4" w:space="0"/>
                  </w:tcBorders>
                  <w:noWrap/>
                  <w:vAlign w:val="center"/>
                </w:tcPr>
                <w:p w14:paraId="172CCE07">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0.28</w:t>
                  </w:r>
                </w:p>
              </w:tc>
              <w:tc>
                <w:tcPr>
                  <w:tcW w:w="820" w:type="dxa"/>
                  <w:tcBorders>
                    <w:top w:val="nil"/>
                    <w:left w:val="nil"/>
                    <w:bottom w:val="single" w:color="auto" w:sz="4" w:space="0"/>
                    <w:right w:val="single" w:color="auto" w:sz="4" w:space="0"/>
                  </w:tcBorders>
                  <w:noWrap/>
                  <w:vAlign w:val="center"/>
                </w:tcPr>
                <w:p w14:paraId="2CE89F63">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116.78</w:t>
                  </w:r>
                </w:p>
              </w:tc>
              <w:tc>
                <w:tcPr>
                  <w:tcW w:w="822" w:type="dxa"/>
                  <w:tcBorders>
                    <w:top w:val="nil"/>
                    <w:left w:val="nil"/>
                    <w:bottom w:val="single" w:color="auto" w:sz="4" w:space="0"/>
                    <w:right w:val="single" w:color="auto" w:sz="4" w:space="0"/>
                  </w:tcBorders>
                  <w:noWrap/>
                  <w:vAlign w:val="center"/>
                </w:tcPr>
                <w:p w14:paraId="73375F5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117.06</w:t>
                  </w:r>
                </w:p>
              </w:tc>
            </w:tr>
          </w:tbl>
          <w:p w14:paraId="2D345937">
            <w:pPr>
              <w:spacing w:line="240" w:lineRule="auto"/>
              <w:ind w:firstLine="482"/>
              <w:jc w:val="center"/>
              <w:rPr>
                <w:b/>
                <w:color w:val="auto"/>
              </w:rPr>
            </w:pPr>
          </w:p>
          <w:p w14:paraId="4C4F66E6">
            <w:pPr>
              <w:pStyle w:val="4"/>
              <w:spacing w:before="48" w:after="48"/>
              <w:rPr>
                <w:color w:val="auto"/>
              </w:rPr>
            </w:pPr>
            <w:r>
              <w:rPr>
                <w:rFonts w:hint="eastAsia"/>
                <w:color w:val="auto"/>
              </w:rPr>
              <w:t>施工组织</w:t>
            </w:r>
          </w:p>
          <w:p w14:paraId="1D2B702E">
            <w:pPr>
              <w:ind w:firstLine="482"/>
              <w:rPr>
                <w:b/>
                <w:bCs/>
                <w:color w:val="auto"/>
              </w:rPr>
            </w:pPr>
            <w:r>
              <w:rPr>
                <w:rFonts w:hint="eastAsia"/>
                <w:b/>
                <w:bCs/>
                <w:color w:val="auto"/>
              </w:rPr>
              <w:t>1、交通条件</w:t>
            </w:r>
          </w:p>
          <w:p w14:paraId="267B5A65">
            <w:pPr>
              <w:ind w:firstLine="480"/>
              <w:rPr>
                <w:color w:val="auto"/>
              </w:rPr>
            </w:pPr>
            <w:r>
              <w:rPr>
                <w:rFonts w:hint="eastAsia"/>
                <w:color w:val="auto"/>
              </w:rPr>
              <w:t>本项目对外交通运输路线：国内高速公路网→南宁高速→无量山樱花谷收费站→G214国道西景线→沙乐线→场址各片。</w:t>
            </w:r>
          </w:p>
          <w:p w14:paraId="6547ABAE">
            <w:pPr>
              <w:ind w:firstLine="480"/>
              <w:rPr>
                <w:color w:val="auto"/>
              </w:rPr>
            </w:pPr>
            <w:r>
              <w:rPr>
                <w:rFonts w:hint="eastAsia"/>
                <w:color w:val="auto"/>
              </w:rPr>
              <w:t>场区内的道路根据地形及光伏板矩阵布置设置，尽量利用现有道路，其它道路设置满足场区交通运输需求，且坡度不宜过大。本工程改扩建场内改扩建道路4.73km，新建场内道路7.04km，最大坡度不大于16%，平均坡度为8%～10%，道路路基宽度为4.0m，路面宽度为3.5m，转弯半径为12m，路面采用20cm山皮石面层。在较长施工道路末端设置16m×16m的调车平台，在较长且没有支线的路段设置错车道。</w:t>
            </w:r>
          </w:p>
          <w:p w14:paraId="09922DFF">
            <w:pPr>
              <w:ind w:firstLine="482"/>
              <w:rPr>
                <w:b/>
                <w:bCs/>
                <w:color w:val="auto"/>
              </w:rPr>
            </w:pPr>
            <w:r>
              <w:rPr>
                <w:rFonts w:hint="eastAsia"/>
                <w:b/>
                <w:bCs/>
                <w:color w:val="auto"/>
              </w:rPr>
              <w:t>2、施工建筑材料来源</w:t>
            </w:r>
          </w:p>
          <w:p w14:paraId="47FB45CF">
            <w:pPr>
              <w:ind w:firstLine="480"/>
              <w:rPr>
                <w:color w:val="auto"/>
              </w:rPr>
            </w:pPr>
            <w:r>
              <w:rPr>
                <w:rFonts w:hint="eastAsia"/>
                <w:color w:val="auto"/>
              </w:rPr>
              <w:t>本工程所需的主要材料为砌石料、砂石骨料、水泥、混凝土、钢材、木材、油料等，材料的主要来源为：</w:t>
            </w:r>
          </w:p>
          <w:p w14:paraId="0DB1FC8E">
            <w:pPr>
              <w:ind w:firstLine="480"/>
              <w:rPr>
                <w:color w:val="auto"/>
              </w:rPr>
            </w:pPr>
            <w:r>
              <w:rPr>
                <w:rFonts w:hint="eastAsia"/>
                <w:color w:val="auto"/>
              </w:rPr>
              <w:t>砂石料：工程建设用砂石料均从南涧县周边的砂石场采购。</w:t>
            </w:r>
          </w:p>
          <w:p w14:paraId="00328BB6">
            <w:pPr>
              <w:ind w:firstLine="480"/>
              <w:rPr>
                <w:color w:val="auto"/>
              </w:rPr>
            </w:pPr>
            <w:r>
              <w:rPr>
                <w:rFonts w:hint="eastAsia"/>
                <w:color w:val="auto"/>
              </w:rPr>
              <w:t>水泥、钢筋钢材、木材、油料：均从南涧县</w:t>
            </w:r>
            <w:r>
              <w:rPr>
                <w:color w:val="auto"/>
              </w:rPr>
              <w:t>及附近乡镇采购</w:t>
            </w:r>
            <w:r>
              <w:rPr>
                <w:rFonts w:hint="eastAsia"/>
                <w:color w:val="auto"/>
              </w:rPr>
              <w:t>。</w:t>
            </w:r>
          </w:p>
          <w:p w14:paraId="2E267A78">
            <w:pPr>
              <w:ind w:firstLine="480"/>
              <w:rPr>
                <w:color w:val="auto"/>
              </w:rPr>
            </w:pPr>
            <w:r>
              <w:rPr>
                <w:rFonts w:hint="eastAsia"/>
                <w:color w:val="auto"/>
              </w:rPr>
              <w:t>混凝土采用商品混凝土，从南涧县采购，运距约3.5km。</w:t>
            </w:r>
          </w:p>
          <w:p w14:paraId="15350DA9">
            <w:pPr>
              <w:ind w:firstLine="482"/>
              <w:rPr>
                <w:b/>
                <w:bCs/>
                <w:color w:val="auto"/>
              </w:rPr>
            </w:pPr>
            <w:r>
              <w:rPr>
                <w:rFonts w:hint="eastAsia"/>
                <w:b/>
                <w:bCs/>
                <w:color w:val="auto"/>
              </w:rPr>
              <w:t>3、施工用水</w:t>
            </w:r>
          </w:p>
          <w:p w14:paraId="2F59D9DF">
            <w:pPr>
              <w:ind w:firstLine="480"/>
              <w:rPr>
                <w:color w:val="auto"/>
                <w:highlight w:val="yellow"/>
              </w:rPr>
            </w:pPr>
            <w:r>
              <w:rPr>
                <w:rFonts w:hint="eastAsia"/>
                <w:color w:val="auto"/>
              </w:rPr>
              <w:t>施工期根据工程施工进度安排，施工用水由建筑施工用水、施工机械用水和消防用水等组成，施工用水从场址附近的小河、小型水库取水，采用水车运水的方式供应。本工程场址附近有落底河，施工用水可以此为取水点。施工场地内设容积为50方临时水池一座，供施工用。</w:t>
            </w:r>
          </w:p>
          <w:p w14:paraId="250812CF">
            <w:pPr>
              <w:ind w:firstLine="482"/>
              <w:rPr>
                <w:b/>
                <w:bCs/>
                <w:color w:val="auto"/>
              </w:rPr>
            </w:pPr>
            <w:r>
              <w:rPr>
                <w:rFonts w:hint="eastAsia"/>
                <w:b/>
                <w:bCs/>
                <w:color w:val="auto"/>
              </w:rPr>
              <w:t>4、施工用电</w:t>
            </w:r>
          </w:p>
          <w:p w14:paraId="41C65E06">
            <w:pPr>
              <w:ind w:firstLine="480"/>
              <w:rPr>
                <w:color w:val="auto"/>
                <w:highlight w:val="yellow"/>
              </w:rPr>
            </w:pPr>
            <w:r>
              <w:rPr>
                <w:rFonts w:hint="eastAsia"/>
                <w:color w:val="auto"/>
              </w:rPr>
              <w:t>估算本工程施工用电高峰负荷约250kW。场址附近有农网10kV线路，施工用电可由该10kV线路引接作为电源，长度约4.5km，距离较远处施工及紧急备用电源采用柴油发电机供电。</w:t>
            </w:r>
          </w:p>
          <w:p w14:paraId="7211E950">
            <w:pPr>
              <w:ind w:firstLine="482"/>
              <w:rPr>
                <w:b/>
                <w:bCs/>
                <w:color w:val="auto"/>
              </w:rPr>
            </w:pPr>
            <w:r>
              <w:rPr>
                <w:rFonts w:hint="eastAsia"/>
                <w:b/>
                <w:bCs/>
                <w:color w:val="auto"/>
              </w:rPr>
              <w:t>5、施工“三场”设置</w:t>
            </w:r>
          </w:p>
          <w:p w14:paraId="6F7D2A5C">
            <w:pPr>
              <w:ind w:firstLine="480"/>
              <w:rPr>
                <w:color w:val="auto"/>
              </w:rPr>
            </w:pPr>
            <w:r>
              <w:rPr>
                <w:rFonts w:hint="eastAsia"/>
                <w:color w:val="auto"/>
              </w:rPr>
              <w:t>1）临时表土堆场</w:t>
            </w:r>
          </w:p>
          <w:p w14:paraId="2FCEF3CC">
            <w:pPr>
              <w:ind w:firstLine="480"/>
              <w:rPr>
                <w:color w:val="auto"/>
                <w:szCs w:val="24"/>
              </w:rPr>
            </w:pPr>
            <w:r>
              <w:rPr>
                <w:rFonts w:hint="eastAsia"/>
                <w:color w:val="auto"/>
                <w:szCs w:val="21"/>
              </w:rPr>
              <w:t>根据项目水保方案，项目剥离表土1.43万m</w:t>
            </w:r>
            <w:r>
              <w:rPr>
                <w:rFonts w:hint="eastAsia"/>
                <w:color w:val="auto"/>
                <w:szCs w:val="21"/>
                <w:vertAlign w:val="superscript"/>
              </w:rPr>
              <w:t>3</w:t>
            </w:r>
            <w:r>
              <w:rPr>
                <w:rFonts w:hint="eastAsia"/>
                <w:color w:val="auto"/>
                <w:szCs w:val="21"/>
              </w:rPr>
              <w:t>，</w:t>
            </w:r>
            <w:r>
              <w:rPr>
                <w:color w:val="auto"/>
                <w:szCs w:val="21"/>
              </w:rPr>
              <w:t>集电线路直埋电缆沟表土堆放在管沟一侧</w:t>
            </w:r>
            <w:r>
              <w:rPr>
                <w:rFonts w:hint="eastAsia"/>
                <w:color w:val="auto"/>
                <w:szCs w:val="21"/>
              </w:rPr>
              <w:t>，</w:t>
            </w:r>
            <w:r>
              <w:rPr>
                <w:color w:val="auto"/>
                <w:szCs w:val="21"/>
              </w:rPr>
              <w:t>架空线路</w:t>
            </w:r>
            <w:r>
              <w:rPr>
                <w:rFonts w:hint="eastAsia"/>
                <w:color w:val="auto"/>
                <w:szCs w:val="21"/>
              </w:rPr>
              <w:t>剥离表土临时堆放于各塔基用地一角，场内道路区收集表土主要用于道路填方边坡植被恢复，光伏方阵区的施工营场地区剥离的表土</w:t>
            </w:r>
            <w:r>
              <w:rPr>
                <w:color w:val="auto"/>
                <w:szCs w:val="21"/>
              </w:rPr>
              <w:t>临时堆放于各场地一角</w:t>
            </w:r>
            <w:r>
              <w:rPr>
                <w:rFonts w:hint="eastAsia"/>
                <w:color w:val="auto"/>
                <w:szCs w:val="21"/>
              </w:rPr>
              <w:t>，</w:t>
            </w:r>
            <w:r>
              <w:rPr>
                <w:color w:val="auto"/>
                <w:szCs w:val="21"/>
              </w:rPr>
              <w:t>并采取</w:t>
            </w:r>
            <w:r>
              <w:rPr>
                <w:rFonts w:hint="eastAsia"/>
                <w:color w:val="auto"/>
                <w:szCs w:val="21"/>
              </w:rPr>
              <w:t>临时</w:t>
            </w:r>
            <w:r>
              <w:rPr>
                <w:color w:val="auto"/>
                <w:szCs w:val="21"/>
              </w:rPr>
              <w:t>防护措施</w:t>
            </w:r>
            <w:r>
              <w:rPr>
                <w:rFonts w:hint="eastAsia"/>
                <w:color w:val="auto"/>
                <w:szCs w:val="21"/>
              </w:rPr>
              <w:t>。本项目场内道路区表土即挖即用，均不布置集中堆放场地，方案设计的临时堆土场均位于项目红线内</w:t>
            </w:r>
            <w:r>
              <w:rPr>
                <w:rFonts w:hint="eastAsia"/>
                <w:color w:val="auto"/>
                <w:szCs w:val="24"/>
              </w:rPr>
              <w:t>。</w:t>
            </w:r>
          </w:p>
          <w:p w14:paraId="316BB400">
            <w:pPr>
              <w:ind w:firstLine="480"/>
              <w:rPr>
                <w:color w:val="auto"/>
              </w:rPr>
            </w:pPr>
            <w:r>
              <w:rPr>
                <w:rFonts w:hint="eastAsia"/>
                <w:color w:val="auto"/>
                <w:szCs w:val="24"/>
              </w:rPr>
              <w:t>2）弃土（石、渣）场布设</w:t>
            </w:r>
          </w:p>
          <w:p w14:paraId="0BE52424">
            <w:pPr>
              <w:ind w:firstLine="480"/>
              <w:rPr>
                <w:color w:val="auto"/>
              </w:rPr>
            </w:pPr>
            <w:r>
              <w:rPr>
                <w:rFonts w:hint="eastAsia"/>
                <w:color w:val="auto"/>
                <w:szCs w:val="24"/>
              </w:rPr>
              <w:t>根据项目水保方案，本项目无永久弃方产生，故不涉及弃渣场。</w:t>
            </w:r>
          </w:p>
          <w:p w14:paraId="70A83F22">
            <w:pPr>
              <w:ind w:firstLine="480"/>
              <w:rPr>
                <w:color w:val="auto"/>
              </w:rPr>
            </w:pPr>
            <w:r>
              <w:rPr>
                <w:rFonts w:hint="eastAsia"/>
                <w:color w:val="auto"/>
              </w:rPr>
              <w:t>3</w:t>
            </w:r>
            <w:r>
              <w:rPr>
                <w:color w:val="auto"/>
              </w:rPr>
              <w:t>）</w:t>
            </w:r>
            <w:r>
              <w:rPr>
                <w:rFonts w:hint="eastAsia"/>
                <w:color w:val="auto"/>
              </w:rPr>
              <w:t>取土场</w:t>
            </w:r>
          </w:p>
          <w:p w14:paraId="018AF530">
            <w:pPr>
              <w:ind w:firstLine="480"/>
              <w:rPr>
                <w:color w:val="auto"/>
              </w:rPr>
            </w:pPr>
            <w:r>
              <w:rPr>
                <w:rFonts w:hint="eastAsia"/>
                <w:color w:val="auto"/>
              </w:rPr>
              <w:t>本项目无取土需求，无需规划取土场。</w:t>
            </w:r>
          </w:p>
          <w:p w14:paraId="4AECF366">
            <w:pPr>
              <w:ind w:firstLine="482"/>
              <w:rPr>
                <w:b/>
                <w:bCs/>
                <w:color w:val="auto"/>
              </w:rPr>
            </w:pPr>
            <w:r>
              <w:rPr>
                <w:rFonts w:hint="eastAsia"/>
                <w:b/>
                <w:bCs/>
                <w:color w:val="auto"/>
              </w:rPr>
              <w:t>6、施工场地设置</w:t>
            </w:r>
          </w:p>
          <w:p w14:paraId="7F427C66">
            <w:pPr>
              <w:ind w:firstLine="480"/>
              <w:rPr>
                <w:color w:val="auto"/>
                <w:szCs w:val="21"/>
              </w:rPr>
            </w:pPr>
            <w:r>
              <w:rPr>
                <w:rFonts w:hint="eastAsia"/>
                <w:color w:val="auto"/>
              </w:rPr>
              <w:t>光伏场区施工场地布置：</w:t>
            </w:r>
            <w:r>
              <w:rPr>
                <w:rFonts w:hint="eastAsia"/>
                <w:color w:val="auto"/>
                <w:szCs w:val="21"/>
              </w:rPr>
              <w:t>根据主体设计，结合项目实际施工情况，本项目业主、承包商及施工人员临时居住、办公等场地均采用租用民房解决，</w:t>
            </w:r>
            <w:r>
              <w:rPr>
                <w:color w:val="auto"/>
                <w:szCs w:val="21"/>
              </w:rPr>
              <w:t>在施工现场主要设置的临建设施有：综合加工厂、综合仓库。型钢、钢筋等可露天堆放，电池板组件、缆线、主要发电和电气设备等需仓库存放。并通过提高对外运输效率以减少现场库存量，考虑现场零星的机械修配。</w:t>
            </w:r>
          </w:p>
          <w:p w14:paraId="34AB5363">
            <w:pPr>
              <w:ind w:firstLine="480"/>
              <w:rPr>
                <w:color w:val="auto"/>
                <w:szCs w:val="21"/>
              </w:rPr>
            </w:pPr>
            <w:r>
              <w:rPr>
                <w:rFonts w:hint="eastAsia"/>
                <w:color w:val="auto"/>
              </w:rPr>
              <w:t>规划布置施工场地4处，布置于场内道路一侧光伏方阵区平坦位置，以满足材料设备一次运输到位，其中1#施工营地位于S10地块内西南侧、2#施工营地位于S20地块内西侧、3#施工营地位于S17地块内东侧和4#施工营地位于S02地块内东南侧，场地内布置综合加工厂、综合仓库等，占地</w:t>
            </w:r>
            <w:r>
              <w:rPr>
                <w:rFonts w:cs="Times New Roman"/>
                <w:color w:val="auto"/>
              </w:rPr>
              <w:t>0.45hm</w:t>
            </w:r>
            <w:r>
              <w:rPr>
                <w:rFonts w:cs="Times New Roman"/>
                <w:color w:val="auto"/>
                <w:vertAlign w:val="superscript"/>
              </w:rPr>
              <w:t>2</w:t>
            </w:r>
            <w:r>
              <w:rPr>
                <w:rFonts w:hint="eastAsia"/>
                <w:color w:val="auto"/>
              </w:rPr>
              <w:t>，占地类型为园地</w:t>
            </w:r>
            <w:r>
              <w:rPr>
                <w:rFonts w:hint="eastAsia"/>
                <w:color w:val="auto"/>
                <w:szCs w:val="21"/>
              </w:rPr>
              <w:t>。</w:t>
            </w:r>
          </w:p>
          <w:p w14:paraId="43A6FD0A">
            <w:pPr>
              <w:pStyle w:val="4"/>
              <w:spacing w:before="48" w:after="48"/>
              <w:rPr>
                <w:color w:val="auto"/>
              </w:rPr>
            </w:pPr>
            <w:bookmarkStart w:id="533" w:name="_Toc136794185"/>
            <w:bookmarkStart w:id="534" w:name="_Toc112173914"/>
            <w:bookmarkStart w:id="535" w:name="_Toc112165619"/>
            <w:bookmarkStart w:id="536" w:name="_Toc136794310"/>
            <w:bookmarkStart w:id="537" w:name="_Toc4244"/>
            <w:bookmarkStart w:id="538" w:name="_Toc177072400"/>
            <w:bookmarkStart w:id="539" w:name="_Toc181738220"/>
            <w:bookmarkStart w:id="540" w:name="_Toc177072828"/>
            <w:bookmarkStart w:id="541" w:name="_Toc181293535"/>
            <w:bookmarkStart w:id="542" w:name="_Toc181732813"/>
            <w:bookmarkStart w:id="543" w:name="_Toc159349023"/>
            <w:bookmarkStart w:id="544" w:name="_Toc25216"/>
            <w:bookmarkStart w:id="545" w:name="_Toc158491255"/>
            <w:bookmarkStart w:id="546" w:name="_Toc177482900"/>
            <w:bookmarkStart w:id="547" w:name="_Toc160730872"/>
            <w:bookmarkStart w:id="548" w:name="_Toc177488212"/>
            <w:bookmarkStart w:id="549" w:name="_Toc160473796"/>
            <w:bookmarkStart w:id="550" w:name="_Toc156137834"/>
            <w:bookmarkStart w:id="551" w:name="_Toc156144148"/>
            <w:bookmarkStart w:id="552" w:name="_Toc161415550"/>
            <w:bookmarkStart w:id="553" w:name="_Toc112424256"/>
            <w:r>
              <w:rPr>
                <w:color w:val="auto"/>
              </w:rPr>
              <w:t>施工工艺</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784640BF">
            <w:pPr>
              <w:ind w:firstLine="480"/>
              <w:rPr>
                <w:color w:val="auto"/>
              </w:rPr>
            </w:pPr>
            <w:bookmarkStart w:id="554" w:name="_Toc112165620"/>
            <w:bookmarkStart w:id="555" w:name="_Toc112173915"/>
            <w:bookmarkStart w:id="556" w:name="_Toc112424257"/>
            <w:r>
              <w:rPr>
                <w:rFonts w:hint="eastAsia"/>
                <w:color w:val="auto"/>
              </w:rPr>
              <w:t>本工程土建工程及光伏阵列支架安装施工范围包括：场地平整，场内道路施工，钢筋混凝土灌注桩施工、支架安装，水保环保措施和防洪排涝设施施工等。主要设备安装施工范围包括：光伏组件安装、逆变升压变配电设备安装及调试、电缆敷设等电气设备安装及调试等。</w:t>
            </w:r>
          </w:p>
          <w:p w14:paraId="3A2ED09B">
            <w:pPr>
              <w:ind w:firstLine="480"/>
              <w:rPr>
                <w:color w:val="auto"/>
              </w:rPr>
            </w:pPr>
            <w:r>
              <w:rPr>
                <w:rFonts w:hint="eastAsia"/>
                <w:color w:val="auto"/>
              </w:rPr>
              <w:t>（1）建立整个施工现场的高程控制网及平面控制网，并定期复测。</w:t>
            </w:r>
          </w:p>
          <w:p w14:paraId="31058F78">
            <w:pPr>
              <w:ind w:firstLine="480"/>
              <w:rPr>
                <w:color w:val="auto"/>
              </w:rPr>
            </w:pPr>
            <w:r>
              <w:rPr>
                <w:rFonts w:hint="eastAsia"/>
                <w:color w:val="auto"/>
              </w:rPr>
              <w:t>（2）土建施工按照先地下、后地上的顺序，依次施工综合楼基础、光伏发电组件基础、逆变升压单元基础及其它设施。</w:t>
            </w:r>
          </w:p>
          <w:p w14:paraId="3D5DBB2C">
            <w:pPr>
              <w:ind w:firstLine="480"/>
              <w:rPr>
                <w:color w:val="auto"/>
              </w:rPr>
            </w:pPr>
            <w:r>
              <w:rPr>
                <w:rFonts w:hint="eastAsia"/>
                <w:color w:val="auto"/>
              </w:rPr>
              <w:t>（3）接地网、地下管道主线与相应的地下工程设施（给排水、消防管道、电缆沟道）同步施工，电缆管预埋与基础施工应紧密配合，防止遗漏。主体工程施工按以下施工顺序进行：道路施工→灌注桩安装→光伏阵列支架安装→光伏阵列设备安装及调试、电缆敷设。</w:t>
            </w:r>
          </w:p>
          <w:p w14:paraId="4FE252E3">
            <w:pPr>
              <w:pStyle w:val="5"/>
              <w:rPr>
                <w:color w:val="auto"/>
              </w:rPr>
            </w:pPr>
            <w:r>
              <w:rPr>
                <w:rFonts w:hint="eastAsia"/>
                <w:color w:val="auto"/>
              </w:rPr>
              <w:t>道路施工</w:t>
            </w:r>
          </w:p>
          <w:p w14:paraId="3892A861">
            <w:pPr>
              <w:ind w:firstLine="480"/>
              <w:rPr>
                <w:color w:val="auto"/>
              </w:rPr>
            </w:pPr>
            <w:r>
              <w:rPr>
                <w:rFonts w:hint="eastAsia"/>
                <w:color w:val="auto"/>
              </w:rPr>
              <w:t>本项目改扩建场内改扩建道路4.73km，新建场内道路7.04km，最大坡度不大于16%，平均坡度为8%～10%，道路路基宽度为4.0m，路面宽度为3.5m，转弯半径为12m，路面采用20cm山皮石面层。</w:t>
            </w:r>
          </w:p>
          <w:p w14:paraId="6D5269E0">
            <w:pPr>
              <w:ind w:firstLine="480"/>
              <w:rPr>
                <w:color w:val="auto"/>
              </w:rPr>
            </w:pPr>
            <w:r>
              <w:rPr>
                <w:rFonts w:hint="eastAsia"/>
                <w:color w:val="auto"/>
              </w:rPr>
              <w:t>（1）改扩建道路施工工艺方案：施工准备→路基处理→石渣路面施工→质量控制与验收→安全管理。</w:t>
            </w:r>
          </w:p>
          <w:p w14:paraId="0DB4B203">
            <w:pPr>
              <w:ind w:firstLine="480"/>
              <w:rPr>
                <w:color w:val="auto"/>
              </w:rPr>
            </w:pPr>
            <w:r>
              <w:rPr>
                <w:rFonts w:hint="eastAsia"/>
                <w:color w:val="auto"/>
              </w:rPr>
              <w:t>①施工准备：包括现场勘查、材料准备、设备准备。</w:t>
            </w:r>
          </w:p>
          <w:p w14:paraId="681DC579">
            <w:pPr>
              <w:ind w:firstLine="480"/>
              <w:rPr>
                <w:color w:val="auto"/>
              </w:rPr>
            </w:pPr>
            <w:r>
              <w:rPr>
                <w:rFonts w:hint="eastAsia"/>
                <w:color w:val="auto"/>
              </w:rPr>
              <w:t>②路基处理：清除表层腐殖土和松散土层，露出坚硬的地基。清表宽度应超出路基设计宽度不小于50cm。根据设计标高，对道路路基进行挖填方作业。挖方段应控制边坡坡度，确保边坡稳定；填方段应分层填筑、分层压实。</w:t>
            </w:r>
          </w:p>
          <w:p w14:paraId="592DAF7D">
            <w:pPr>
              <w:ind w:firstLine="480"/>
              <w:rPr>
                <w:color w:val="auto"/>
              </w:rPr>
            </w:pPr>
            <w:r>
              <w:rPr>
                <w:rFonts w:hint="eastAsia"/>
                <w:color w:val="auto"/>
              </w:rPr>
              <w:t>③石渣路面施工：将准备好的石渣材料均匀铺设在路基上，铺设厚度应严格控制为20cm。使用压路机对铺设好的石渣进行压实作业。压实遍数应根据试验段确定，一般不少于4遍。确保石渣路面的压实度符合设计要求，提高路面的承载能力和稳定性。路面压实度应不低于98%。</w:t>
            </w:r>
          </w:p>
          <w:p w14:paraId="48B223E7">
            <w:pPr>
              <w:ind w:firstLine="480"/>
              <w:rPr>
                <w:color w:val="auto"/>
              </w:rPr>
            </w:pPr>
            <w:r>
              <w:rPr>
                <w:rFonts w:hint="eastAsia"/>
                <w:color w:val="auto"/>
              </w:rPr>
              <w:t>④验收合格后投入运营。</w:t>
            </w:r>
          </w:p>
          <w:p w14:paraId="7518386B">
            <w:pPr>
              <w:ind w:firstLine="480"/>
              <w:rPr>
                <w:color w:val="auto"/>
              </w:rPr>
            </w:pPr>
            <w:r>
              <w:rPr>
                <w:rFonts w:hint="eastAsia"/>
                <w:color w:val="auto"/>
              </w:rPr>
              <w:t>（2）新建道路施工工艺方案：</w:t>
            </w:r>
            <w:r>
              <w:rPr>
                <w:color w:val="auto"/>
              </w:rPr>
              <w:t>施工准备→测量放样→路基处理→石渣路面施工→质量控制与验收→安全管理→环境保护→竣工验收</w:t>
            </w:r>
            <w:r>
              <w:rPr>
                <w:rFonts w:hint="eastAsia"/>
                <w:color w:val="auto"/>
              </w:rPr>
              <w:t>。</w:t>
            </w:r>
          </w:p>
          <w:p w14:paraId="3D396977">
            <w:pPr>
              <w:ind w:firstLine="480"/>
              <w:rPr>
                <w:color w:val="auto"/>
              </w:rPr>
            </w:pPr>
            <w:r>
              <w:rPr>
                <w:rFonts w:hint="eastAsia"/>
                <w:color w:val="auto"/>
              </w:rPr>
              <w:t>①</w:t>
            </w:r>
            <w:r>
              <w:rPr>
                <w:color w:val="auto"/>
              </w:rPr>
              <w:t>施工准备</w:t>
            </w:r>
            <w:r>
              <w:rPr>
                <w:rFonts w:hint="eastAsia"/>
                <w:color w:val="auto"/>
              </w:rPr>
              <w:t>：包括现场勘查、材料准备、设备准备。</w:t>
            </w:r>
          </w:p>
          <w:p w14:paraId="5E8FD92A">
            <w:pPr>
              <w:ind w:firstLine="480"/>
              <w:rPr>
                <w:color w:val="auto"/>
              </w:rPr>
            </w:pPr>
            <w:r>
              <w:rPr>
                <w:rFonts w:hint="eastAsia"/>
                <w:color w:val="auto"/>
              </w:rPr>
              <w:t>②测量放样：根据设计图纸，使用全站仪进行准确的路线放样，确定道路中心线、边线及标高。设置明显的控制桩和里程桩，便于施工过程中的测量和复核。在道路转弯处，根据设计要求设置最小转弯半径为9m，确保车辆能够顺利转弯。</w:t>
            </w:r>
          </w:p>
          <w:p w14:paraId="4F8AFF6B">
            <w:pPr>
              <w:ind w:firstLine="480"/>
              <w:rPr>
                <w:color w:val="auto"/>
              </w:rPr>
            </w:pPr>
            <w:r>
              <w:rPr>
                <w:rFonts w:hint="eastAsia"/>
                <w:color w:val="auto"/>
              </w:rPr>
              <w:t>③路基处理：清除道路沿线的杂草、灌木、树根等障碍物，清表宽度应超出路基设计宽度不小于50cm。根据设计标高，对道路路基进行挖填方作业。挖方段应控制边坡坡度，确保边坡稳定；填方段应分层填筑、分层压实，每层填筑厚度不宜超过30cm。使用挖掘机进行挖方作业，装载机进行填方作业，平地机进行整平，压路机进行压实。确保路基的平整度和压实度符合设计要求。路基压实度应不低于95%，平整度允许偏差为±2cm。</w:t>
            </w:r>
          </w:p>
          <w:p w14:paraId="22757993">
            <w:pPr>
              <w:ind w:firstLine="480"/>
              <w:rPr>
                <w:color w:val="auto"/>
              </w:rPr>
            </w:pPr>
            <w:r>
              <w:rPr>
                <w:rFonts w:hint="eastAsia"/>
                <w:color w:val="auto"/>
              </w:rPr>
              <w:t>④石渣路面施工：准备好的石渣材料均匀铺设在路基上，铺设厚度应严格控制为20cm。使用压路机对铺设好的石渣进行压实作业。压实遍数应根据试验段确定，一般不少于4遍。确保石渣路面的压实度符合设计要求，提高路面的承载能力和稳定性。路面压实度应不低于98%。</w:t>
            </w:r>
          </w:p>
          <w:p w14:paraId="0FC5BDBE">
            <w:pPr>
              <w:ind w:firstLine="480"/>
              <w:rPr>
                <w:color w:val="auto"/>
              </w:rPr>
            </w:pPr>
            <w:r>
              <w:rPr>
                <w:rFonts w:hint="eastAsia"/>
                <w:color w:val="auto"/>
              </w:rPr>
              <w:t>⑤验收合格后投入运营。</w:t>
            </w:r>
          </w:p>
          <w:p w14:paraId="300CE47C">
            <w:pPr>
              <w:pStyle w:val="5"/>
              <w:rPr>
                <w:color w:val="auto"/>
              </w:rPr>
            </w:pPr>
            <w:r>
              <w:rPr>
                <w:rFonts w:hint="eastAsia"/>
                <w:color w:val="auto"/>
              </w:rPr>
              <w:t>光伏阵列施工</w:t>
            </w:r>
          </w:p>
          <w:p w14:paraId="79A6474E">
            <w:pPr>
              <w:ind w:firstLine="480"/>
              <w:rPr>
                <w:color w:val="auto"/>
              </w:rPr>
            </w:pPr>
            <w:r>
              <w:rPr>
                <w:rFonts w:hint="eastAsia"/>
                <w:color w:val="auto"/>
              </w:rPr>
              <w:t>（1）光伏阵列基础施工</w:t>
            </w:r>
          </w:p>
          <w:p w14:paraId="7B0A6881">
            <w:pPr>
              <w:ind w:firstLine="480"/>
              <w:rPr>
                <w:color w:val="auto"/>
              </w:rPr>
            </w:pPr>
            <w:r>
              <w:rPr>
                <w:rFonts w:hint="eastAsia"/>
                <w:color w:val="auto"/>
              </w:rPr>
              <w:t>支架基础拟采用灌注桩基础。灌注桩基础施工顺序：放线定位→钻孔→放入钢筋笼→浇筑混凝土→验收。</w:t>
            </w:r>
          </w:p>
          <w:p w14:paraId="59580FBA">
            <w:pPr>
              <w:ind w:firstLine="480"/>
              <w:rPr>
                <w:color w:val="auto"/>
              </w:rPr>
            </w:pPr>
            <w:r>
              <w:rPr>
                <w:rFonts w:hint="eastAsia"/>
                <w:color w:val="auto"/>
              </w:rPr>
              <w:t>光伏阵列基础采用钻孔灌注桩形式，混凝土灌注桩基础施工包括钻孔、钢筋笼制作与安装、混凝土浇筑。</w:t>
            </w:r>
          </w:p>
          <w:p w14:paraId="22603DF2">
            <w:pPr>
              <w:ind w:firstLine="480"/>
              <w:rPr>
                <w:color w:val="auto"/>
              </w:rPr>
            </w:pPr>
            <w:r>
              <w:rPr>
                <w:rFonts w:hint="eastAsia"/>
                <w:color w:val="auto"/>
              </w:rPr>
              <w:t>（2）光伏组件施工</w:t>
            </w:r>
          </w:p>
          <w:p w14:paraId="61352B8D">
            <w:pPr>
              <w:ind w:firstLine="480"/>
              <w:rPr>
                <w:color w:val="auto"/>
              </w:rPr>
            </w:pPr>
            <w:r>
              <w:rPr>
                <w:rFonts w:hint="eastAsia"/>
                <w:color w:val="auto"/>
              </w:rPr>
              <w:t>光伏阵列支架采用钢结构，采用工厂化生产，运至施工现场进行安装，现场仅进行少量的钢构件加工，支架均采用螺栓连接。</w:t>
            </w:r>
          </w:p>
          <w:p w14:paraId="4FD4BABB">
            <w:pPr>
              <w:ind w:firstLine="480"/>
              <w:rPr>
                <w:color w:val="auto"/>
              </w:rPr>
            </w:pPr>
            <w:r>
              <w:rPr>
                <w:rFonts w:hint="eastAsia"/>
                <w:color w:val="auto"/>
              </w:rPr>
              <w:t>本工程太阳电池组件全部采用固定式安装，待太阳电池组件基础验收合格后，进行太阳电池组件的安装，太阳电池组件的安装分为两部分：支架安装、太阳电池组件安装。</w:t>
            </w:r>
          </w:p>
          <w:p w14:paraId="2F0C711A">
            <w:pPr>
              <w:ind w:firstLine="480"/>
              <w:rPr>
                <w:color w:val="auto"/>
              </w:rPr>
            </w:pPr>
            <w:r>
              <w:rPr>
                <w:rFonts w:hint="eastAsia"/>
                <w:color w:val="auto"/>
              </w:rPr>
              <w:t>光伏阵列支架表面应平整，固定太阳电池组件的支架面必须调整在同一平面，各组件应对整齐并成一直线，倾角必须符合设计要求，构件连接螺栓必须加防松垫片并拧紧。太阳电池组件支架安装工艺如下图所示：</w:t>
            </w:r>
          </w:p>
          <w:p w14:paraId="0B5BABC5">
            <w:pPr>
              <w:pStyle w:val="65"/>
              <w:rPr>
                <w:color w:val="auto"/>
              </w:rPr>
            </w:pPr>
            <w:r>
              <w:rPr>
                <w:color w:val="auto"/>
              </w:rPr>
              <w:drawing>
                <wp:inline distT="0" distB="0" distL="0" distR="0">
                  <wp:extent cx="3975100" cy="1704975"/>
                  <wp:effectExtent l="0" t="0" r="6350" b="9525"/>
                  <wp:docPr id="1926337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37547" name="图片 1"/>
                          <pic:cNvPicPr>
                            <a:picLocks noChangeAspect="1"/>
                          </pic:cNvPicPr>
                        </pic:nvPicPr>
                        <pic:blipFill>
                          <a:blip r:embed="rId40"/>
                          <a:stretch>
                            <a:fillRect/>
                          </a:stretch>
                        </pic:blipFill>
                        <pic:spPr>
                          <a:xfrm>
                            <a:off x="0" y="0"/>
                            <a:ext cx="3975100" cy="1711048"/>
                          </a:xfrm>
                          <a:prstGeom prst="rect">
                            <a:avLst/>
                          </a:prstGeom>
                        </pic:spPr>
                      </pic:pic>
                    </a:graphicData>
                  </a:graphic>
                </wp:inline>
              </w:drawing>
            </w:r>
          </w:p>
          <w:p w14:paraId="56D95651">
            <w:pPr>
              <w:pStyle w:val="63"/>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2.9</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太阳电池组件支架安装工艺</w:t>
            </w:r>
          </w:p>
          <w:p w14:paraId="6AD152A4">
            <w:pPr>
              <w:pStyle w:val="5"/>
              <w:rPr>
                <w:color w:val="auto"/>
              </w:rPr>
            </w:pPr>
            <w:r>
              <w:rPr>
                <w:rFonts w:hint="eastAsia"/>
                <w:color w:val="auto"/>
              </w:rPr>
              <w:t>箱、逆变安装</w:t>
            </w:r>
          </w:p>
          <w:p w14:paraId="7B5C4906">
            <w:pPr>
              <w:ind w:firstLine="480"/>
              <w:rPr>
                <w:color w:val="auto"/>
              </w:rPr>
            </w:pPr>
            <w:r>
              <w:rPr>
                <w:rFonts w:hint="eastAsia"/>
                <w:color w:val="auto"/>
              </w:rPr>
              <w:t>本工程采用组串式逆变器。组串式逆变器及其配套电气设备通过汽车运抵安装位置附近，采用吊车、液压升降小车等设备进行安装就位。</w:t>
            </w:r>
          </w:p>
          <w:p w14:paraId="1E6A574E">
            <w:pPr>
              <w:ind w:firstLine="480"/>
              <w:rPr>
                <w:color w:val="auto"/>
              </w:rPr>
            </w:pPr>
            <w:r>
              <w:rPr>
                <w:rFonts w:hint="eastAsia"/>
                <w:color w:val="auto"/>
              </w:rPr>
              <w:t>箱变及相关配套电气设备安装于混凝土基础上，基础上预埋槽钢，进出电缆线配有电缆沟。箱变和配套电气设备通过汽车运抵配电间附近，采用吊车将箱变吊到基础槽钢上，进行调平就位。</w:t>
            </w:r>
          </w:p>
          <w:p w14:paraId="70A40301">
            <w:pPr>
              <w:pStyle w:val="5"/>
              <w:rPr>
                <w:color w:val="auto"/>
              </w:rPr>
            </w:pPr>
            <w:r>
              <w:rPr>
                <w:rFonts w:hint="eastAsia"/>
                <w:color w:val="auto"/>
              </w:rPr>
              <w:t>集电线路施工</w:t>
            </w:r>
          </w:p>
          <w:p w14:paraId="5F143BFE">
            <w:pPr>
              <w:ind w:firstLine="480"/>
              <w:rPr>
                <w:color w:val="auto"/>
              </w:rPr>
            </w:pPr>
            <w:r>
              <w:rPr>
                <w:rFonts w:hint="eastAsia"/>
                <w:color w:val="auto"/>
              </w:rPr>
              <w:t>本项目集电线路采用直埋电缆和架空导线相结合的方式。</w:t>
            </w:r>
          </w:p>
          <w:p w14:paraId="264E5837">
            <w:pPr>
              <w:ind w:firstLine="480"/>
              <w:rPr>
                <w:color w:val="auto"/>
              </w:rPr>
            </w:pPr>
            <w:r>
              <w:rPr>
                <w:rFonts w:hint="eastAsia"/>
                <w:color w:val="auto"/>
              </w:rPr>
              <w:t>（一）直埋电缆施工包括沟槽开挖、基地处理、电缆埋设和沟槽回填。</w:t>
            </w:r>
          </w:p>
          <w:p w14:paraId="269B00C3">
            <w:pPr>
              <w:ind w:firstLine="480"/>
              <w:rPr>
                <w:color w:val="auto"/>
              </w:rPr>
            </w:pPr>
            <w:r>
              <w:rPr>
                <w:rFonts w:hint="eastAsia"/>
                <w:color w:val="auto"/>
              </w:rPr>
              <w:t>沟槽开挖：电缆沟开挖尺寸为顶宽1.6m，底宽1m，深1m，拟采用机械、人工开挖，然后预留20cm进行人工清底，以防超挖，边坡放坡系数视现场土质情况而定。必要时应加挡土板进行支护，堆放在沟槽两侧的堆土高度应控制在1.5m以内。</w:t>
            </w:r>
          </w:p>
          <w:p w14:paraId="2378F6F5">
            <w:pPr>
              <w:ind w:firstLine="480"/>
              <w:rPr>
                <w:color w:val="auto"/>
              </w:rPr>
            </w:pPr>
            <w:r>
              <w:rPr>
                <w:rFonts w:hint="eastAsia"/>
                <w:color w:val="auto"/>
              </w:rPr>
              <w:t>沟槽两侧施工作业带施工期堆土前优先进行密目网铺垫，保护作业带表层土，沟槽施工开挖表层和基础挖方在沟两侧分开堆放，并对土方进行临时覆盖措施。</w:t>
            </w:r>
          </w:p>
          <w:p w14:paraId="72A6DEBB">
            <w:pPr>
              <w:ind w:firstLine="480"/>
              <w:rPr>
                <w:color w:val="auto"/>
              </w:rPr>
            </w:pPr>
            <w:r>
              <w:rPr>
                <w:rFonts w:hint="eastAsia"/>
                <w:color w:val="auto"/>
              </w:rPr>
              <w:t>直埋电缆沿道路铺设段施工作业面较宽，可以采用机械开挖；局部在光伏板区铺设或者陡峭路段采用人工开挖，不用临时开设施工便道。</w:t>
            </w:r>
          </w:p>
          <w:p w14:paraId="06BBA1F3">
            <w:pPr>
              <w:ind w:firstLine="480"/>
              <w:rPr>
                <w:color w:val="auto"/>
              </w:rPr>
            </w:pPr>
            <w:r>
              <w:rPr>
                <w:rFonts w:hint="eastAsia"/>
                <w:color w:val="auto"/>
              </w:rPr>
              <w:t>基底处理：在基底开挖后，铺砂垫层后放置电缆，再铺一层细沙后覆盖红砖，然后进行回填，在电缆接头处设砖砌电缆井。</w:t>
            </w:r>
          </w:p>
          <w:p w14:paraId="67409E0C">
            <w:pPr>
              <w:ind w:firstLine="480"/>
              <w:rPr>
                <w:color w:val="auto"/>
              </w:rPr>
            </w:pPr>
            <w:r>
              <w:rPr>
                <w:rFonts w:hint="eastAsia"/>
                <w:color w:val="auto"/>
              </w:rPr>
              <w:t>电缆沟回填：在进行各项试验合格后，可对电缆沟进行回填，回填时，先将干砂填至电缆沟上部100mm处，用人工打夯、密实后方可开始填土。填土应分层进行，每层松填厚度不超过300mm，电缆沟顶部400mm内采用人工拍打密实，密实度需达到85%以上，方可进行蛙式打夯机打夯密实，密实度需达到95%以上。</w:t>
            </w:r>
          </w:p>
          <w:p w14:paraId="34FC2A19">
            <w:pPr>
              <w:ind w:firstLine="480"/>
              <w:rPr>
                <w:color w:val="auto"/>
              </w:rPr>
            </w:pPr>
            <w:r>
              <w:rPr>
                <w:rFonts w:hint="eastAsia"/>
                <w:color w:val="auto"/>
              </w:rPr>
              <w:t>电缆沟土方回填注意优先回填基础挖方，再进行表层土回填。</w:t>
            </w:r>
          </w:p>
          <w:p w14:paraId="48E7BE99">
            <w:pPr>
              <w:ind w:firstLine="480"/>
              <w:rPr>
                <w:color w:val="auto"/>
              </w:rPr>
            </w:pPr>
            <w:r>
              <w:rPr>
                <w:rFonts w:hint="eastAsia"/>
                <w:color w:val="auto"/>
              </w:rPr>
              <w:t>直埋电缆沿道路铺设段按道路路面结构进行施工，面层为路面。局部不是沿道路铺设段回填、覆土后进行绿化/复耕。</w:t>
            </w:r>
          </w:p>
          <w:p w14:paraId="7D87D24A">
            <w:pPr>
              <w:ind w:firstLine="480"/>
              <w:rPr>
                <w:color w:val="auto"/>
              </w:rPr>
            </w:pPr>
            <w:r>
              <w:rPr>
                <w:rFonts w:hint="eastAsia"/>
                <w:color w:val="auto"/>
              </w:rPr>
              <w:t>（二）对于架空导线通过新建塔基对导线进行架设。线路工程施工分四个阶段：一是施工准备；二是基础施工；三是铁塔施工；四是架线。</w:t>
            </w:r>
          </w:p>
          <w:p w14:paraId="5E9B5180">
            <w:pPr>
              <w:ind w:firstLine="480"/>
              <w:rPr>
                <w:color w:val="auto"/>
              </w:rPr>
            </w:pPr>
            <w:r>
              <w:rPr>
                <w:rFonts w:hint="eastAsia"/>
                <w:color w:val="auto"/>
              </w:rPr>
              <w:t>（</w:t>
            </w:r>
            <w:r>
              <w:rPr>
                <w:color w:val="auto"/>
              </w:rPr>
              <w:t>1</w:t>
            </w:r>
            <w:r>
              <w:rPr>
                <w:rFonts w:hint="eastAsia"/>
                <w:color w:val="auto"/>
              </w:rPr>
              <w:t>）施工准备</w:t>
            </w:r>
          </w:p>
          <w:p w14:paraId="079275A4">
            <w:pPr>
              <w:ind w:firstLine="480"/>
              <w:rPr>
                <w:color w:val="auto"/>
              </w:rPr>
            </w:pPr>
            <w:r>
              <w:rPr>
                <w:rFonts w:hint="eastAsia"/>
                <w:color w:val="auto"/>
              </w:rPr>
              <w:t>施工准备阶段主要是施工备料及临时施工道路的施工，本工程线路沿线公路较多材料运输尽量利用已有公路，施工时也需进行一些简易的人抬路及机动车便道施工。</w:t>
            </w:r>
          </w:p>
          <w:p w14:paraId="18B7DBC3">
            <w:pPr>
              <w:ind w:firstLine="480"/>
              <w:rPr>
                <w:color w:val="auto"/>
              </w:rPr>
            </w:pPr>
            <w:r>
              <w:rPr>
                <w:rFonts w:hint="eastAsia"/>
                <w:color w:val="auto"/>
              </w:rPr>
              <w:t>（</w:t>
            </w:r>
            <w:r>
              <w:rPr>
                <w:color w:val="auto"/>
              </w:rPr>
              <w:t>2</w:t>
            </w:r>
            <w:r>
              <w:rPr>
                <w:rFonts w:hint="eastAsia"/>
                <w:color w:val="auto"/>
              </w:rPr>
              <w:t>）基础施工</w:t>
            </w:r>
          </w:p>
          <w:p w14:paraId="607690BE">
            <w:pPr>
              <w:ind w:firstLine="480"/>
              <w:rPr>
                <w:color w:val="auto"/>
              </w:rPr>
            </w:pPr>
            <w:r>
              <w:rPr>
                <w:rFonts w:hint="eastAsia"/>
                <w:color w:val="auto"/>
              </w:rPr>
              <w:t>①基础土石方工程</w:t>
            </w:r>
          </w:p>
          <w:p w14:paraId="3F9BBF1C">
            <w:pPr>
              <w:ind w:firstLine="480"/>
              <w:rPr>
                <w:color w:val="auto"/>
              </w:rPr>
            </w:pPr>
            <w:r>
              <w:rPr>
                <w:rFonts w:hint="eastAsia"/>
                <w:color w:val="auto"/>
              </w:rPr>
              <w:t>按照塔位地质状况及所采用的基础形式，塔基土石方工程主要为</w:t>
            </w:r>
            <w:r>
              <w:rPr>
                <w:color w:val="auto"/>
              </w:rPr>
              <w:t>“</w:t>
            </w:r>
            <w:r>
              <w:rPr>
                <w:rFonts w:hint="eastAsia"/>
                <w:color w:val="auto"/>
              </w:rPr>
              <w:t>开挖</w:t>
            </w:r>
            <w:r>
              <w:rPr>
                <w:color w:val="auto"/>
              </w:rPr>
              <w:t>—</w:t>
            </w:r>
            <w:r>
              <w:rPr>
                <w:rFonts w:hint="eastAsia"/>
                <w:color w:val="auto"/>
              </w:rPr>
              <w:t>回填</w:t>
            </w:r>
            <w:r>
              <w:rPr>
                <w:color w:val="auto"/>
              </w:rPr>
              <w:t>”</w:t>
            </w:r>
            <w:r>
              <w:rPr>
                <w:rFonts w:hint="eastAsia"/>
                <w:color w:val="auto"/>
              </w:rPr>
              <w:t>工艺过程。人工挖孔桩基础和掏挖基础分为</w:t>
            </w:r>
            <w:r>
              <w:rPr>
                <w:color w:val="auto"/>
              </w:rPr>
              <w:t>“</w:t>
            </w:r>
            <w:r>
              <w:rPr>
                <w:rFonts w:hint="eastAsia"/>
                <w:color w:val="auto"/>
              </w:rPr>
              <w:t>开挖</w:t>
            </w:r>
            <w:r>
              <w:rPr>
                <w:color w:val="auto"/>
              </w:rPr>
              <w:t>—</w:t>
            </w:r>
            <w:r>
              <w:rPr>
                <w:rFonts w:hint="eastAsia"/>
                <w:color w:val="auto"/>
              </w:rPr>
              <w:t>回填</w:t>
            </w:r>
            <w:r>
              <w:rPr>
                <w:color w:val="auto"/>
              </w:rPr>
              <w:t>”</w:t>
            </w:r>
            <w:r>
              <w:rPr>
                <w:rFonts w:hint="eastAsia"/>
                <w:color w:val="auto"/>
              </w:rPr>
              <w:t>两个工艺过程，采用人工开挖的形式进行基础开挖，开挖尺寸较实际略大，基础开挖完成后进行混凝土浇筑，然后对基础孔隙进行土方回填，根据基坑回填后的余土工程量计算出抬高基础的外露高度，将弃土堆放于基础的塔基范围内，并堆放成龟背型（堆放土石方边缘按</w:t>
            </w:r>
            <w:r>
              <w:rPr>
                <w:color w:val="auto"/>
              </w:rPr>
              <w:t>1</w:t>
            </w:r>
            <w:r>
              <w:rPr>
                <w:rFonts w:hint="eastAsia"/>
                <w:color w:val="auto"/>
              </w:rPr>
              <w:t>：</w:t>
            </w:r>
            <w:r>
              <w:rPr>
                <w:color w:val="auto"/>
              </w:rPr>
              <w:t>1.5</w:t>
            </w:r>
            <w:r>
              <w:rPr>
                <w:rFonts w:hint="eastAsia"/>
                <w:color w:val="auto"/>
              </w:rPr>
              <w:t>放坡），以防止积水。</w:t>
            </w:r>
          </w:p>
          <w:p w14:paraId="54FF7933">
            <w:pPr>
              <w:ind w:firstLine="480"/>
              <w:rPr>
                <w:color w:val="auto"/>
              </w:rPr>
            </w:pPr>
            <w:r>
              <w:rPr>
                <w:rFonts w:hint="eastAsia"/>
                <w:color w:val="auto"/>
              </w:rPr>
              <w:t>②基础混凝土浇筑</w:t>
            </w:r>
          </w:p>
          <w:p w14:paraId="67D9862C">
            <w:pPr>
              <w:ind w:firstLine="480"/>
              <w:rPr>
                <w:color w:val="auto"/>
              </w:rPr>
            </w:pPr>
            <w:r>
              <w:rPr>
                <w:rFonts w:hint="eastAsia"/>
                <w:color w:val="auto"/>
              </w:rPr>
              <w:t>位于平地区交通方便的塔基采用商品混凝土浇筑，罐车运输，人工进仓，插入式振捣器振动；位于丘陵区的塔基采用现场人工拌制，人工进仓，插入式振捣器振动。为减少砂石含泥量，保证混凝土强度，现场人工拌制在纤维布或钢板上进行。基础施工时，随挖随浇筑，尽量缩短基坑暴露时间，防止基坑积水或塌埋。</w:t>
            </w:r>
          </w:p>
          <w:p w14:paraId="1EFD2E5D">
            <w:pPr>
              <w:ind w:firstLine="480"/>
              <w:rPr>
                <w:color w:val="auto"/>
              </w:rPr>
            </w:pPr>
            <w:r>
              <w:rPr>
                <w:rFonts w:hint="eastAsia"/>
                <w:color w:val="auto"/>
              </w:rPr>
              <w:t>③</w:t>
            </w:r>
            <w:r>
              <w:rPr>
                <w:color w:val="auto"/>
              </w:rPr>
              <w:t>导线架设挂</w:t>
            </w:r>
          </w:p>
          <w:p w14:paraId="71E85A3B">
            <w:pPr>
              <w:ind w:firstLine="480"/>
              <w:rPr>
                <w:color w:val="auto"/>
              </w:rPr>
            </w:pPr>
            <w:r>
              <w:rPr>
                <w:color w:val="auto"/>
              </w:rPr>
              <w:t>导线采用牵引机、张力机，牵张场地应满足牵引机、张力机能直接运达到位，地形应平坦，能满足布置牵张设备、布置导线及施工操作等要求。张力放线后应尽快进行架线，一般以张力放线施工段作紧线段，以直线塔为紧线操作塔。紧线完毕后应尽快进行耐张塔的附件安装和直线塔的线夹安装、防振金具和间隔棒的安装。</w:t>
            </w:r>
          </w:p>
          <w:p w14:paraId="79DA8F54">
            <w:pPr>
              <w:pStyle w:val="5"/>
              <w:rPr>
                <w:color w:val="auto"/>
              </w:rPr>
            </w:pPr>
            <w:r>
              <w:rPr>
                <w:color w:val="auto"/>
              </w:rPr>
              <w:t>施工总进度</w:t>
            </w:r>
          </w:p>
          <w:p w14:paraId="50B97A22">
            <w:pPr>
              <w:ind w:firstLine="480"/>
              <w:rPr>
                <w:color w:val="auto"/>
              </w:rPr>
            </w:pPr>
            <w:r>
              <w:rPr>
                <w:color w:val="auto"/>
              </w:rPr>
              <w:t>本项目建设期为</w:t>
            </w:r>
            <w:r>
              <w:rPr>
                <w:rFonts w:hint="eastAsia"/>
                <w:color w:val="auto"/>
              </w:rPr>
              <w:t>6</w:t>
            </w:r>
            <w:r>
              <w:rPr>
                <w:color w:val="auto"/>
              </w:rPr>
              <w:t>个月</w:t>
            </w:r>
            <w:r>
              <w:rPr>
                <w:rFonts w:hint="eastAsia"/>
                <w:color w:val="auto"/>
              </w:rPr>
              <w:t>，</w:t>
            </w:r>
            <w:r>
              <w:rPr>
                <w:color w:val="auto"/>
              </w:rPr>
              <w:t>工程计划于202</w:t>
            </w:r>
            <w:r>
              <w:rPr>
                <w:rFonts w:hint="eastAsia"/>
                <w:color w:val="auto"/>
              </w:rPr>
              <w:t>6</w:t>
            </w:r>
            <w:r>
              <w:rPr>
                <w:color w:val="auto"/>
              </w:rPr>
              <w:t>年</w:t>
            </w:r>
            <w:r>
              <w:rPr>
                <w:rFonts w:hint="eastAsia"/>
                <w:color w:val="auto"/>
              </w:rPr>
              <w:t>2</w:t>
            </w:r>
            <w:r>
              <w:rPr>
                <w:color w:val="auto"/>
              </w:rPr>
              <w:t>月开工，预计于2025年</w:t>
            </w:r>
            <w:r>
              <w:rPr>
                <w:rFonts w:hint="eastAsia"/>
                <w:color w:val="auto"/>
              </w:rPr>
              <w:t>7</w:t>
            </w:r>
            <w:r>
              <w:rPr>
                <w:color w:val="auto"/>
              </w:rPr>
              <w:t>月完工。施工总进度见下表。</w:t>
            </w:r>
          </w:p>
          <w:bookmarkEnd w:id="554"/>
          <w:bookmarkEnd w:id="555"/>
          <w:bookmarkEnd w:id="556"/>
          <w:p w14:paraId="768F447D">
            <w:pPr>
              <w:spacing w:line="240" w:lineRule="auto"/>
              <w:ind w:firstLine="482"/>
              <w:jc w:val="center"/>
              <w:rPr>
                <w:b/>
                <w:color w:val="auto"/>
              </w:rPr>
            </w:pPr>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2.9</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2</w:t>
            </w:r>
            <w:r>
              <w:rPr>
                <w:b/>
                <w:bCs/>
                <w:color w:val="auto"/>
                <w:szCs w:val="24"/>
              </w:rPr>
              <w:fldChar w:fldCharType="end"/>
            </w:r>
            <w:r>
              <w:rPr>
                <w:b/>
                <w:bCs/>
                <w:color w:val="auto"/>
                <w:szCs w:val="24"/>
              </w:rPr>
              <w:t xml:space="preserve"> </w:t>
            </w:r>
            <w:r>
              <w:rPr>
                <w:b/>
                <w:color w:val="auto"/>
              </w:rPr>
              <w:t xml:space="preserve"> 施工总进度表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9"/>
              <w:gridCol w:w="2260"/>
              <w:gridCol w:w="1080"/>
            </w:tblGrid>
            <w:tr w14:paraId="3D6D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78" w:type="pct"/>
                  <w:vAlign w:val="center"/>
                </w:tcPr>
                <w:p w14:paraId="71435CF4">
                  <w:pPr>
                    <w:widowControl/>
                    <w:spacing w:line="240" w:lineRule="auto"/>
                    <w:ind w:firstLine="0" w:firstLineChars="0"/>
                    <w:jc w:val="center"/>
                    <w:rPr>
                      <w:b/>
                      <w:bCs/>
                      <w:color w:val="auto"/>
                      <w:kern w:val="0"/>
                      <w:sz w:val="21"/>
                      <w:szCs w:val="21"/>
                    </w:rPr>
                  </w:pPr>
                  <w:r>
                    <w:rPr>
                      <w:rFonts w:hint="eastAsia"/>
                      <w:b/>
                      <w:bCs/>
                      <w:color w:val="auto"/>
                      <w:kern w:val="0"/>
                      <w:sz w:val="21"/>
                      <w:szCs w:val="21"/>
                    </w:rPr>
                    <w:t>名称</w:t>
                  </w:r>
                </w:p>
              </w:tc>
              <w:tc>
                <w:tcPr>
                  <w:tcW w:w="1436" w:type="pct"/>
                  <w:vAlign w:val="center"/>
                </w:tcPr>
                <w:p w14:paraId="4051EC0F">
                  <w:pPr>
                    <w:widowControl/>
                    <w:spacing w:line="240" w:lineRule="auto"/>
                    <w:ind w:firstLine="0" w:firstLineChars="0"/>
                    <w:jc w:val="center"/>
                    <w:rPr>
                      <w:b/>
                      <w:bCs/>
                      <w:color w:val="auto"/>
                      <w:kern w:val="0"/>
                      <w:sz w:val="21"/>
                      <w:szCs w:val="21"/>
                    </w:rPr>
                  </w:pPr>
                  <w:r>
                    <w:rPr>
                      <w:rFonts w:hint="eastAsia"/>
                      <w:b/>
                      <w:bCs/>
                      <w:color w:val="auto"/>
                      <w:kern w:val="0"/>
                      <w:sz w:val="21"/>
                      <w:szCs w:val="21"/>
                    </w:rPr>
                    <w:t>施工时间</w:t>
                  </w:r>
                </w:p>
              </w:tc>
              <w:tc>
                <w:tcPr>
                  <w:tcW w:w="686" w:type="pct"/>
                  <w:vAlign w:val="center"/>
                </w:tcPr>
                <w:p w14:paraId="21D9D930">
                  <w:pPr>
                    <w:widowControl/>
                    <w:spacing w:line="240" w:lineRule="auto"/>
                    <w:ind w:firstLine="0" w:firstLineChars="0"/>
                    <w:jc w:val="center"/>
                    <w:rPr>
                      <w:b/>
                      <w:bCs/>
                      <w:color w:val="auto"/>
                      <w:kern w:val="0"/>
                      <w:sz w:val="21"/>
                      <w:szCs w:val="21"/>
                    </w:rPr>
                  </w:pPr>
                  <w:r>
                    <w:rPr>
                      <w:b/>
                      <w:bCs/>
                      <w:color w:val="auto"/>
                      <w:kern w:val="0"/>
                      <w:sz w:val="21"/>
                      <w:szCs w:val="21"/>
                    </w:rPr>
                    <w:t>备注</w:t>
                  </w:r>
                </w:p>
              </w:tc>
            </w:tr>
            <w:tr w14:paraId="23BA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78" w:type="pct"/>
                  <w:vAlign w:val="center"/>
                </w:tcPr>
                <w:p w14:paraId="36D8284A">
                  <w:pPr>
                    <w:widowControl/>
                    <w:spacing w:line="240" w:lineRule="auto"/>
                    <w:ind w:firstLine="0" w:firstLineChars="0"/>
                    <w:jc w:val="center"/>
                    <w:rPr>
                      <w:color w:val="auto"/>
                      <w:kern w:val="0"/>
                      <w:sz w:val="21"/>
                      <w:szCs w:val="21"/>
                    </w:rPr>
                  </w:pPr>
                  <w:r>
                    <w:rPr>
                      <w:color w:val="auto"/>
                      <w:sz w:val="21"/>
                      <w:szCs w:val="21"/>
                    </w:rPr>
                    <w:t>施工准备</w:t>
                  </w:r>
                </w:p>
              </w:tc>
              <w:tc>
                <w:tcPr>
                  <w:tcW w:w="1436" w:type="pct"/>
                  <w:vAlign w:val="center"/>
                </w:tcPr>
                <w:p w14:paraId="1D8E8097">
                  <w:pPr>
                    <w:widowControl/>
                    <w:spacing w:line="240" w:lineRule="auto"/>
                    <w:ind w:firstLine="0" w:firstLineChars="0"/>
                    <w:jc w:val="center"/>
                    <w:rPr>
                      <w:color w:val="auto"/>
                      <w:kern w:val="0"/>
                      <w:sz w:val="21"/>
                      <w:szCs w:val="21"/>
                    </w:rPr>
                  </w:pPr>
                  <w:r>
                    <w:rPr>
                      <w:rFonts w:hint="eastAsia"/>
                      <w:color w:val="auto"/>
                      <w:sz w:val="21"/>
                      <w:szCs w:val="21"/>
                    </w:rPr>
                    <w:t>1</w:t>
                  </w:r>
                  <w:r>
                    <w:rPr>
                      <w:color w:val="auto"/>
                      <w:sz w:val="21"/>
                      <w:szCs w:val="21"/>
                    </w:rPr>
                    <w:t>个月</w:t>
                  </w:r>
                </w:p>
              </w:tc>
              <w:tc>
                <w:tcPr>
                  <w:tcW w:w="686" w:type="pct"/>
                  <w:vAlign w:val="center"/>
                </w:tcPr>
                <w:p w14:paraId="7EE7F54C">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770B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78" w:type="pct"/>
                  <w:vAlign w:val="center"/>
                </w:tcPr>
                <w:p w14:paraId="3F0E04A7">
                  <w:pPr>
                    <w:widowControl/>
                    <w:spacing w:line="240" w:lineRule="auto"/>
                    <w:ind w:firstLine="0" w:firstLineChars="0"/>
                    <w:jc w:val="center"/>
                    <w:rPr>
                      <w:color w:val="auto"/>
                      <w:kern w:val="0"/>
                      <w:sz w:val="21"/>
                      <w:szCs w:val="21"/>
                    </w:rPr>
                  </w:pPr>
                  <w:r>
                    <w:rPr>
                      <w:rFonts w:hint="eastAsia"/>
                      <w:color w:val="auto"/>
                      <w:sz w:val="21"/>
                      <w:szCs w:val="21"/>
                    </w:rPr>
                    <w:t>改扩建道路、新建道路修建</w:t>
                  </w:r>
                </w:p>
              </w:tc>
              <w:tc>
                <w:tcPr>
                  <w:tcW w:w="1436" w:type="pct"/>
                  <w:vAlign w:val="center"/>
                </w:tcPr>
                <w:p w14:paraId="17D56239">
                  <w:pPr>
                    <w:widowControl/>
                    <w:spacing w:line="240" w:lineRule="auto"/>
                    <w:ind w:firstLine="0" w:firstLineChars="0"/>
                    <w:jc w:val="center"/>
                    <w:rPr>
                      <w:color w:val="auto"/>
                      <w:kern w:val="0"/>
                      <w:sz w:val="21"/>
                      <w:szCs w:val="21"/>
                    </w:rPr>
                  </w:pPr>
                  <w:r>
                    <w:rPr>
                      <w:rFonts w:hint="eastAsia"/>
                      <w:color w:val="auto"/>
                      <w:sz w:val="21"/>
                      <w:szCs w:val="21"/>
                    </w:rPr>
                    <w:t>1.5</w:t>
                  </w:r>
                  <w:r>
                    <w:rPr>
                      <w:color w:val="auto"/>
                      <w:sz w:val="21"/>
                      <w:szCs w:val="21"/>
                    </w:rPr>
                    <w:t>个月</w:t>
                  </w:r>
                </w:p>
              </w:tc>
              <w:tc>
                <w:tcPr>
                  <w:tcW w:w="686" w:type="pct"/>
                  <w:vAlign w:val="center"/>
                </w:tcPr>
                <w:p w14:paraId="7025D93B">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DF7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78" w:type="pct"/>
                  <w:vAlign w:val="center"/>
                </w:tcPr>
                <w:p w14:paraId="1210C740">
                  <w:pPr>
                    <w:widowControl/>
                    <w:spacing w:line="240" w:lineRule="auto"/>
                    <w:ind w:firstLine="0" w:firstLineChars="0"/>
                    <w:jc w:val="center"/>
                    <w:rPr>
                      <w:color w:val="auto"/>
                      <w:kern w:val="0"/>
                      <w:sz w:val="21"/>
                      <w:szCs w:val="21"/>
                    </w:rPr>
                  </w:pPr>
                  <w:r>
                    <w:rPr>
                      <w:rFonts w:hint="eastAsia"/>
                      <w:color w:val="auto"/>
                      <w:sz w:val="21"/>
                      <w:szCs w:val="21"/>
                    </w:rPr>
                    <w:t>箱变土建工程</w:t>
                  </w:r>
                </w:p>
              </w:tc>
              <w:tc>
                <w:tcPr>
                  <w:tcW w:w="1436" w:type="pct"/>
                  <w:vAlign w:val="center"/>
                </w:tcPr>
                <w:p w14:paraId="28B88F6F">
                  <w:pPr>
                    <w:widowControl/>
                    <w:spacing w:line="240" w:lineRule="auto"/>
                    <w:ind w:firstLine="0" w:firstLineChars="0"/>
                    <w:jc w:val="center"/>
                    <w:rPr>
                      <w:color w:val="auto"/>
                      <w:kern w:val="0"/>
                      <w:sz w:val="21"/>
                      <w:szCs w:val="21"/>
                    </w:rPr>
                  </w:pPr>
                  <w:r>
                    <w:rPr>
                      <w:rFonts w:hint="eastAsia"/>
                      <w:color w:val="auto"/>
                      <w:sz w:val="21"/>
                      <w:szCs w:val="21"/>
                    </w:rPr>
                    <w:t>1</w:t>
                  </w:r>
                  <w:r>
                    <w:rPr>
                      <w:color w:val="auto"/>
                      <w:sz w:val="21"/>
                      <w:szCs w:val="21"/>
                    </w:rPr>
                    <w:t>个月</w:t>
                  </w:r>
                </w:p>
              </w:tc>
              <w:tc>
                <w:tcPr>
                  <w:tcW w:w="686" w:type="pct"/>
                  <w:vAlign w:val="center"/>
                </w:tcPr>
                <w:p w14:paraId="4B635D1B">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3E53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78" w:type="pct"/>
                  <w:vAlign w:val="center"/>
                </w:tcPr>
                <w:p w14:paraId="62052733">
                  <w:pPr>
                    <w:widowControl/>
                    <w:spacing w:line="240" w:lineRule="auto"/>
                    <w:ind w:firstLine="0" w:firstLineChars="0"/>
                    <w:jc w:val="center"/>
                    <w:rPr>
                      <w:color w:val="auto"/>
                      <w:sz w:val="21"/>
                      <w:szCs w:val="21"/>
                    </w:rPr>
                  </w:pPr>
                  <w:r>
                    <w:rPr>
                      <w:rFonts w:hint="eastAsia"/>
                      <w:color w:val="auto"/>
                      <w:sz w:val="21"/>
                      <w:szCs w:val="21"/>
                    </w:rPr>
                    <w:t>集电线路</w:t>
                  </w:r>
                </w:p>
              </w:tc>
              <w:tc>
                <w:tcPr>
                  <w:tcW w:w="1436" w:type="pct"/>
                  <w:vAlign w:val="center"/>
                </w:tcPr>
                <w:p w14:paraId="7ABDB68D">
                  <w:pPr>
                    <w:widowControl/>
                    <w:spacing w:line="240" w:lineRule="auto"/>
                    <w:ind w:firstLine="0" w:firstLineChars="0"/>
                    <w:jc w:val="center"/>
                    <w:rPr>
                      <w:color w:val="auto"/>
                      <w:sz w:val="21"/>
                      <w:szCs w:val="21"/>
                    </w:rPr>
                  </w:pPr>
                  <w:r>
                    <w:rPr>
                      <w:rFonts w:hint="eastAsia"/>
                      <w:color w:val="auto"/>
                      <w:sz w:val="21"/>
                      <w:szCs w:val="21"/>
                    </w:rPr>
                    <w:t>1个月</w:t>
                  </w:r>
                </w:p>
              </w:tc>
              <w:tc>
                <w:tcPr>
                  <w:tcW w:w="686" w:type="pct"/>
                  <w:vAlign w:val="center"/>
                </w:tcPr>
                <w:p w14:paraId="5B11360F">
                  <w:pPr>
                    <w:widowControl/>
                    <w:spacing w:line="240" w:lineRule="auto"/>
                    <w:ind w:firstLine="0" w:firstLineChars="0"/>
                    <w:jc w:val="center"/>
                    <w:rPr>
                      <w:color w:val="auto"/>
                      <w:kern w:val="0"/>
                      <w:sz w:val="21"/>
                      <w:szCs w:val="21"/>
                    </w:rPr>
                  </w:pPr>
                </w:p>
              </w:tc>
            </w:tr>
            <w:tr w14:paraId="5350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78" w:type="pct"/>
                  <w:vAlign w:val="center"/>
                </w:tcPr>
                <w:p w14:paraId="2D29DDDE">
                  <w:pPr>
                    <w:widowControl/>
                    <w:spacing w:line="240" w:lineRule="auto"/>
                    <w:ind w:firstLine="0" w:firstLineChars="0"/>
                    <w:jc w:val="center"/>
                    <w:rPr>
                      <w:color w:val="auto"/>
                      <w:kern w:val="0"/>
                      <w:sz w:val="21"/>
                      <w:szCs w:val="21"/>
                    </w:rPr>
                  </w:pPr>
                  <w:r>
                    <w:rPr>
                      <w:rFonts w:hint="eastAsia"/>
                      <w:color w:val="auto"/>
                      <w:sz w:val="21"/>
                      <w:szCs w:val="21"/>
                    </w:rPr>
                    <w:t>光伏阵列设备安装及调试</w:t>
                  </w:r>
                </w:p>
              </w:tc>
              <w:tc>
                <w:tcPr>
                  <w:tcW w:w="1436" w:type="pct"/>
                  <w:vAlign w:val="center"/>
                </w:tcPr>
                <w:p w14:paraId="3A314B2A">
                  <w:pPr>
                    <w:widowControl/>
                    <w:spacing w:line="240" w:lineRule="auto"/>
                    <w:ind w:firstLine="0" w:firstLineChars="0"/>
                    <w:jc w:val="center"/>
                    <w:rPr>
                      <w:color w:val="auto"/>
                      <w:kern w:val="0"/>
                      <w:sz w:val="21"/>
                      <w:szCs w:val="21"/>
                    </w:rPr>
                  </w:pPr>
                  <w:r>
                    <w:rPr>
                      <w:rFonts w:hint="eastAsia"/>
                      <w:color w:val="auto"/>
                      <w:kern w:val="0"/>
                      <w:sz w:val="21"/>
                      <w:szCs w:val="21"/>
                    </w:rPr>
                    <w:t>1个月</w:t>
                  </w:r>
                </w:p>
              </w:tc>
              <w:tc>
                <w:tcPr>
                  <w:tcW w:w="686" w:type="pct"/>
                  <w:vAlign w:val="center"/>
                </w:tcPr>
                <w:p w14:paraId="101D68F8">
                  <w:pPr>
                    <w:widowControl/>
                    <w:spacing w:line="240" w:lineRule="auto"/>
                    <w:ind w:firstLine="0" w:firstLineChars="0"/>
                    <w:jc w:val="center"/>
                    <w:rPr>
                      <w:color w:val="auto"/>
                      <w:kern w:val="0"/>
                      <w:sz w:val="21"/>
                      <w:szCs w:val="21"/>
                    </w:rPr>
                  </w:pPr>
                  <w:r>
                    <w:rPr>
                      <w:rFonts w:hint="eastAsia"/>
                      <w:color w:val="auto"/>
                      <w:kern w:val="0"/>
                      <w:sz w:val="21"/>
                      <w:szCs w:val="21"/>
                    </w:rPr>
                    <w:t>/</w:t>
                  </w:r>
                </w:p>
              </w:tc>
            </w:tr>
            <w:tr w14:paraId="2208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78" w:type="pct"/>
                  <w:vAlign w:val="center"/>
                </w:tcPr>
                <w:p w14:paraId="5B567C65">
                  <w:pPr>
                    <w:widowControl/>
                    <w:spacing w:line="240" w:lineRule="auto"/>
                    <w:ind w:firstLine="0" w:firstLineChars="0"/>
                    <w:jc w:val="center"/>
                    <w:rPr>
                      <w:color w:val="auto"/>
                      <w:kern w:val="0"/>
                      <w:sz w:val="21"/>
                      <w:szCs w:val="21"/>
                    </w:rPr>
                  </w:pPr>
                  <w:r>
                    <w:rPr>
                      <w:rFonts w:hint="eastAsia"/>
                      <w:color w:val="auto"/>
                      <w:sz w:val="21"/>
                      <w:szCs w:val="21"/>
                    </w:rPr>
                    <w:t>逆变升压单元安装及调试</w:t>
                  </w:r>
                </w:p>
              </w:tc>
              <w:tc>
                <w:tcPr>
                  <w:tcW w:w="1436" w:type="pct"/>
                  <w:vAlign w:val="center"/>
                </w:tcPr>
                <w:p w14:paraId="1FEF1545">
                  <w:pPr>
                    <w:widowControl/>
                    <w:spacing w:line="240" w:lineRule="auto"/>
                    <w:ind w:firstLine="0" w:firstLineChars="0"/>
                    <w:jc w:val="center"/>
                    <w:rPr>
                      <w:color w:val="auto"/>
                      <w:kern w:val="0"/>
                      <w:sz w:val="21"/>
                      <w:szCs w:val="21"/>
                    </w:rPr>
                  </w:pPr>
                  <w:r>
                    <w:rPr>
                      <w:rFonts w:hint="eastAsia"/>
                      <w:color w:val="auto"/>
                      <w:sz w:val="21"/>
                      <w:szCs w:val="21"/>
                    </w:rPr>
                    <w:t>0.5</w:t>
                  </w:r>
                  <w:r>
                    <w:rPr>
                      <w:color w:val="auto"/>
                      <w:sz w:val="21"/>
                      <w:szCs w:val="21"/>
                    </w:rPr>
                    <w:t>个月</w:t>
                  </w:r>
                </w:p>
              </w:tc>
              <w:tc>
                <w:tcPr>
                  <w:tcW w:w="686" w:type="pct"/>
                  <w:vAlign w:val="center"/>
                </w:tcPr>
                <w:p w14:paraId="320FC518">
                  <w:pPr>
                    <w:widowControl/>
                    <w:spacing w:line="240" w:lineRule="auto"/>
                    <w:ind w:firstLine="0" w:firstLineChars="0"/>
                    <w:jc w:val="center"/>
                    <w:rPr>
                      <w:color w:val="auto"/>
                      <w:kern w:val="0"/>
                      <w:sz w:val="21"/>
                      <w:szCs w:val="21"/>
                    </w:rPr>
                  </w:pPr>
                  <w:r>
                    <w:rPr>
                      <w:rFonts w:hint="eastAsia"/>
                      <w:color w:val="auto"/>
                      <w:kern w:val="0"/>
                      <w:sz w:val="21"/>
                      <w:szCs w:val="21"/>
                    </w:rPr>
                    <w:t>/</w:t>
                  </w:r>
                </w:p>
              </w:tc>
            </w:tr>
          </w:tbl>
          <w:p w14:paraId="2BAABA08">
            <w:pPr>
              <w:pStyle w:val="3"/>
              <w:spacing w:before="72" w:after="72"/>
              <w:rPr>
                <w:color w:val="auto"/>
              </w:rPr>
            </w:pPr>
            <w:r>
              <w:rPr>
                <w:color w:val="auto"/>
              </w:rPr>
              <w:t>项目服务期满后退役拆除方案</w:t>
            </w:r>
          </w:p>
          <w:p w14:paraId="4FAFA02B">
            <w:pPr>
              <w:pStyle w:val="4"/>
              <w:spacing w:before="48" w:after="48"/>
              <w:rPr>
                <w:color w:val="auto"/>
              </w:rPr>
            </w:pPr>
            <w:r>
              <w:rPr>
                <w:color w:val="auto"/>
              </w:rPr>
              <w:t>拆除工程施工准备</w:t>
            </w:r>
          </w:p>
          <w:p w14:paraId="1FA0749B">
            <w:pPr>
              <w:ind w:firstLine="480"/>
              <w:rPr>
                <w:color w:val="auto"/>
              </w:rPr>
            </w:pPr>
            <w:r>
              <w:rPr>
                <w:color w:val="auto"/>
              </w:rPr>
              <w:t>（1）项目公司在与施工单位在签订施工合同时，应签订安全生产管理协议，明确双方的安全管理责任。</w:t>
            </w:r>
          </w:p>
          <w:p w14:paraId="69A60FC2">
            <w:pPr>
              <w:ind w:firstLine="480"/>
              <w:rPr>
                <w:color w:val="auto"/>
              </w:rPr>
            </w:pPr>
            <w:r>
              <w:rPr>
                <w:color w:val="auto"/>
              </w:rPr>
              <w:t>（2）项目公司应向施工单位提供拆除工程的有关图纸和资料，拆除工程涉及区域的地上、地下建筑及设施分布情况资料。</w:t>
            </w:r>
          </w:p>
          <w:p w14:paraId="22B7812F">
            <w:pPr>
              <w:ind w:firstLine="480"/>
              <w:rPr>
                <w:color w:val="auto"/>
              </w:rPr>
            </w:pPr>
            <w:r>
              <w:rPr>
                <w:color w:val="auto"/>
              </w:rPr>
              <w:t>（3）项目公司应负责做好影响拆除工程安全施工的各种管线的切断、迁移工作。</w:t>
            </w:r>
          </w:p>
          <w:p w14:paraId="74E3BDA4">
            <w:pPr>
              <w:ind w:firstLine="480"/>
              <w:rPr>
                <w:color w:val="auto"/>
              </w:rPr>
            </w:pPr>
            <w:r>
              <w:rPr>
                <w:color w:val="auto"/>
              </w:rPr>
              <w:t>（4）施工单位应全面了解拆除工程的图纸和资料，进行实地勘察，并编制施工组织设计和安全技术措施。</w:t>
            </w:r>
          </w:p>
          <w:p w14:paraId="5FEF270D">
            <w:pPr>
              <w:ind w:firstLine="480"/>
              <w:rPr>
                <w:color w:val="auto"/>
              </w:rPr>
            </w:pPr>
            <w:r>
              <w:rPr>
                <w:color w:val="auto"/>
              </w:rPr>
              <w:t>（5）当拆除工程对周围相邻建筑安全可能产生危险时，必须采取相应保护措施，并应对建筑内的人员进行撤离安置。当建筑外侧有架空线路或电缆线路时，应与有关部门取得联系，采取防护措施，确认安全后方可施工。</w:t>
            </w:r>
          </w:p>
          <w:p w14:paraId="74B9FBE8">
            <w:pPr>
              <w:pStyle w:val="4"/>
              <w:spacing w:before="48" w:after="48"/>
              <w:rPr>
                <w:color w:val="auto"/>
              </w:rPr>
            </w:pPr>
            <w:r>
              <w:rPr>
                <w:color w:val="auto"/>
              </w:rPr>
              <w:t>光伏组件拆除方案</w:t>
            </w:r>
          </w:p>
          <w:p w14:paraId="1E01D97C">
            <w:pPr>
              <w:ind w:firstLine="480"/>
              <w:rPr>
                <w:color w:val="auto"/>
              </w:rPr>
            </w:pPr>
            <w:r>
              <w:rPr>
                <w:color w:val="auto"/>
              </w:rPr>
              <w:t>（1）全部光伏组件以及支架，按照光伏组件和支架安装时的反顺序，采用起重设备拆除，运输到指定地点，作残值处理。</w:t>
            </w:r>
          </w:p>
          <w:p w14:paraId="48013A98">
            <w:pPr>
              <w:ind w:firstLine="480"/>
              <w:rPr>
                <w:color w:val="auto"/>
              </w:rPr>
            </w:pPr>
            <w:r>
              <w:rPr>
                <w:color w:val="auto"/>
              </w:rPr>
              <w:t>（2）设备、器材、配件、材料等有使用价值的货物可做拍卖处理。</w:t>
            </w:r>
          </w:p>
          <w:p w14:paraId="7231BD2C">
            <w:pPr>
              <w:ind w:firstLine="480"/>
              <w:rPr>
                <w:color w:val="auto"/>
              </w:rPr>
            </w:pPr>
            <w:r>
              <w:rPr>
                <w:color w:val="auto"/>
              </w:rPr>
              <w:t>（3）在有条件的区域对混凝土基础采用爆破方法进行拆除，在不允许爆破区域则采用机械破碎，拆除后的废钢铁进行回收，残渣运输到指定地点废弃。</w:t>
            </w:r>
          </w:p>
          <w:p w14:paraId="793326A9">
            <w:pPr>
              <w:ind w:firstLine="480"/>
              <w:rPr>
                <w:color w:val="auto"/>
              </w:rPr>
            </w:pPr>
            <w:r>
              <w:rPr>
                <w:color w:val="auto"/>
              </w:rPr>
              <w:t>（4）埋设的电缆、光缆采用开挖拆除，并回收残值。</w:t>
            </w:r>
          </w:p>
          <w:p w14:paraId="3A5F0DF7">
            <w:pPr>
              <w:ind w:firstLine="480"/>
              <w:rPr>
                <w:color w:val="auto"/>
              </w:rPr>
            </w:pPr>
            <w:r>
              <w:rPr>
                <w:color w:val="auto"/>
              </w:rPr>
              <w:t>（5）使用推土机填埋基坑，清理现场，恢复原有地貌。</w:t>
            </w:r>
          </w:p>
          <w:p w14:paraId="6BA79E36">
            <w:pPr>
              <w:pStyle w:val="4"/>
              <w:spacing w:before="48" w:after="48"/>
              <w:rPr>
                <w:color w:val="auto"/>
              </w:rPr>
            </w:pPr>
            <w:r>
              <w:rPr>
                <w:color w:val="auto"/>
              </w:rPr>
              <w:t>光伏电站拆除方案</w:t>
            </w:r>
          </w:p>
          <w:p w14:paraId="186D6386">
            <w:pPr>
              <w:ind w:firstLine="480"/>
              <w:rPr>
                <w:color w:val="auto"/>
              </w:rPr>
            </w:pPr>
            <w:r>
              <w:rPr>
                <w:color w:val="auto"/>
              </w:rPr>
              <w:t>（1）首先拆除场区内的电气设备，其中包括：35kV配电装置、厂用变、0.4kV低压配电柜、通讯、远动、直流电源柜、及中控室的计算机系统。设备、器材、配件、材料等有使用价值的东西可作拍卖处理。</w:t>
            </w:r>
          </w:p>
          <w:p w14:paraId="378FC05B">
            <w:pPr>
              <w:ind w:firstLine="480"/>
              <w:rPr>
                <w:color w:val="auto"/>
              </w:rPr>
            </w:pPr>
            <w:r>
              <w:rPr>
                <w:color w:val="auto"/>
              </w:rPr>
              <w:t>（2）拆除厂房、场内输变电线路、电缆、围墙、以及运营期间改扩建的设施，混凝土建筑、基础在有条件的区域采用爆破方法进行拆除，在不允许爆破区域则采用机械破碎，拆除后的废钢铁进行回收，残渣运输到指定地点废弃。</w:t>
            </w:r>
          </w:p>
          <w:p w14:paraId="20D33123">
            <w:pPr>
              <w:pStyle w:val="4"/>
              <w:spacing w:before="48" w:after="48"/>
              <w:rPr>
                <w:color w:val="auto"/>
              </w:rPr>
            </w:pPr>
            <w:r>
              <w:rPr>
                <w:color w:val="auto"/>
              </w:rPr>
              <w:t>拆除费用</w:t>
            </w:r>
          </w:p>
          <w:p w14:paraId="6110C987">
            <w:pPr>
              <w:ind w:firstLine="480"/>
              <w:rPr>
                <w:color w:val="auto"/>
              </w:rPr>
            </w:pPr>
            <w:r>
              <w:rPr>
                <w:color w:val="auto"/>
              </w:rPr>
              <w:t>与拆除有关的全部费用均由项目公司承担。</w:t>
            </w:r>
          </w:p>
          <w:p w14:paraId="5C103AA0">
            <w:pPr>
              <w:pStyle w:val="4"/>
              <w:spacing w:before="48" w:after="48"/>
              <w:rPr>
                <w:color w:val="auto"/>
              </w:rPr>
            </w:pPr>
            <w:r>
              <w:rPr>
                <w:color w:val="auto"/>
              </w:rPr>
              <w:t>项目拆除安全管理</w:t>
            </w:r>
          </w:p>
          <w:p w14:paraId="75A5EC41">
            <w:pPr>
              <w:ind w:firstLine="480"/>
              <w:rPr>
                <w:color w:val="auto"/>
              </w:rPr>
            </w:pPr>
            <w:r>
              <w:rPr>
                <w:color w:val="auto"/>
              </w:rPr>
              <w:t>（1）人工拆除</w:t>
            </w:r>
          </w:p>
          <w:p w14:paraId="79657B89">
            <w:pPr>
              <w:ind w:firstLine="480"/>
              <w:rPr>
                <w:color w:val="auto"/>
              </w:rPr>
            </w:pPr>
            <w:r>
              <w:rPr>
                <w:color w:val="auto"/>
              </w:rPr>
              <w:t>1）人工拆除建筑时，施工程序应从上至下，分层拆除，拆除施工应分段进行，不得垂直交叉作业。</w:t>
            </w:r>
          </w:p>
          <w:p w14:paraId="454135C6">
            <w:pPr>
              <w:ind w:firstLine="480"/>
              <w:rPr>
                <w:color w:val="auto"/>
              </w:rPr>
            </w:pPr>
            <w:r>
              <w:rPr>
                <w:color w:val="auto"/>
              </w:rPr>
              <w:t>2）人工拆除建筑墙体时，不得采用掏掘或推倒的方法。楼板上严禁多人聚集或堆放材料。</w:t>
            </w:r>
          </w:p>
          <w:p w14:paraId="71B8C245">
            <w:pPr>
              <w:ind w:firstLine="480"/>
              <w:rPr>
                <w:color w:val="auto"/>
              </w:rPr>
            </w:pPr>
            <w:r>
              <w:rPr>
                <w:color w:val="auto"/>
              </w:rPr>
              <w:t>3）拆除建筑的栏杆、楼梯、楼板、横梁、柱子等构件，应与建筑结构整体拆除进度相配合，不得先行拆除。</w:t>
            </w:r>
          </w:p>
          <w:p w14:paraId="5801CCFF">
            <w:pPr>
              <w:ind w:firstLine="480"/>
              <w:rPr>
                <w:color w:val="auto"/>
              </w:rPr>
            </w:pPr>
            <w:r>
              <w:rPr>
                <w:color w:val="auto"/>
              </w:rPr>
              <w:t>4）拆除管道及容器时，必须查清其残留物的种类、化学性质，采取相应措施后，方可进行拆除施工。</w:t>
            </w:r>
          </w:p>
          <w:p w14:paraId="58223D42">
            <w:pPr>
              <w:ind w:firstLine="480"/>
              <w:rPr>
                <w:color w:val="auto"/>
              </w:rPr>
            </w:pPr>
            <w:r>
              <w:rPr>
                <w:color w:val="auto"/>
              </w:rPr>
              <w:t>5）人工拆除电气设备时，应按规定切断电源，释放相关设备能量。</w:t>
            </w:r>
          </w:p>
          <w:p w14:paraId="3494F906">
            <w:pPr>
              <w:ind w:firstLine="480"/>
              <w:rPr>
                <w:color w:val="auto"/>
              </w:rPr>
            </w:pPr>
            <w:r>
              <w:rPr>
                <w:color w:val="auto"/>
              </w:rPr>
              <w:t>（2）机械拆除</w:t>
            </w:r>
          </w:p>
          <w:p w14:paraId="5222322C">
            <w:pPr>
              <w:ind w:firstLine="480"/>
              <w:rPr>
                <w:color w:val="auto"/>
              </w:rPr>
            </w:pPr>
            <w:r>
              <w:rPr>
                <w:color w:val="auto"/>
              </w:rPr>
              <w:t>1）机械拆除建筑时，应从上至下、逐层、逐段进行；应先拆除非承重结构，再拆除承重结构。</w:t>
            </w:r>
          </w:p>
          <w:p w14:paraId="04EB9768">
            <w:pPr>
              <w:ind w:firstLine="480"/>
              <w:rPr>
                <w:color w:val="auto"/>
              </w:rPr>
            </w:pPr>
            <w:r>
              <w:rPr>
                <w:color w:val="auto"/>
              </w:rPr>
              <w:t>2）施工中必须由专人负责监测被拆除建筑的结构状态，并应做好记录。当发现有不稳定状态的趋势时，必须停止作业，采取有效措施，消除隐患。</w:t>
            </w:r>
          </w:p>
          <w:p w14:paraId="5D1C26F4">
            <w:pPr>
              <w:ind w:firstLine="480"/>
              <w:rPr>
                <w:color w:val="auto"/>
              </w:rPr>
            </w:pPr>
            <w:r>
              <w:rPr>
                <w:color w:val="auto"/>
              </w:rPr>
              <w:t>3）机械拆除时，严禁超载作业或任意扩大使用范围，供机械设备使用的场地必须保证足够的承载力。作业中不得同时回转、行走。机械不得带故障运转。</w:t>
            </w:r>
          </w:p>
          <w:p w14:paraId="1C0F44FF">
            <w:pPr>
              <w:ind w:firstLine="480"/>
              <w:rPr>
                <w:color w:val="auto"/>
              </w:rPr>
            </w:pPr>
            <w:r>
              <w:rPr>
                <w:color w:val="auto"/>
              </w:rPr>
              <w:t>4）拆卸下来的各种材料应及时清理，分类堆放在指定场所，严禁向下抛掷。当遭受大雨、大雪、以及大风时应停止作业。</w:t>
            </w:r>
          </w:p>
          <w:p w14:paraId="10D6A2C3">
            <w:pPr>
              <w:ind w:firstLine="480"/>
              <w:rPr>
                <w:color w:val="auto"/>
              </w:rPr>
            </w:pPr>
            <w:r>
              <w:rPr>
                <w:color w:val="auto"/>
              </w:rPr>
              <w:t>5）拆除吊装作业的起重机司机，必须严格执行操作规程。信号指挥人员必须按照现行国家标准《起重吊运指挥信号》</w:t>
            </w:r>
            <w:r>
              <w:rPr>
                <w:rFonts w:hint="eastAsia"/>
                <w:color w:val="auto"/>
              </w:rPr>
              <w:t>（</w:t>
            </w:r>
            <w:r>
              <w:rPr>
                <w:color w:val="auto"/>
              </w:rPr>
              <w:t>GB5082-2019</w:t>
            </w:r>
            <w:r>
              <w:rPr>
                <w:rFonts w:hint="eastAsia"/>
                <w:color w:val="auto"/>
              </w:rPr>
              <w:t>）</w:t>
            </w:r>
            <w:r>
              <w:rPr>
                <w:color w:val="auto"/>
              </w:rPr>
              <w:t>的规定作业。</w:t>
            </w:r>
          </w:p>
          <w:p w14:paraId="152EC831">
            <w:pPr>
              <w:ind w:firstLine="480"/>
              <w:rPr>
                <w:color w:val="auto"/>
              </w:rPr>
            </w:pPr>
            <w:r>
              <w:rPr>
                <w:color w:val="auto"/>
              </w:rPr>
              <w:t>6）在拆除框架结构建筑，必须按楼板、次梁、主梁、柱子的顺序进行施工。</w:t>
            </w:r>
          </w:p>
          <w:p w14:paraId="3EC2BFDD">
            <w:pPr>
              <w:pStyle w:val="4"/>
              <w:spacing w:before="48" w:after="48"/>
              <w:rPr>
                <w:color w:val="auto"/>
              </w:rPr>
            </w:pPr>
            <w:r>
              <w:rPr>
                <w:color w:val="auto"/>
              </w:rPr>
              <w:t>项目拆除技术管理</w:t>
            </w:r>
          </w:p>
          <w:p w14:paraId="504766BD">
            <w:pPr>
              <w:ind w:firstLine="480"/>
              <w:rPr>
                <w:color w:val="auto"/>
              </w:rPr>
            </w:pPr>
            <w:r>
              <w:rPr>
                <w:color w:val="auto"/>
              </w:rPr>
              <w:t>（1）拆除工程开工前，应根据工程特点、构造情况编制安全施工组织设计。施工组织设计，须经上级主管部门批准后实施。</w:t>
            </w:r>
          </w:p>
          <w:p w14:paraId="5E3D3840">
            <w:pPr>
              <w:ind w:firstLine="480"/>
              <w:rPr>
                <w:color w:val="auto"/>
              </w:rPr>
            </w:pPr>
            <w:r>
              <w:rPr>
                <w:color w:val="auto"/>
              </w:rPr>
              <w:t>（2）项目经理必须对拆除工程的安全生产负全面领导责任。项目经理部应设专职或兼职安全员，检查落实各项安全技术措施。</w:t>
            </w:r>
          </w:p>
          <w:p w14:paraId="6DA3D60D">
            <w:pPr>
              <w:ind w:firstLine="480"/>
              <w:rPr>
                <w:color w:val="auto"/>
              </w:rPr>
            </w:pPr>
            <w:r>
              <w:rPr>
                <w:color w:val="auto"/>
              </w:rPr>
              <w:t>（3）进入施工现场的人员，必须配戴安全帽。凡在2m及以上高处作业无可靠防护设施时，必须使用安全带。在恶劣的气候条件下，如大雨大风时，严禁进行拆除作业。</w:t>
            </w:r>
          </w:p>
          <w:p w14:paraId="415792A7">
            <w:pPr>
              <w:ind w:firstLine="480"/>
              <w:rPr>
                <w:color w:val="auto"/>
              </w:rPr>
            </w:pPr>
            <w:r>
              <w:rPr>
                <w:color w:val="auto"/>
              </w:rPr>
              <w:t>（4）拆除工程施工必须建立安全技术档案，并应包括下列内容：</w:t>
            </w:r>
          </w:p>
          <w:p w14:paraId="57A1FA17">
            <w:pPr>
              <w:ind w:firstLine="480"/>
              <w:rPr>
                <w:color w:val="auto"/>
              </w:rPr>
            </w:pPr>
            <w:r>
              <w:rPr>
                <w:color w:val="auto"/>
              </w:rPr>
              <w:t>1）拆除工程安全施工组织设计或方案；2）安全技术交底；3）脚手架及安全防护检查验收记录；4）劳务用工合同及安全管理协议书；5）机械租赁合同及安全管理协议书。</w:t>
            </w:r>
          </w:p>
          <w:p w14:paraId="7C0433FF">
            <w:pPr>
              <w:ind w:firstLine="480"/>
              <w:rPr>
                <w:color w:val="auto"/>
              </w:rPr>
            </w:pPr>
            <w:r>
              <w:rPr>
                <w:color w:val="auto"/>
              </w:rPr>
              <w:t>（5）拆除工程施工过程中，当发生重大险情或生产安全事故时，应及时排除险情、组织抢救、保护事故现场，并向有关部门报告。</w:t>
            </w:r>
          </w:p>
          <w:p w14:paraId="484BB034">
            <w:pPr>
              <w:ind w:firstLine="480"/>
              <w:rPr>
                <w:color w:val="auto"/>
              </w:rPr>
            </w:pPr>
            <w:r>
              <w:rPr>
                <w:color w:val="auto"/>
              </w:rPr>
              <w:t>（6）施工单位必须依据拆除工程安全施工组织设计或方案，划定危险区域。施工前应发出告示，通报施工注意事项，并应采取可靠的安全防护措施。</w:t>
            </w:r>
          </w:p>
          <w:p w14:paraId="1AB38A64">
            <w:pPr>
              <w:pStyle w:val="4"/>
              <w:spacing w:before="48" w:after="48"/>
              <w:rPr>
                <w:color w:val="auto"/>
              </w:rPr>
            </w:pPr>
            <w:r>
              <w:rPr>
                <w:color w:val="auto"/>
              </w:rPr>
              <w:t>项目拆除文明管理</w:t>
            </w:r>
          </w:p>
          <w:p w14:paraId="74D0ED73">
            <w:pPr>
              <w:ind w:firstLine="480"/>
              <w:rPr>
                <w:color w:val="auto"/>
              </w:rPr>
            </w:pPr>
            <w:r>
              <w:rPr>
                <w:color w:val="auto"/>
              </w:rPr>
              <w:t>（1）清运渣土的车辆应在指定地点停放。清运渣土的车辆应封闭或采用苫布覆盖，出入现场时应有专人指挥。清运渣土的作业时间应遵守有关规定。</w:t>
            </w:r>
          </w:p>
          <w:p w14:paraId="0E324DCA">
            <w:pPr>
              <w:ind w:firstLine="480"/>
              <w:rPr>
                <w:color w:val="auto"/>
              </w:rPr>
            </w:pPr>
            <w:r>
              <w:rPr>
                <w:color w:val="auto"/>
              </w:rPr>
              <w:t>（2）对地下的各类管线，施工单位应在地面上设置明显标志。</w:t>
            </w:r>
          </w:p>
          <w:p w14:paraId="3ADEFF59">
            <w:pPr>
              <w:ind w:firstLine="480"/>
              <w:rPr>
                <w:color w:val="auto"/>
              </w:rPr>
            </w:pPr>
            <w:r>
              <w:rPr>
                <w:color w:val="auto"/>
              </w:rPr>
              <w:t>（3）拆除工程完工后，应及时将施工渣土清运出场。</w:t>
            </w:r>
          </w:p>
          <w:p w14:paraId="17F6BF51">
            <w:pPr>
              <w:ind w:firstLine="480"/>
              <w:rPr>
                <w:color w:val="auto"/>
              </w:rPr>
            </w:pPr>
            <w:r>
              <w:rPr>
                <w:color w:val="auto"/>
              </w:rPr>
              <w:t>（4）施工单位必须落实防火安全责任制，建立义务消防组织，明确责任人，负责施工现场的日常防火安全管理工作。</w:t>
            </w:r>
          </w:p>
        </w:tc>
      </w:tr>
      <w:tr w14:paraId="3ECE7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54" w:type="pct"/>
            <w:vAlign w:val="center"/>
          </w:tcPr>
          <w:p w14:paraId="23783966">
            <w:pPr>
              <w:adjustRightInd w:val="0"/>
              <w:snapToGrid w:val="0"/>
              <w:spacing w:line="240" w:lineRule="auto"/>
              <w:ind w:firstLine="0" w:firstLineChars="0"/>
              <w:jc w:val="center"/>
              <w:rPr>
                <w:color w:val="auto"/>
                <w:kern w:val="0"/>
              </w:rPr>
            </w:pPr>
            <w:r>
              <w:rPr>
                <w:color w:val="auto"/>
                <w:kern w:val="0"/>
              </w:rPr>
              <w:t>其他</w:t>
            </w:r>
          </w:p>
        </w:tc>
        <w:tc>
          <w:tcPr>
            <w:tcW w:w="4746" w:type="pct"/>
            <w:vAlign w:val="bottom"/>
          </w:tcPr>
          <w:p w14:paraId="563EB5BA">
            <w:pPr>
              <w:ind w:firstLine="480"/>
              <w:rPr>
                <w:color w:val="auto"/>
              </w:rPr>
            </w:pPr>
            <w:r>
              <w:rPr>
                <w:rFonts w:hint="eastAsia" w:cstheme="majorBidi"/>
                <w:color w:val="auto"/>
                <w:szCs w:val="32"/>
              </w:rPr>
              <w:t>无。</w:t>
            </w:r>
          </w:p>
        </w:tc>
      </w:tr>
    </w:tbl>
    <w:p w14:paraId="11FE8289">
      <w:pPr>
        <w:ind w:firstLine="0" w:firstLineChars="0"/>
        <w:rPr>
          <w:color w:val="auto"/>
        </w:rPr>
      </w:pPr>
    </w:p>
    <w:p w14:paraId="6BE27E9C">
      <w:pPr>
        <w:ind w:firstLine="0" w:firstLineChars="0"/>
        <w:rPr>
          <w:color w:val="auto"/>
        </w:rPr>
      </w:pPr>
    </w:p>
    <w:p w14:paraId="6D467551">
      <w:pPr>
        <w:pStyle w:val="2"/>
        <w:spacing w:before="120" w:after="120"/>
        <w:ind w:firstLine="643"/>
        <w:rPr>
          <w:color w:val="auto"/>
        </w:rPr>
      </w:pPr>
      <w:bookmarkStart w:id="557" w:name="_Toc212667809"/>
      <w:bookmarkStart w:id="558" w:name="_Toc218698790"/>
      <w:r>
        <w:rPr>
          <w:rFonts w:hint="eastAsia"/>
          <w:color w:val="auto"/>
        </w:rPr>
        <w:t>、生态环境现状、保护目标及评价标准</w:t>
      </w:r>
      <w:bookmarkEnd w:id="557"/>
      <w:bookmarkEnd w:id="558"/>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72"/>
      </w:tblGrid>
      <w:tr w14:paraId="55E24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3" w:hRule="atLeast"/>
          <w:jc w:val="center"/>
        </w:trPr>
        <w:tc>
          <w:tcPr>
            <w:tcW w:w="265" w:type="pct"/>
            <w:tcBorders>
              <w:top w:val="single" w:color="auto" w:sz="8" w:space="0"/>
              <w:left w:val="single" w:color="auto" w:sz="8" w:space="0"/>
              <w:bottom w:val="single" w:color="auto" w:sz="4" w:space="0"/>
              <w:right w:val="single" w:color="auto" w:sz="4" w:space="0"/>
            </w:tcBorders>
            <w:vAlign w:val="center"/>
          </w:tcPr>
          <w:p w14:paraId="430F99B0">
            <w:pPr>
              <w:ind w:firstLine="0" w:firstLineChars="0"/>
              <w:rPr>
                <w:color w:val="auto"/>
              </w:rPr>
            </w:pPr>
            <w:r>
              <w:rPr>
                <w:rFonts w:hint="eastAsia"/>
                <w:color w:val="auto"/>
              </w:rPr>
              <w:t>生态环境现状</w:t>
            </w:r>
          </w:p>
        </w:tc>
        <w:tc>
          <w:tcPr>
            <w:tcW w:w="4735" w:type="pct"/>
            <w:tcBorders>
              <w:top w:val="single" w:color="auto" w:sz="8" w:space="0"/>
              <w:left w:val="single" w:color="auto" w:sz="4" w:space="0"/>
              <w:bottom w:val="single" w:color="auto" w:sz="4" w:space="0"/>
              <w:right w:val="single" w:color="auto" w:sz="8" w:space="0"/>
            </w:tcBorders>
            <w:vAlign w:val="center"/>
          </w:tcPr>
          <w:p w14:paraId="074714DA">
            <w:pPr>
              <w:pStyle w:val="3"/>
              <w:spacing w:before="72" w:after="72"/>
              <w:rPr>
                <w:color w:val="auto"/>
              </w:rPr>
            </w:pPr>
            <w:bookmarkStart w:id="559" w:name="_Toc112165622"/>
            <w:bookmarkStart w:id="560" w:name="_Toc161415552"/>
            <w:bookmarkStart w:id="561" w:name="_Toc160730874"/>
            <w:bookmarkStart w:id="562" w:name="_Toc160473798"/>
            <w:bookmarkStart w:id="563" w:name="_Toc159349025"/>
            <w:bookmarkStart w:id="564" w:name="_Toc158491257"/>
            <w:bookmarkStart w:id="565" w:name="_Toc156144150"/>
            <w:bookmarkStart w:id="566" w:name="_Toc156137836"/>
            <w:bookmarkStart w:id="567" w:name="_Toc136794312"/>
            <w:bookmarkStart w:id="568" w:name="_Toc14933"/>
            <w:bookmarkStart w:id="569" w:name="_Toc112424259"/>
            <w:bookmarkStart w:id="570" w:name="_Toc112173917"/>
            <w:bookmarkStart w:id="571" w:name="_Toc18073"/>
            <w:bookmarkStart w:id="572" w:name="_Toc136794187"/>
            <w:r>
              <w:rPr>
                <w:rFonts w:hint="eastAsia"/>
                <w:color w:val="auto"/>
              </w:rPr>
              <w:t>主体功能区规划和生态功能区划</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CF796E8">
            <w:pPr>
              <w:pStyle w:val="4"/>
              <w:spacing w:before="48" w:after="48"/>
              <w:rPr>
                <w:color w:val="auto"/>
              </w:rPr>
            </w:pPr>
            <w:bookmarkStart w:id="573" w:name="_Toc136794313"/>
            <w:bookmarkStart w:id="574" w:name="_Toc112165623"/>
            <w:bookmarkStart w:id="575" w:name="_Toc159349026"/>
            <w:bookmarkStart w:id="576" w:name="_Toc112424260"/>
            <w:bookmarkStart w:id="577" w:name="_Toc158491258"/>
            <w:bookmarkStart w:id="578" w:name="_Toc160730875"/>
            <w:bookmarkStart w:id="579" w:name="_Toc156144151"/>
            <w:bookmarkStart w:id="580" w:name="_Toc136794188"/>
            <w:bookmarkStart w:id="581" w:name="_Toc156137837"/>
            <w:bookmarkStart w:id="582" w:name="_Toc161415553"/>
            <w:bookmarkStart w:id="583" w:name="_Toc160473799"/>
            <w:bookmarkStart w:id="584" w:name="_Toc27666"/>
            <w:bookmarkStart w:id="585" w:name="_Toc112173918"/>
            <w:bookmarkStart w:id="586" w:name="_Toc32217"/>
            <w:r>
              <w:rPr>
                <w:rFonts w:hint="eastAsia"/>
                <w:color w:val="auto"/>
              </w:rPr>
              <w:t>主体功能区划</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51652676">
            <w:pPr>
              <w:keepNext/>
              <w:keepLines/>
              <w:ind w:firstLine="480"/>
              <w:rPr>
                <w:color w:val="auto"/>
              </w:rPr>
            </w:pPr>
            <w:r>
              <w:rPr>
                <w:rFonts w:hint="eastAsia"/>
                <w:color w:val="auto"/>
              </w:rPr>
              <w:t>2014年1月6日云南省人民政府发布了《云南省人民政府关于印发云南省主体功能区规划的通知》（云政发〔2014〕1号），云南省主体功能区划是根据不同区域的资源环境承载力、现有开发密度和未来发展潜力，划分主体功能区，逐步形成人口、经济、资源环境相协调的空间开发布局，云南省国土空间按开发方式分为重点开发区域、限制开发区域和禁止开发区域3类主体功能区。</w:t>
            </w:r>
          </w:p>
          <w:p w14:paraId="30815116">
            <w:pPr>
              <w:keepNext/>
              <w:keepLines/>
              <w:ind w:firstLine="480"/>
              <w:rPr>
                <w:color w:val="auto"/>
              </w:rPr>
            </w:pPr>
            <w:r>
              <w:rPr>
                <w:rFonts w:hint="eastAsia"/>
                <w:color w:val="auto"/>
              </w:rPr>
              <w:t>项目位于大理州南涧县公郎乡，属于《云南省主体功能区规划》（云政发〔2014〕1号）中的省级重点生态功能区。本项目所在区域的云南省级重点生态功能区为“省级重点生态功能区-哀牢山无量山森林及生物多样性生态功能区”，该区生态功能区的类型和发展方向见下表。</w:t>
            </w:r>
          </w:p>
          <w:p w14:paraId="6C10991F">
            <w:pPr>
              <w:pStyle w:val="63"/>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项目所在区域主体功能区划</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851"/>
              <w:gridCol w:w="3563"/>
              <w:gridCol w:w="1927"/>
            </w:tblGrid>
            <w:tr w14:paraId="3E74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366" w:type="dxa"/>
                  <w:vAlign w:val="center"/>
                </w:tcPr>
                <w:p w14:paraId="53CF3C30">
                  <w:pPr>
                    <w:pStyle w:val="65"/>
                    <w:rPr>
                      <w:rFonts w:cs="Times New Roman"/>
                      <w:b/>
                      <w:bCs/>
                      <w:color w:val="auto"/>
                      <w:kern w:val="0"/>
                      <w:szCs w:val="20"/>
                    </w:rPr>
                  </w:pPr>
                  <w:r>
                    <w:rPr>
                      <w:rFonts w:cs="Times New Roman"/>
                      <w:b/>
                      <w:bCs/>
                      <w:color w:val="auto"/>
                      <w:kern w:val="0"/>
                      <w:szCs w:val="20"/>
                    </w:rPr>
                    <w:t>区域</w:t>
                  </w:r>
                </w:p>
              </w:tc>
              <w:tc>
                <w:tcPr>
                  <w:tcW w:w="851" w:type="dxa"/>
                  <w:vAlign w:val="center"/>
                </w:tcPr>
                <w:p w14:paraId="5044D614">
                  <w:pPr>
                    <w:pStyle w:val="65"/>
                    <w:rPr>
                      <w:rFonts w:cs="Times New Roman"/>
                      <w:b/>
                      <w:bCs/>
                      <w:color w:val="auto"/>
                      <w:kern w:val="0"/>
                      <w:szCs w:val="20"/>
                    </w:rPr>
                  </w:pPr>
                  <w:r>
                    <w:rPr>
                      <w:rFonts w:cs="Times New Roman"/>
                      <w:b/>
                      <w:bCs/>
                      <w:color w:val="auto"/>
                      <w:kern w:val="0"/>
                      <w:szCs w:val="20"/>
                    </w:rPr>
                    <w:t>类型</w:t>
                  </w:r>
                </w:p>
              </w:tc>
              <w:tc>
                <w:tcPr>
                  <w:tcW w:w="3563" w:type="dxa"/>
                  <w:vAlign w:val="center"/>
                </w:tcPr>
                <w:p w14:paraId="7BD59288">
                  <w:pPr>
                    <w:pStyle w:val="65"/>
                    <w:rPr>
                      <w:rFonts w:cs="Times New Roman"/>
                      <w:b/>
                      <w:bCs/>
                      <w:color w:val="auto"/>
                      <w:kern w:val="0"/>
                      <w:szCs w:val="20"/>
                    </w:rPr>
                  </w:pPr>
                  <w:r>
                    <w:rPr>
                      <w:rFonts w:cs="Times New Roman"/>
                      <w:b/>
                      <w:bCs/>
                      <w:color w:val="auto"/>
                      <w:kern w:val="0"/>
                      <w:szCs w:val="20"/>
                    </w:rPr>
                    <w:t>综合评价</w:t>
                  </w:r>
                </w:p>
              </w:tc>
              <w:tc>
                <w:tcPr>
                  <w:tcW w:w="1927" w:type="dxa"/>
                  <w:vAlign w:val="center"/>
                </w:tcPr>
                <w:p w14:paraId="4B63605E">
                  <w:pPr>
                    <w:pStyle w:val="65"/>
                    <w:rPr>
                      <w:rFonts w:cs="Times New Roman"/>
                      <w:b/>
                      <w:bCs/>
                      <w:color w:val="auto"/>
                      <w:kern w:val="0"/>
                      <w:szCs w:val="20"/>
                    </w:rPr>
                  </w:pPr>
                  <w:r>
                    <w:rPr>
                      <w:rFonts w:cs="Times New Roman"/>
                      <w:b/>
                      <w:bCs/>
                      <w:color w:val="auto"/>
                      <w:kern w:val="0"/>
                      <w:szCs w:val="20"/>
                    </w:rPr>
                    <w:t>发展方向</w:t>
                  </w:r>
                </w:p>
              </w:tc>
            </w:tr>
            <w:tr w14:paraId="3246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6" w:type="dxa"/>
                  <w:vAlign w:val="center"/>
                </w:tcPr>
                <w:p w14:paraId="257B0AA2">
                  <w:pPr>
                    <w:pStyle w:val="65"/>
                    <w:rPr>
                      <w:rFonts w:cs="Times New Roman"/>
                      <w:color w:val="auto"/>
                      <w:kern w:val="0"/>
                      <w:szCs w:val="20"/>
                    </w:rPr>
                  </w:pPr>
                  <w:r>
                    <w:rPr>
                      <w:rFonts w:hint="eastAsia" w:cs="Times New Roman"/>
                      <w:color w:val="auto"/>
                      <w:kern w:val="0"/>
                      <w:szCs w:val="20"/>
                    </w:rPr>
                    <w:t>哀牢山无量山森林及生物多样性生态功能区</w:t>
                  </w:r>
                </w:p>
              </w:tc>
              <w:tc>
                <w:tcPr>
                  <w:tcW w:w="851" w:type="dxa"/>
                  <w:vAlign w:val="center"/>
                </w:tcPr>
                <w:p w14:paraId="7C53A11F">
                  <w:pPr>
                    <w:pStyle w:val="65"/>
                    <w:rPr>
                      <w:rFonts w:cs="Times New Roman"/>
                      <w:color w:val="auto"/>
                      <w:kern w:val="0"/>
                      <w:szCs w:val="20"/>
                    </w:rPr>
                  </w:pPr>
                  <w:r>
                    <w:rPr>
                      <w:rFonts w:hint="eastAsia" w:cs="Times New Roman"/>
                      <w:color w:val="auto"/>
                      <w:kern w:val="0"/>
                      <w:szCs w:val="20"/>
                    </w:rPr>
                    <w:t>生物多样性保护</w:t>
                  </w:r>
                </w:p>
              </w:tc>
              <w:tc>
                <w:tcPr>
                  <w:tcW w:w="3563" w:type="dxa"/>
                  <w:vAlign w:val="center"/>
                </w:tcPr>
                <w:p w14:paraId="2F590BE9">
                  <w:pPr>
                    <w:pStyle w:val="65"/>
                    <w:jc w:val="both"/>
                    <w:rPr>
                      <w:rFonts w:cs="Times New Roman"/>
                      <w:color w:val="auto"/>
                      <w:kern w:val="0"/>
                      <w:szCs w:val="20"/>
                    </w:rPr>
                  </w:pPr>
                  <w:r>
                    <w:rPr>
                      <w:rFonts w:hint="eastAsia" w:cs="Times New Roman"/>
                      <w:color w:val="auto"/>
                      <w:kern w:val="0"/>
                      <w:szCs w:val="20"/>
                    </w:rPr>
                    <w:t>原始森林和动植物物种丰富，目前生态系统的多样性受到较大威胁，生物多样性逐渐减少，珍稀野生动植物资源总量下降</w:t>
                  </w:r>
                </w:p>
              </w:tc>
              <w:tc>
                <w:tcPr>
                  <w:tcW w:w="1927" w:type="dxa"/>
                  <w:vAlign w:val="center"/>
                </w:tcPr>
                <w:p w14:paraId="062AC7FC">
                  <w:pPr>
                    <w:pStyle w:val="65"/>
                    <w:jc w:val="both"/>
                    <w:rPr>
                      <w:rFonts w:cs="Times New Roman"/>
                      <w:color w:val="auto"/>
                      <w:kern w:val="0"/>
                      <w:szCs w:val="20"/>
                    </w:rPr>
                  </w:pPr>
                  <w:r>
                    <w:rPr>
                      <w:rFonts w:hint="eastAsia" w:cs="Times New Roman"/>
                      <w:color w:val="auto"/>
                      <w:kern w:val="0"/>
                      <w:szCs w:val="20"/>
                    </w:rPr>
                    <w:t>禁止非保护性采伐，涵养水源，保护动植物生物多样性</w:t>
                  </w:r>
                </w:p>
              </w:tc>
            </w:tr>
          </w:tbl>
          <w:p w14:paraId="5DBF66AC">
            <w:pPr>
              <w:pStyle w:val="4"/>
              <w:spacing w:before="48" w:after="48"/>
              <w:rPr>
                <w:color w:val="auto"/>
              </w:rPr>
            </w:pPr>
            <w:bookmarkStart w:id="587" w:name="_Toc156144152"/>
            <w:bookmarkStart w:id="588" w:name="_Toc160730876"/>
            <w:bookmarkStart w:id="589" w:name="_Toc160473800"/>
            <w:bookmarkStart w:id="590" w:name="_Toc158491259"/>
            <w:bookmarkStart w:id="591" w:name="_Toc159349027"/>
            <w:bookmarkStart w:id="592" w:name="_Toc136794189"/>
            <w:bookmarkStart w:id="593" w:name="_Toc19501"/>
            <w:bookmarkStart w:id="594" w:name="_Toc112165624"/>
            <w:bookmarkStart w:id="595" w:name="_Toc30418"/>
            <w:bookmarkStart w:id="596" w:name="_Toc136794314"/>
            <w:bookmarkStart w:id="597" w:name="_Toc112173919"/>
            <w:bookmarkStart w:id="598" w:name="_Toc161415554"/>
            <w:bookmarkStart w:id="599" w:name="_Toc156137838"/>
            <w:bookmarkStart w:id="600" w:name="_Toc112424261"/>
            <w:r>
              <w:rPr>
                <w:rFonts w:hint="eastAsia"/>
                <w:color w:val="auto"/>
              </w:rPr>
              <w:t>生态功能区划</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12D2B931">
            <w:pPr>
              <w:keepNext/>
              <w:keepLines/>
              <w:ind w:firstLine="480"/>
              <w:rPr>
                <w:rFonts w:cs="Times New Roman"/>
                <w:color w:val="auto"/>
              </w:rPr>
            </w:pPr>
            <w:bookmarkStart w:id="601" w:name="_Toc156137839"/>
            <w:bookmarkStart w:id="602" w:name="_Toc158491260"/>
            <w:bookmarkStart w:id="603" w:name="_Toc159349028"/>
            <w:bookmarkStart w:id="604" w:name="_Toc156144153"/>
            <w:bookmarkStart w:id="605" w:name="_Toc161415555"/>
            <w:bookmarkStart w:id="606" w:name="_Toc160730877"/>
            <w:bookmarkStart w:id="607" w:name="_Toc112424262"/>
            <w:bookmarkStart w:id="608" w:name="_Toc136794315"/>
            <w:bookmarkStart w:id="609" w:name="_Toc112173920"/>
            <w:bookmarkStart w:id="610" w:name="_Toc112165625"/>
            <w:bookmarkStart w:id="611" w:name="_Toc160473801"/>
            <w:bookmarkStart w:id="612" w:name="_Toc136794190"/>
            <w:bookmarkStart w:id="613" w:name="_Toc8376"/>
            <w:bookmarkStart w:id="614" w:name="_Toc19470"/>
            <w:r>
              <w:rPr>
                <w:rFonts w:cs="Times New Roman"/>
                <w:color w:val="auto"/>
              </w:rPr>
              <w:t>根据《云南省生态功能区划》，项目所在区域属于</w:t>
            </w:r>
            <w:r>
              <w:rPr>
                <w:rFonts w:hint="eastAsia" w:cs="Times New Roman"/>
                <w:color w:val="auto"/>
              </w:rPr>
              <w:t>漾濞江中山河谷林业与水土保持生态功能区（</w:t>
            </w:r>
            <w:r>
              <w:rPr>
                <w:rFonts w:cs="Times New Roman"/>
                <w:color w:val="auto"/>
              </w:rPr>
              <w:t>Ⅲ</w:t>
            </w:r>
            <w:r>
              <w:rPr>
                <w:rFonts w:hint="eastAsia" w:cs="Times New Roman"/>
                <w:color w:val="auto"/>
              </w:rPr>
              <w:t>7-4），</w:t>
            </w:r>
            <w:r>
              <w:rPr>
                <w:rFonts w:cs="Times New Roman"/>
                <w:color w:val="auto"/>
              </w:rPr>
              <w:t>所在区域包括</w:t>
            </w:r>
            <w:r>
              <w:rPr>
                <w:rFonts w:hint="eastAsia" w:cs="Times New Roman"/>
                <w:color w:val="auto"/>
              </w:rPr>
              <w:t>漾濞县大部分地区，永平、巍山、昌宁、凤庆县部分地区，云县、景东县小部分地区，面积6221.11平方公里；该区以中山峡谷地貌为主，年降雨量在河谷地区900-1000毫米，山地1500毫米左右。植被主要是大面积的云南松林，点苍山西坡山地垂直带植被分布明显；土壤以红壤和紫色土为主；主要生态环境问题为土地利用不当带来的水土流失；主要生态系统服务功能为漾濞江中山峡谷地区的水土保持；保护措施与发展方向为保护山地垂直植被带，加大封山育林的强度，大力发展公益林、适当发展商品林，提高区域的水源涵养能力</w:t>
            </w:r>
            <w:r>
              <w:rPr>
                <w:rFonts w:cs="Times New Roman"/>
                <w:color w:val="auto"/>
              </w:rPr>
              <w:t>。项目在云南省生态功能区划情况见下表。</w:t>
            </w:r>
          </w:p>
          <w:p w14:paraId="39174513">
            <w:pPr>
              <w:pStyle w:val="63"/>
              <w:ind w:firstLine="480"/>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3.1</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rPr>
              <w:t xml:space="preserve">  本项目所在地的生态功能区划</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autofit"/>
              <w:tblCellMar>
                <w:top w:w="0" w:type="dxa"/>
                <w:left w:w="108" w:type="dxa"/>
                <w:bottom w:w="0" w:type="dxa"/>
                <w:right w:w="108" w:type="dxa"/>
              </w:tblCellMar>
            </w:tblPr>
            <w:tblGrid>
              <w:gridCol w:w="726"/>
              <w:gridCol w:w="948"/>
              <w:gridCol w:w="797"/>
              <w:gridCol w:w="1830"/>
              <w:gridCol w:w="694"/>
              <w:gridCol w:w="745"/>
              <w:gridCol w:w="755"/>
              <w:gridCol w:w="1351"/>
            </w:tblGrid>
            <w:tr w14:paraId="7C19974E">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454" w:hRule="atLeast"/>
                <w:tblHeader/>
                <w:jc w:val="center"/>
              </w:trPr>
              <w:tc>
                <w:tcPr>
                  <w:tcW w:w="1575" w:type="pct"/>
                  <w:gridSpan w:val="3"/>
                  <w:vAlign w:val="center"/>
                </w:tcPr>
                <w:p w14:paraId="4CC1AD30">
                  <w:pPr>
                    <w:pStyle w:val="65"/>
                    <w:rPr>
                      <w:rFonts w:cs="Times New Roman"/>
                      <w:b/>
                      <w:bCs/>
                      <w:color w:val="auto"/>
                      <w:szCs w:val="20"/>
                    </w:rPr>
                  </w:pPr>
                  <w:r>
                    <w:rPr>
                      <w:rFonts w:cs="Times New Roman"/>
                      <w:b/>
                      <w:bCs/>
                      <w:color w:val="auto"/>
                      <w:szCs w:val="20"/>
                    </w:rPr>
                    <w:t>生态功能分区单元</w:t>
                  </w:r>
                </w:p>
              </w:tc>
              <w:tc>
                <w:tcPr>
                  <w:tcW w:w="1166" w:type="pct"/>
                  <w:vMerge w:val="restart"/>
                  <w:vAlign w:val="center"/>
                </w:tcPr>
                <w:p w14:paraId="3D1DE89F">
                  <w:pPr>
                    <w:pStyle w:val="65"/>
                    <w:rPr>
                      <w:rFonts w:cs="Times New Roman"/>
                      <w:b/>
                      <w:bCs/>
                      <w:color w:val="auto"/>
                      <w:szCs w:val="20"/>
                    </w:rPr>
                  </w:pPr>
                  <w:r>
                    <w:rPr>
                      <w:rFonts w:cs="Times New Roman"/>
                      <w:b/>
                      <w:bCs/>
                      <w:color w:val="auto"/>
                      <w:szCs w:val="20"/>
                    </w:rPr>
                    <w:t>主要生态特征</w:t>
                  </w:r>
                </w:p>
              </w:tc>
              <w:tc>
                <w:tcPr>
                  <w:tcW w:w="442" w:type="pct"/>
                  <w:vMerge w:val="restart"/>
                  <w:vAlign w:val="center"/>
                </w:tcPr>
                <w:p w14:paraId="3F7201F7">
                  <w:pPr>
                    <w:pStyle w:val="65"/>
                    <w:rPr>
                      <w:rFonts w:cs="Times New Roman"/>
                      <w:b/>
                      <w:bCs/>
                      <w:color w:val="auto"/>
                      <w:szCs w:val="20"/>
                    </w:rPr>
                  </w:pPr>
                  <w:r>
                    <w:rPr>
                      <w:rFonts w:cs="Times New Roman"/>
                      <w:b/>
                      <w:bCs/>
                      <w:color w:val="auto"/>
                      <w:szCs w:val="20"/>
                    </w:rPr>
                    <w:t>主要生态环境问题</w:t>
                  </w:r>
                </w:p>
              </w:tc>
              <w:tc>
                <w:tcPr>
                  <w:tcW w:w="475" w:type="pct"/>
                  <w:vMerge w:val="restart"/>
                  <w:vAlign w:val="center"/>
                </w:tcPr>
                <w:p w14:paraId="13C23148">
                  <w:pPr>
                    <w:pStyle w:val="65"/>
                    <w:rPr>
                      <w:rFonts w:cs="Times New Roman"/>
                      <w:b/>
                      <w:bCs/>
                      <w:color w:val="auto"/>
                      <w:szCs w:val="20"/>
                    </w:rPr>
                  </w:pPr>
                  <w:r>
                    <w:rPr>
                      <w:rFonts w:cs="Times New Roman"/>
                      <w:b/>
                      <w:bCs/>
                      <w:color w:val="auto"/>
                      <w:szCs w:val="20"/>
                    </w:rPr>
                    <w:t>生态环境敏感性</w:t>
                  </w:r>
                </w:p>
              </w:tc>
              <w:tc>
                <w:tcPr>
                  <w:tcW w:w="481" w:type="pct"/>
                  <w:vMerge w:val="restart"/>
                  <w:vAlign w:val="center"/>
                </w:tcPr>
                <w:p w14:paraId="1BE954C0">
                  <w:pPr>
                    <w:pStyle w:val="65"/>
                    <w:rPr>
                      <w:rFonts w:cs="Times New Roman"/>
                      <w:b/>
                      <w:bCs/>
                      <w:color w:val="auto"/>
                      <w:szCs w:val="20"/>
                    </w:rPr>
                  </w:pPr>
                  <w:r>
                    <w:rPr>
                      <w:rFonts w:cs="Times New Roman"/>
                      <w:b/>
                      <w:bCs/>
                      <w:color w:val="auto"/>
                      <w:szCs w:val="20"/>
                    </w:rPr>
                    <w:t>主要生态系统服务功能</w:t>
                  </w:r>
                </w:p>
              </w:tc>
              <w:tc>
                <w:tcPr>
                  <w:tcW w:w="861" w:type="pct"/>
                  <w:vMerge w:val="restart"/>
                  <w:vAlign w:val="center"/>
                </w:tcPr>
                <w:p w14:paraId="61650910">
                  <w:pPr>
                    <w:pStyle w:val="65"/>
                    <w:rPr>
                      <w:rFonts w:cs="Times New Roman"/>
                      <w:b/>
                      <w:bCs/>
                      <w:color w:val="auto"/>
                      <w:szCs w:val="20"/>
                    </w:rPr>
                  </w:pPr>
                  <w:r>
                    <w:rPr>
                      <w:rFonts w:cs="Times New Roman"/>
                      <w:b/>
                      <w:bCs/>
                      <w:color w:val="auto"/>
                      <w:szCs w:val="20"/>
                    </w:rPr>
                    <w:t>保护措施与发展方向</w:t>
                  </w:r>
                </w:p>
              </w:tc>
            </w:tr>
            <w:tr w14:paraId="73B291AC">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454" w:hRule="atLeast"/>
                <w:tblHeader/>
                <w:jc w:val="center"/>
              </w:trPr>
              <w:tc>
                <w:tcPr>
                  <w:tcW w:w="463" w:type="pct"/>
                  <w:vAlign w:val="center"/>
                </w:tcPr>
                <w:p w14:paraId="7CCE8C22">
                  <w:pPr>
                    <w:pStyle w:val="65"/>
                    <w:rPr>
                      <w:rFonts w:cs="Times New Roman"/>
                      <w:b/>
                      <w:bCs/>
                      <w:color w:val="auto"/>
                      <w:szCs w:val="20"/>
                    </w:rPr>
                  </w:pPr>
                  <w:r>
                    <w:rPr>
                      <w:rFonts w:cs="Times New Roman"/>
                      <w:b/>
                      <w:bCs/>
                      <w:color w:val="auto"/>
                      <w:szCs w:val="20"/>
                    </w:rPr>
                    <w:t>生态区</w:t>
                  </w:r>
                </w:p>
              </w:tc>
              <w:tc>
                <w:tcPr>
                  <w:tcW w:w="604" w:type="pct"/>
                  <w:vAlign w:val="center"/>
                </w:tcPr>
                <w:p w14:paraId="1AE2FDD9">
                  <w:pPr>
                    <w:pStyle w:val="65"/>
                    <w:rPr>
                      <w:rFonts w:cs="Times New Roman"/>
                      <w:b/>
                      <w:bCs/>
                      <w:color w:val="auto"/>
                      <w:szCs w:val="20"/>
                    </w:rPr>
                  </w:pPr>
                  <w:r>
                    <w:rPr>
                      <w:rFonts w:cs="Times New Roman"/>
                      <w:b/>
                      <w:bCs/>
                      <w:color w:val="auto"/>
                      <w:szCs w:val="20"/>
                    </w:rPr>
                    <w:t>生态亚区</w:t>
                  </w:r>
                </w:p>
              </w:tc>
              <w:tc>
                <w:tcPr>
                  <w:tcW w:w="508" w:type="pct"/>
                  <w:vAlign w:val="center"/>
                </w:tcPr>
                <w:p w14:paraId="11312D4D">
                  <w:pPr>
                    <w:pStyle w:val="65"/>
                    <w:rPr>
                      <w:rFonts w:cs="Times New Roman"/>
                      <w:b/>
                      <w:bCs/>
                      <w:color w:val="auto"/>
                      <w:szCs w:val="20"/>
                    </w:rPr>
                  </w:pPr>
                  <w:r>
                    <w:rPr>
                      <w:rFonts w:cs="Times New Roman"/>
                      <w:b/>
                      <w:bCs/>
                      <w:color w:val="auto"/>
                      <w:szCs w:val="20"/>
                    </w:rPr>
                    <w:t>生态功能区</w:t>
                  </w:r>
                </w:p>
              </w:tc>
              <w:tc>
                <w:tcPr>
                  <w:tcW w:w="1166" w:type="pct"/>
                  <w:vMerge w:val="continue"/>
                  <w:vAlign w:val="center"/>
                </w:tcPr>
                <w:p w14:paraId="26A390AE">
                  <w:pPr>
                    <w:pStyle w:val="65"/>
                    <w:rPr>
                      <w:rFonts w:cs="Times New Roman"/>
                      <w:b/>
                      <w:bCs/>
                      <w:color w:val="auto"/>
                      <w:szCs w:val="20"/>
                    </w:rPr>
                  </w:pPr>
                </w:p>
              </w:tc>
              <w:tc>
                <w:tcPr>
                  <w:tcW w:w="442" w:type="pct"/>
                  <w:vMerge w:val="continue"/>
                  <w:vAlign w:val="center"/>
                </w:tcPr>
                <w:p w14:paraId="6BF23568">
                  <w:pPr>
                    <w:pStyle w:val="65"/>
                    <w:rPr>
                      <w:rFonts w:cs="Times New Roman"/>
                      <w:b/>
                      <w:bCs/>
                      <w:color w:val="auto"/>
                      <w:szCs w:val="20"/>
                    </w:rPr>
                  </w:pPr>
                </w:p>
              </w:tc>
              <w:tc>
                <w:tcPr>
                  <w:tcW w:w="475" w:type="pct"/>
                  <w:vMerge w:val="continue"/>
                  <w:vAlign w:val="center"/>
                </w:tcPr>
                <w:p w14:paraId="45F7BA96">
                  <w:pPr>
                    <w:pStyle w:val="65"/>
                    <w:rPr>
                      <w:rFonts w:cs="Times New Roman"/>
                      <w:b/>
                      <w:bCs/>
                      <w:color w:val="auto"/>
                      <w:szCs w:val="20"/>
                    </w:rPr>
                  </w:pPr>
                </w:p>
              </w:tc>
              <w:tc>
                <w:tcPr>
                  <w:tcW w:w="481" w:type="pct"/>
                  <w:vMerge w:val="continue"/>
                  <w:vAlign w:val="center"/>
                </w:tcPr>
                <w:p w14:paraId="4BBDE43C">
                  <w:pPr>
                    <w:pStyle w:val="65"/>
                    <w:rPr>
                      <w:rFonts w:cs="Times New Roman"/>
                      <w:b/>
                      <w:bCs/>
                      <w:color w:val="auto"/>
                      <w:szCs w:val="20"/>
                    </w:rPr>
                  </w:pPr>
                </w:p>
              </w:tc>
              <w:tc>
                <w:tcPr>
                  <w:tcW w:w="861" w:type="pct"/>
                  <w:vMerge w:val="continue"/>
                  <w:vAlign w:val="center"/>
                </w:tcPr>
                <w:p w14:paraId="4EE9A02C">
                  <w:pPr>
                    <w:pStyle w:val="65"/>
                    <w:rPr>
                      <w:rFonts w:cs="Times New Roman"/>
                      <w:b/>
                      <w:bCs/>
                      <w:color w:val="auto"/>
                      <w:szCs w:val="20"/>
                    </w:rPr>
                  </w:pPr>
                </w:p>
              </w:tc>
            </w:tr>
            <w:tr w14:paraId="0883F77F">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454" w:hRule="atLeast"/>
                <w:jc w:val="center"/>
              </w:trPr>
              <w:tc>
                <w:tcPr>
                  <w:tcW w:w="463" w:type="pct"/>
                  <w:vAlign w:val="center"/>
                </w:tcPr>
                <w:p w14:paraId="248B5D96">
                  <w:pPr>
                    <w:pStyle w:val="65"/>
                    <w:rPr>
                      <w:rFonts w:cs="Times New Roman"/>
                      <w:color w:val="auto"/>
                      <w:szCs w:val="20"/>
                    </w:rPr>
                  </w:pPr>
                  <w:r>
                    <w:rPr>
                      <w:rFonts w:hint="eastAsia" w:cs="Times New Roman"/>
                      <w:color w:val="auto"/>
                      <w:szCs w:val="20"/>
                    </w:rPr>
                    <w:t>Ⅲ高原亚热带北部常绿阔叶林生态区</w:t>
                  </w:r>
                </w:p>
              </w:tc>
              <w:tc>
                <w:tcPr>
                  <w:tcW w:w="604" w:type="pct"/>
                  <w:vAlign w:val="center"/>
                </w:tcPr>
                <w:p w14:paraId="1191FEC3">
                  <w:pPr>
                    <w:pStyle w:val="65"/>
                    <w:rPr>
                      <w:rFonts w:cs="Times New Roman"/>
                      <w:color w:val="auto"/>
                      <w:szCs w:val="20"/>
                    </w:rPr>
                  </w:pPr>
                  <w:r>
                    <w:rPr>
                      <w:rFonts w:hint="eastAsia" w:cs="Times New Roman"/>
                      <w:color w:val="auto"/>
                      <w:szCs w:val="20"/>
                    </w:rPr>
                    <w:t>Ⅲ7 滇西中山山原半湿润常绿阔叶林、暖性针叶林生态亚区</w:t>
                  </w:r>
                </w:p>
              </w:tc>
              <w:tc>
                <w:tcPr>
                  <w:tcW w:w="508" w:type="pct"/>
                  <w:vAlign w:val="center"/>
                </w:tcPr>
                <w:p w14:paraId="28E74C51">
                  <w:pPr>
                    <w:pStyle w:val="65"/>
                    <w:rPr>
                      <w:rFonts w:cs="Times New Roman"/>
                      <w:color w:val="auto"/>
                      <w:szCs w:val="20"/>
                    </w:rPr>
                  </w:pPr>
                  <w:r>
                    <w:rPr>
                      <w:rFonts w:hint="eastAsia" w:cs="Times New Roman"/>
                      <w:color w:val="auto"/>
                      <w:szCs w:val="20"/>
                    </w:rPr>
                    <w:t>Ⅲ7-4漾濞江中山河谷林业与水土保持生态功能区</w:t>
                  </w:r>
                </w:p>
              </w:tc>
              <w:tc>
                <w:tcPr>
                  <w:tcW w:w="1166" w:type="pct"/>
                  <w:vAlign w:val="center"/>
                </w:tcPr>
                <w:p w14:paraId="4C679239">
                  <w:pPr>
                    <w:pStyle w:val="65"/>
                    <w:rPr>
                      <w:rFonts w:cs="Times New Roman"/>
                      <w:color w:val="auto"/>
                      <w:szCs w:val="20"/>
                    </w:rPr>
                  </w:pPr>
                  <w:r>
                    <w:rPr>
                      <w:rFonts w:hint="eastAsia" w:cs="Times New Roman"/>
                      <w:color w:val="auto"/>
                      <w:szCs w:val="20"/>
                    </w:rPr>
                    <w:t>以中山峡谷地貌为主，年降雨量在河谷地区900-1000毫米，山地1500毫米左右。植被主要是大面积的云南松林，点苍山西坡山地垂直带植被分布明显。土壤以红壤和紫色土为主</w:t>
                  </w:r>
                </w:p>
              </w:tc>
              <w:tc>
                <w:tcPr>
                  <w:tcW w:w="442" w:type="pct"/>
                  <w:vAlign w:val="center"/>
                </w:tcPr>
                <w:p w14:paraId="3C616388">
                  <w:pPr>
                    <w:pStyle w:val="65"/>
                    <w:rPr>
                      <w:rFonts w:cs="Times New Roman"/>
                      <w:color w:val="auto"/>
                      <w:szCs w:val="20"/>
                    </w:rPr>
                  </w:pPr>
                  <w:r>
                    <w:rPr>
                      <w:rFonts w:hint="eastAsia" w:cs="Times New Roman"/>
                      <w:color w:val="auto"/>
                      <w:szCs w:val="20"/>
                    </w:rPr>
                    <w:t>土地利用不当带来的水土流失</w:t>
                  </w:r>
                </w:p>
              </w:tc>
              <w:tc>
                <w:tcPr>
                  <w:tcW w:w="475" w:type="pct"/>
                  <w:vAlign w:val="center"/>
                </w:tcPr>
                <w:p w14:paraId="7F34358A">
                  <w:pPr>
                    <w:pStyle w:val="65"/>
                    <w:rPr>
                      <w:rFonts w:cs="Times New Roman"/>
                      <w:color w:val="auto"/>
                      <w:szCs w:val="20"/>
                    </w:rPr>
                  </w:pPr>
                  <w:r>
                    <w:rPr>
                      <w:rFonts w:hint="eastAsia" w:cs="Times New Roman"/>
                      <w:color w:val="auto"/>
                      <w:szCs w:val="20"/>
                    </w:rPr>
                    <w:t>土壤侵蚀中高度敏感</w:t>
                  </w:r>
                </w:p>
              </w:tc>
              <w:tc>
                <w:tcPr>
                  <w:tcW w:w="481" w:type="pct"/>
                  <w:vAlign w:val="center"/>
                </w:tcPr>
                <w:p w14:paraId="10F6E6DF">
                  <w:pPr>
                    <w:pStyle w:val="65"/>
                    <w:rPr>
                      <w:rFonts w:cs="Times New Roman"/>
                      <w:color w:val="auto"/>
                      <w:szCs w:val="20"/>
                    </w:rPr>
                  </w:pPr>
                  <w:r>
                    <w:rPr>
                      <w:rFonts w:hint="eastAsia" w:cs="Times New Roman"/>
                      <w:color w:val="auto"/>
                      <w:szCs w:val="20"/>
                    </w:rPr>
                    <w:t>漾濞江中山峡谷地区的水土保持</w:t>
                  </w:r>
                </w:p>
              </w:tc>
              <w:tc>
                <w:tcPr>
                  <w:tcW w:w="861" w:type="pct"/>
                  <w:vAlign w:val="center"/>
                </w:tcPr>
                <w:p w14:paraId="6B03B6AD">
                  <w:pPr>
                    <w:pStyle w:val="65"/>
                    <w:rPr>
                      <w:rFonts w:cs="Times New Roman"/>
                      <w:color w:val="auto"/>
                      <w:szCs w:val="20"/>
                    </w:rPr>
                  </w:pPr>
                  <w:r>
                    <w:rPr>
                      <w:rFonts w:hint="eastAsia" w:cs="Times New Roman"/>
                      <w:color w:val="auto"/>
                      <w:szCs w:val="20"/>
                    </w:rPr>
                    <w:t>保护山地垂直植被带，加大封山育林的强度，大力发展公益林、适当发展商品林，提高区域的水源涵养能力</w:t>
                  </w:r>
                </w:p>
              </w:tc>
            </w:tr>
          </w:tbl>
          <w:p w14:paraId="49BA854C">
            <w:pPr>
              <w:pStyle w:val="3"/>
              <w:spacing w:before="72" w:after="72"/>
              <w:rPr>
                <w:color w:val="auto"/>
              </w:rPr>
            </w:pPr>
            <w:r>
              <w:rPr>
                <w:rFonts w:hint="eastAsia"/>
                <w:color w:val="auto"/>
              </w:rPr>
              <w:t>项目用地及周边生态环境现状</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13989D5D">
            <w:pPr>
              <w:pStyle w:val="4"/>
              <w:spacing w:before="48" w:after="48"/>
              <w:rPr>
                <w:color w:val="auto"/>
              </w:rPr>
            </w:pPr>
            <w:bookmarkStart w:id="615" w:name="_Toc160473802"/>
            <w:bookmarkStart w:id="616" w:name="_Toc156137840"/>
            <w:bookmarkStart w:id="617" w:name="_Toc112173921"/>
            <w:bookmarkStart w:id="618" w:name="_Toc112424263"/>
            <w:bookmarkStart w:id="619" w:name="_Toc156144154"/>
            <w:bookmarkStart w:id="620" w:name="_Toc136794316"/>
            <w:bookmarkStart w:id="621" w:name="_Toc112165626"/>
            <w:bookmarkStart w:id="622" w:name="_Toc158491261"/>
            <w:bookmarkStart w:id="623" w:name="_Toc159349029"/>
            <w:bookmarkStart w:id="624" w:name="_Toc20788"/>
            <w:bookmarkStart w:id="625" w:name="_Toc11220"/>
            <w:bookmarkStart w:id="626" w:name="_Toc136794191"/>
            <w:bookmarkStart w:id="627" w:name="_Toc160730878"/>
            <w:bookmarkStart w:id="628" w:name="_Toc161415556"/>
            <w:r>
              <w:rPr>
                <w:rFonts w:hint="eastAsia"/>
                <w:color w:val="auto"/>
              </w:rPr>
              <w:t>土地利用现状</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60D9A9B6">
            <w:pPr>
              <w:ind w:firstLine="480"/>
              <w:rPr>
                <w:color w:val="auto"/>
              </w:rPr>
            </w:pPr>
            <w:r>
              <w:rPr>
                <w:rFonts w:hint="eastAsia"/>
                <w:color w:val="auto"/>
              </w:rPr>
              <w:t>（1）评价区土地利用</w:t>
            </w:r>
          </w:p>
          <w:p w14:paraId="19509C69">
            <w:pPr>
              <w:widowControl/>
              <w:ind w:firstLine="470" w:firstLineChars="196"/>
              <w:jc w:val="left"/>
              <w:rPr>
                <w:rFonts w:cs="Times New Roman"/>
                <w:color w:val="auto"/>
                <w:kern w:val="0"/>
                <w:szCs w:val="24"/>
              </w:rPr>
            </w:pPr>
            <w:r>
              <w:rPr>
                <w:rFonts w:cs="Times New Roman"/>
                <w:color w:val="auto"/>
                <w:kern w:val="0"/>
                <w:szCs w:val="24"/>
              </w:rPr>
              <w:t>根据现场调查和遥感判读分析，</w:t>
            </w:r>
            <w:r>
              <w:rPr>
                <w:rFonts w:hint="eastAsia" w:cs="Times New Roman"/>
                <w:color w:val="auto"/>
                <w:kern w:val="0"/>
                <w:szCs w:val="24"/>
              </w:rPr>
              <w:t>做出</w:t>
            </w:r>
            <w:r>
              <w:rPr>
                <w:rFonts w:cs="Times New Roman"/>
                <w:color w:val="auto"/>
                <w:kern w:val="0"/>
                <w:szCs w:val="24"/>
              </w:rPr>
              <w:t>评价区土地利用现状图</w:t>
            </w:r>
            <w:r>
              <w:rPr>
                <w:rFonts w:hint="eastAsia" w:cs="Times New Roman"/>
                <w:color w:val="auto"/>
                <w:kern w:val="0"/>
                <w:szCs w:val="24"/>
              </w:rPr>
              <w:t>（详见</w:t>
            </w:r>
            <w:r>
              <w:rPr>
                <w:rFonts w:cs="Times New Roman"/>
                <w:color w:val="auto"/>
                <w:kern w:val="0"/>
                <w:szCs w:val="24"/>
              </w:rPr>
              <w:fldChar w:fldCharType="begin"/>
            </w:r>
            <w:r>
              <w:rPr>
                <w:rFonts w:cs="Times New Roman"/>
                <w:color w:val="auto"/>
                <w:kern w:val="0"/>
                <w:szCs w:val="24"/>
              </w:rPr>
              <w:instrText xml:space="preserve"> </w:instrText>
            </w:r>
            <w:r>
              <w:rPr>
                <w:rFonts w:hint="eastAsia" w:cs="Times New Roman"/>
                <w:color w:val="auto"/>
                <w:kern w:val="0"/>
                <w:szCs w:val="24"/>
              </w:rPr>
              <w:instrText xml:space="preserve">REF _Ref212486929 \h</w:instrText>
            </w:r>
            <w:r>
              <w:rPr>
                <w:rFonts w:cs="Times New Roman"/>
                <w:color w:val="auto"/>
                <w:kern w:val="0"/>
                <w:szCs w:val="24"/>
              </w:rPr>
              <w:instrText xml:space="preserve"> </w:instrText>
            </w:r>
            <w:r>
              <w:rPr>
                <w:rFonts w:cs="Times New Roman"/>
                <w:color w:val="auto"/>
                <w:kern w:val="0"/>
                <w:szCs w:val="24"/>
              </w:rPr>
              <w:fldChar w:fldCharType="separate"/>
            </w:r>
            <w:r>
              <w:rPr>
                <w:rFonts w:hint="eastAsia"/>
                <w:color w:val="auto"/>
                <w:szCs w:val="24"/>
              </w:rPr>
              <w:t xml:space="preserve">附图 </w:t>
            </w:r>
            <w:r>
              <w:rPr>
                <w:color w:val="auto"/>
                <w:szCs w:val="24"/>
              </w:rPr>
              <w:t>17</w:t>
            </w:r>
            <w:r>
              <w:rPr>
                <w:rFonts w:cs="Times New Roman"/>
                <w:color w:val="auto"/>
                <w:kern w:val="0"/>
                <w:szCs w:val="24"/>
              </w:rPr>
              <w:fldChar w:fldCharType="end"/>
            </w:r>
            <w:r>
              <w:rPr>
                <w:rFonts w:hint="eastAsia" w:cs="Times New Roman"/>
                <w:color w:val="auto"/>
                <w:kern w:val="0"/>
                <w:szCs w:val="24"/>
              </w:rPr>
              <w:t>）</w:t>
            </w:r>
            <w:r>
              <w:rPr>
                <w:rFonts w:cs="Times New Roman"/>
                <w:color w:val="auto"/>
                <w:kern w:val="0"/>
                <w:szCs w:val="24"/>
              </w:rPr>
              <w:t>，并统计评价区内的土地利用类型见下表。</w:t>
            </w:r>
          </w:p>
          <w:p w14:paraId="448D3432">
            <w:pPr>
              <w:pStyle w:val="63"/>
              <w:rPr>
                <w:rFonts w:cs="Times New Roman"/>
                <w:color w:val="auto"/>
                <w:kern w:val="0"/>
                <w:szCs w:val="21"/>
              </w:rPr>
            </w:pPr>
            <w:bookmarkStart w:id="629" w:name="_Ref212495206"/>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bookmarkEnd w:id="629"/>
            <w:r>
              <w:rPr>
                <w:color w:val="auto"/>
              </w:rPr>
              <w:t xml:space="preserve">  </w:t>
            </w:r>
            <w:r>
              <w:rPr>
                <w:rFonts w:cs="Times New Roman"/>
                <w:color w:val="auto"/>
                <w:kern w:val="0"/>
                <w:szCs w:val="21"/>
              </w:rPr>
              <w:t>评价区土地利用现状一览表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1867"/>
              <w:gridCol w:w="1866"/>
              <w:gridCol w:w="2247"/>
            </w:tblGrid>
            <w:tr w14:paraId="5FBF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379" w:type="pct"/>
                  <w:gridSpan w:val="2"/>
                  <w:vAlign w:val="center"/>
                </w:tcPr>
                <w:p w14:paraId="05301190">
                  <w:pPr>
                    <w:pStyle w:val="65"/>
                    <w:rPr>
                      <w:rFonts w:cs="Times New Roman"/>
                      <w:b/>
                      <w:bCs/>
                      <w:color w:val="auto"/>
                      <w:szCs w:val="21"/>
                    </w:rPr>
                  </w:pPr>
                  <w:r>
                    <w:rPr>
                      <w:rFonts w:cs="Times New Roman"/>
                      <w:b/>
                      <w:bCs/>
                      <w:color w:val="auto"/>
                      <w:szCs w:val="21"/>
                    </w:rPr>
                    <w:t>土地利用类型</w:t>
                  </w:r>
                </w:p>
              </w:tc>
              <w:tc>
                <w:tcPr>
                  <w:tcW w:w="1189" w:type="pct"/>
                  <w:vAlign w:val="center"/>
                </w:tcPr>
                <w:p w14:paraId="201E7145">
                  <w:pPr>
                    <w:pStyle w:val="65"/>
                    <w:rPr>
                      <w:rFonts w:cs="Times New Roman"/>
                      <w:b/>
                      <w:bCs/>
                      <w:color w:val="auto"/>
                      <w:szCs w:val="21"/>
                    </w:rPr>
                  </w:pPr>
                  <w:r>
                    <w:rPr>
                      <w:rFonts w:cs="Times New Roman"/>
                      <w:b/>
                      <w:bCs/>
                      <w:color w:val="auto"/>
                      <w:szCs w:val="21"/>
                    </w:rPr>
                    <w:t>面积（hm</w:t>
                  </w:r>
                  <w:r>
                    <w:rPr>
                      <w:rFonts w:cs="Times New Roman"/>
                      <w:b/>
                      <w:bCs/>
                      <w:color w:val="auto"/>
                      <w:szCs w:val="21"/>
                      <w:vertAlign w:val="superscript"/>
                    </w:rPr>
                    <w:t>2</w:t>
                  </w:r>
                  <w:r>
                    <w:rPr>
                      <w:rFonts w:cs="Times New Roman"/>
                      <w:b/>
                      <w:bCs/>
                      <w:color w:val="auto"/>
                      <w:szCs w:val="21"/>
                    </w:rPr>
                    <w:t>）</w:t>
                  </w:r>
                </w:p>
              </w:tc>
              <w:tc>
                <w:tcPr>
                  <w:tcW w:w="1432" w:type="pct"/>
                  <w:vAlign w:val="center"/>
                </w:tcPr>
                <w:p w14:paraId="4AEC2122">
                  <w:pPr>
                    <w:pStyle w:val="65"/>
                    <w:rPr>
                      <w:rFonts w:cs="Times New Roman"/>
                      <w:b/>
                      <w:bCs/>
                      <w:color w:val="auto"/>
                      <w:szCs w:val="21"/>
                    </w:rPr>
                  </w:pPr>
                  <w:r>
                    <w:rPr>
                      <w:rFonts w:cs="Times New Roman"/>
                      <w:b/>
                      <w:bCs/>
                      <w:color w:val="auto"/>
                      <w:szCs w:val="21"/>
                    </w:rPr>
                    <w:t>占评价区总面积比例（%）</w:t>
                  </w:r>
                </w:p>
              </w:tc>
            </w:tr>
            <w:tr w14:paraId="5999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9" w:type="pct"/>
                  <w:vMerge w:val="restart"/>
                  <w:vAlign w:val="center"/>
                </w:tcPr>
                <w:p w14:paraId="617E9A04">
                  <w:pPr>
                    <w:pStyle w:val="65"/>
                    <w:rPr>
                      <w:rFonts w:cs="Times New Roman"/>
                      <w:color w:val="auto"/>
                      <w:szCs w:val="21"/>
                    </w:rPr>
                  </w:pPr>
                  <w:r>
                    <w:rPr>
                      <w:rFonts w:cs="Times New Roman"/>
                      <w:color w:val="auto"/>
                      <w:szCs w:val="21"/>
                    </w:rPr>
                    <w:t>林地</w:t>
                  </w:r>
                </w:p>
              </w:tc>
              <w:tc>
                <w:tcPr>
                  <w:tcW w:w="1190" w:type="pct"/>
                  <w:vAlign w:val="center"/>
                </w:tcPr>
                <w:p w14:paraId="50E76345">
                  <w:pPr>
                    <w:pStyle w:val="65"/>
                    <w:rPr>
                      <w:rFonts w:cs="Times New Roman"/>
                      <w:color w:val="auto"/>
                      <w:szCs w:val="21"/>
                    </w:rPr>
                  </w:pPr>
                  <w:r>
                    <w:rPr>
                      <w:rFonts w:cs="Times New Roman"/>
                      <w:color w:val="auto"/>
                      <w:szCs w:val="21"/>
                    </w:rPr>
                    <w:t>乔木林地</w:t>
                  </w:r>
                </w:p>
              </w:tc>
              <w:tc>
                <w:tcPr>
                  <w:tcW w:w="1189" w:type="pct"/>
                  <w:vAlign w:val="center"/>
                </w:tcPr>
                <w:p w14:paraId="57D82369">
                  <w:pPr>
                    <w:pStyle w:val="65"/>
                    <w:rPr>
                      <w:rFonts w:cs="Times New Roman"/>
                      <w:color w:val="auto"/>
                      <w:szCs w:val="21"/>
                    </w:rPr>
                  </w:pPr>
                  <w:r>
                    <w:rPr>
                      <w:rFonts w:cs="Times New Roman"/>
                      <w:color w:val="auto"/>
                      <w:szCs w:val="21"/>
                    </w:rPr>
                    <w:t>441.56</w:t>
                  </w:r>
                </w:p>
              </w:tc>
              <w:tc>
                <w:tcPr>
                  <w:tcW w:w="1432" w:type="pct"/>
                  <w:vAlign w:val="center"/>
                </w:tcPr>
                <w:p w14:paraId="19D348B7">
                  <w:pPr>
                    <w:pStyle w:val="65"/>
                    <w:rPr>
                      <w:rFonts w:cs="Times New Roman"/>
                      <w:color w:val="auto"/>
                      <w:szCs w:val="21"/>
                    </w:rPr>
                  </w:pPr>
                  <w:r>
                    <w:rPr>
                      <w:rFonts w:cs="Times New Roman"/>
                      <w:color w:val="auto"/>
                      <w:szCs w:val="21"/>
                    </w:rPr>
                    <w:t>50.35</w:t>
                  </w:r>
                </w:p>
              </w:tc>
            </w:tr>
            <w:tr w14:paraId="3598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9" w:type="pct"/>
                  <w:vMerge w:val="continue"/>
                  <w:noWrap/>
                  <w:vAlign w:val="center"/>
                </w:tcPr>
                <w:p w14:paraId="6AE876F7">
                  <w:pPr>
                    <w:pStyle w:val="65"/>
                    <w:rPr>
                      <w:rFonts w:cs="Times New Roman"/>
                      <w:color w:val="auto"/>
                      <w:szCs w:val="21"/>
                    </w:rPr>
                  </w:pPr>
                </w:p>
              </w:tc>
              <w:tc>
                <w:tcPr>
                  <w:tcW w:w="1190" w:type="pct"/>
                  <w:vAlign w:val="center"/>
                </w:tcPr>
                <w:p w14:paraId="7328C0F6">
                  <w:pPr>
                    <w:pStyle w:val="65"/>
                    <w:rPr>
                      <w:rFonts w:cs="Times New Roman"/>
                      <w:color w:val="auto"/>
                      <w:szCs w:val="21"/>
                    </w:rPr>
                  </w:pPr>
                  <w:r>
                    <w:rPr>
                      <w:rFonts w:cs="Times New Roman"/>
                      <w:color w:val="auto"/>
                      <w:szCs w:val="21"/>
                    </w:rPr>
                    <w:t>灌木林地</w:t>
                  </w:r>
                </w:p>
              </w:tc>
              <w:tc>
                <w:tcPr>
                  <w:tcW w:w="1189" w:type="pct"/>
                  <w:vAlign w:val="center"/>
                </w:tcPr>
                <w:p w14:paraId="7D7F9879">
                  <w:pPr>
                    <w:pStyle w:val="65"/>
                    <w:rPr>
                      <w:rFonts w:cs="Times New Roman"/>
                      <w:color w:val="auto"/>
                      <w:szCs w:val="21"/>
                    </w:rPr>
                  </w:pPr>
                  <w:r>
                    <w:rPr>
                      <w:rFonts w:cs="Times New Roman"/>
                      <w:color w:val="auto"/>
                      <w:szCs w:val="21"/>
                    </w:rPr>
                    <w:t>1.65</w:t>
                  </w:r>
                </w:p>
              </w:tc>
              <w:tc>
                <w:tcPr>
                  <w:tcW w:w="1432" w:type="pct"/>
                  <w:vAlign w:val="center"/>
                </w:tcPr>
                <w:p w14:paraId="23094495">
                  <w:pPr>
                    <w:pStyle w:val="65"/>
                    <w:rPr>
                      <w:rFonts w:cs="Times New Roman"/>
                      <w:color w:val="auto"/>
                      <w:szCs w:val="21"/>
                    </w:rPr>
                  </w:pPr>
                  <w:r>
                    <w:rPr>
                      <w:rFonts w:cs="Times New Roman"/>
                      <w:color w:val="auto"/>
                      <w:szCs w:val="21"/>
                    </w:rPr>
                    <w:t>0.19</w:t>
                  </w:r>
                </w:p>
              </w:tc>
            </w:tr>
            <w:tr w14:paraId="0559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9" w:type="pct"/>
                  <w:gridSpan w:val="2"/>
                  <w:noWrap/>
                  <w:vAlign w:val="center"/>
                </w:tcPr>
                <w:p w14:paraId="480335E5">
                  <w:pPr>
                    <w:pStyle w:val="65"/>
                    <w:rPr>
                      <w:rFonts w:cs="Times New Roman"/>
                      <w:color w:val="auto"/>
                      <w:szCs w:val="21"/>
                    </w:rPr>
                  </w:pPr>
                  <w:r>
                    <w:rPr>
                      <w:rFonts w:cs="Times New Roman"/>
                      <w:color w:val="auto"/>
                      <w:szCs w:val="21"/>
                    </w:rPr>
                    <w:t>草地</w:t>
                  </w:r>
                </w:p>
              </w:tc>
              <w:tc>
                <w:tcPr>
                  <w:tcW w:w="1189" w:type="pct"/>
                  <w:vAlign w:val="center"/>
                </w:tcPr>
                <w:p w14:paraId="3E376F1A">
                  <w:pPr>
                    <w:pStyle w:val="65"/>
                    <w:rPr>
                      <w:rFonts w:cs="Times New Roman"/>
                      <w:color w:val="auto"/>
                      <w:szCs w:val="21"/>
                    </w:rPr>
                  </w:pPr>
                  <w:r>
                    <w:rPr>
                      <w:rFonts w:cs="Times New Roman"/>
                      <w:color w:val="auto"/>
                      <w:szCs w:val="21"/>
                    </w:rPr>
                    <w:t>0.65</w:t>
                  </w:r>
                </w:p>
              </w:tc>
              <w:tc>
                <w:tcPr>
                  <w:tcW w:w="1432" w:type="pct"/>
                  <w:vAlign w:val="center"/>
                </w:tcPr>
                <w:p w14:paraId="6FAE1B46">
                  <w:pPr>
                    <w:pStyle w:val="65"/>
                    <w:rPr>
                      <w:rFonts w:cs="Times New Roman"/>
                      <w:color w:val="auto"/>
                      <w:szCs w:val="21"/>
                    </w:rPr>
                  </w:pPr>
                  <w:r>
                    <w:rPr>
                      <w:rFonts w:cs="Times New Roman"/>
                      <w:color w:val="auto"/>
                      <w:szCs w:val="21"/>
                    </w:rPr>
                    <w:t>0.07</w:t>
                  </w:r>
                </w:p>
              </w:tc>
            </w:tr>
            <w:tr w14:paraId="6D96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9" w:type="pct"/>
                  <w:gridSpan w:val="2"/>
                  <w:noWrap/>
                  <w:vAlign w:val="center"/>
                </w:tcPr>
                <w:p w14:paraId="0CD2F71A">
                  <w:pPr>
                    <w:pStyle w:val="65"/>
                    <w:rPr>
                      <w:rFonts w:cs="Times New Roman"/>
                      <w:color w:val="auto"/>
                      <w:szCs w:val="21"/>
                    </w:rPr>
                  </w:pPr>
                  <w:r>
                    <w:rPr>
                      <w:rFonts w:cs="Times New Roman"/>
                      <w:color w:val="auto"/>
                      <w:szCs w:val="21"/>
                    </w:rPr>
                    <w:t>园地</w:t>
                  </w:r>
                </w:p>
              </w:tc>
              <w:tc>
                <w:tcPr>
                  <w:tcW w:w="1189" w:type="pct"/>
                  <w:vAlign w:val="center"/>
                </w:tcPr>
                <w:p w14:paraId="145E635C">
                  <w:pPr>
                    <w:pStyle w:val="65"/>
                    <w:rPr>
                      <w:rFonts w:cs="Times New Roman"/>
                      <w:color w:val="auto"/>
                      <w:szCs w:val="21"/>
                    </w:rPr>
                  </w:pPr>
                  <w:r>
                    <w:rPr>
                      <w:rFonts w:cs="Times New Roman"/>
                      <w:color w:val="auto"/>
                      <w:szCs w:val="21"/>
                    </w:rPr>
                    <w:t>382.71</w:t>
                  </w:r>
                </w:p>
              </w:tc>
              <w:tc>
                <w:tcPr>
                  <w:tcW w:w="1432" w:type="pct"/>
                  <w:vAlign w:val="center"/>
                </w:tcPr>
                <w:p w14:paraId="04167BC5">
                  <w:pPr>
                    <w:pStyle w:val="65"/>
                    <w:rPr>
                      <w:rFonts w:cs="Times New Roman"/>
                      <w:color w:val="auto"/>
                      <w:szCs w:val="21"/>
                    </w:rPr>
                  </w:pPr>
                  <w:r>
                    <w:rPr>
                      <w:rFonts w:cs="Times New Roman"/>
                      <w:color w:val="auto"/>
                      <w:szCs w:val="21"/>
                    </w:rPr>
                    <w:t>43.64</w:t>
                  </w:r>
                </w:p>
              </w:tc>
            </w:tr>
            <w:tr w14:paraId="50C8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9" w:type="pct"/>
                  <w:gridSpan w:val="2"/>
                  <w:noWrap/>
                  <w:vAlign w:val="center"/>
                </w:tcPr>
                <w:p w14:paraId="1E081489">
                  <w:pPr>
                    <w:pStyle w:val="65"/>
                    <w:rPr>
                      <w:rFonts w:cs="Times New Roman"/>
                      <w:color w:val="auto"/>
                      <w:szCs w:val="21"/>
                    </w:rPr>
                  </w:pPr>
                  <w:r>
                    <w:rPr>
                      <w:rFonts w:cs="Times New Roman"/>
                      <w:color w:val="auto"/>
                      <w:szCs w:val="21"/>
                    </w:rPr>
                    <w:t>耕地</w:t>
                  </w:r>
                </w:p>
              </w:tc>
              <w:tc>
                <w:tcPr>
                  <w:tcW w:w="1189" w:type="pct"/>
                  <w:vAlign w:val="center"/>
                </w:tcPr>
                <w:p w14:paraId="37088CF5">
                  <w:pPr>
                    <w:pStyle w:val="65"/>
                    <w:rPr>
                      <w:rFonts w:cs="Times New Roman"/>
                      <w:color w:val="auto"/>
                      <w:szCs w:val="21"/>
                    </w:rPr>
                  </w:pPr>
                  <w:r>
                    <w:rPr>
                      <w:rFonts w:cs="Times New Roman"/>
                      <w:color w:val="auto"/>
                      <w:szCs w:val="21"/>
                    </w:rPr>
                    <w:t>21.90</w:t>
                  </w:r>
                </w:p>
              </w:tc>
              <w:tc>
                <w:tcPr>
                  <w:tcW w:w="1432" w:type="pct"/>
                  <w:vAlign w:val="center"/>
                </w:tcPr>
                <w:p w14:paraId="5E146DE4">
                  <w:pPr>
                    <w:pStyle w:val="65"/>
                    <w:rPr>
                      <w:rFonts w:cs="Times New Roman"/>
                      <w:color w:val="auto"/>
                      <w:szCs w:val="21"/>
                    </w:rPr>
                  </w:pPr>
                  <w:r>
                    <w:rPr>
                      <w:rFonts w:cs="Times New Roman"/>
                      <w:color w:val="auto"/>
                      <w:szCs w:val="21"/>
                    </w:rPr>
                    <w:t>2.50</w:t>
                  </w:r>
                </w:p>
              </w:tc>
            </w:tr>
            <w:tr w14:paraId="5B9B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9" w:type="pct"/>
                  <w:gridSpan w:val="2"/>
                  <w:noWrap/>
                  <w:vAlign w:val="center"/>
                </w:tcPr>
                <w:p w14:paraId="25D07EA9">
                  <w:pPr>
                    <w:pStyle w:val="65"/>
                    <w:rPr>
                      <w:rFonts w:cs="Times New Roman"/>
                      <w:color w:val="auto"/>
                      <w:szCs w:val="21"/>
                    </w:rPr>
                  </w:pPr>
                  <w:r>
                    <w:rPr>
                      <w:rFonts w:cs="Times New Roman"/>
                      <w:color w:val="auto"/>
                      <w:szCs w:val="21"/>
                    </w:rPr>
                    <w:t>交通运输用地</w:t>
                  </w:r>
                </w:p>
              </w:tc>
              <w:tc>
                <w:tcPr>
                  <w:tcW w:w="1189" w:type="pct"/>
                  <w:vAlign w:val="center"/>
                </w:tcPr>
                <w:p w14:paraId="4A97DA35">
                  <w:pPr>
                    <w:pStyle w:val="65"/>
                    <w:rPr>
                      <w:rFonts w:cs="Times New Roman"/>
                      <w:color w:val="auto"/>
                      <w:szCs w:val="21"/>
                    </w:rPr>
                  </w:pPr>
                  <w:r>
                    <w:rPr>
                      <w:rFonts w:cs="Times New Roman"/>
                      <w:color w:val="auto"/>
                      <w:szCs w:val="21"/>
                    </w:rPr>
                    <w:t>14.42</w:t>
                  </w:r>
                </w:p>
              </w:tc>
              <w:tc>
                <w:tcPr>
                  <w:tcW w:w="1432" w:type="pct"/>
                  <w:vAlign w:val="center"/>
                </w:tcPr>
                <w:p w14:paraId="3E9B01AA">
                  <w:pPr>
                    <w:pStyle w:val="65"/>
                    <w:rPr>
                      <w:rFonts w:cs="Times New Roman"/>
                      <w:color w:val="auto"/>
                      <w:szCs w:val="21"/>
                    </w:rPr>
                  </w:pPr>
                  <w:r>
                    <w:rPr>
                      <w:rFonts w:cs="Times New Roman"/>
                      <w:color w:val="auto"/>
                      <w:szCs w:val="21"/>
                    </w:rPr>
                    <w:t>1.64</w:t>
                  </w:r>
                </w:p>
              </w:tc>
            </w:tr>
            <w:tr w14:paraId="1649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9" w:type="pct"/>
                  <w:gridSpan w:val="2"/>
                  <w:noWrap/>
                  <w:vAlign w:val="center"/>
                </w:tcPr>
                <w:p w14:paraId="28E60970">
                  <w:pPr>
                    <w:pStyle w:val="65"/>
                    <w:rPr>
                      <w:rFonts w:cs="Times New Roman"/>
                      <w:color w:val="auto"/>
                      <w:szCs w:val="21"/>
                    </w:rPr>
                  </w:pPr>
                  <w:r>
                    <w:rPr>
                      <w:rFonts w:cs="Times New Roman"/>
                      <w:color w:val="auto"/>
                      <w:szCs w:val="21"/>
                    </w:rPr>
                    <w:t>其他土地</w:t>
                  </w:r>
                </w:p>
              </w:tc>
              <w:tc>
                <w:tcPr>
                  <w:tcW w:w="1189" w:type="pct"/>
                  <w:vAlign w:val="center"/>
                </w:tcPr>
                <w:p w14:paraId="1C04E8E1">
                  <w:pPr>
                    <w:pStyle w:val="65"/>
                    <w:rPr>
                      <w:rFonts w:cs="Times New Roman"/>
                      <w:color w:val="auto"/>
                      <w:szCs w:val="21"/>
                    </w:rPr>
                  </w:pPr>
                  <w:r>
                    <w:rPr>
                      <w:rFonts w:cs="Times New Roman"/>
                      <w:color w:val="auto"/>
                      <w:szCs w:val="21"/>
                    </w:rPr>
                    <w:t>0.92</w:t>
                  </w:r>
                </w:p>
              </w:tc>
              <w:tc>
                <w:tcPr>
                  <w:tcW w:w="1432" w:type="pct"/>
                  <w:vAlign w:val="center"/>
                </w:tcPr>
                <w:p w14:paraId="0366B564">
                  <w:pPr>
                    <w:pStyle w:val="65"/>
                    <w:rPr>
                      <w:rFonts w:cs="Times New Roman"/>
                      <w:color w:val="auto"/>
                      <w:szCs w:val="21"/>
                    </w:rPr>
                  </w:pPr>
                  <w:r>
                    <w:rPr>
                      <w:rFonts w:cs="Times New Roman"/>
                      <w:color w:val="auto"/>
                      <w:szCs w:val="21"/>
                    </w:rPr>
                    <w:t>0.10</w:t>
                  </w:r>
                </w:p>
              </w:tc>
            </w:tr>
            <w:tr w14:paraId="5363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9" w:type="pct"/>
                  <w:gridSpan w:val="2"/>
                  <w:noWrap/>
                  <w:vAlign w:val="center"/>
                </w:tcPr>
                <w:p w14:paraId="4D2BC98E">
                  <w:pPr>
                    <w:pStyle w:val="65"/>
                    <w:rPr>
                      <w:rFonts w:cs="Times New Roman"/>
                      <w:color w:val="auto"/>
                      <w:szCs w:val="21"/>
                    </w:rPr>
                  </w:pPr>
                  <w:r>
                    <w:rPr>
                      <w:rFonts w:cs="Times New Roman"/>
                      <w:color w:val="auto"/>
                      <w:szCs w:val="21"/>
                    </w:rPr>
                    <w:t>水域及水利设施用地</w:t>
                  </w:r>
                </w:p>
              </w:tc>
              <w:tc>
                <w:tcPr>
                  <w:tcW w:w="1189" w:type="pct"/>
                  <w:vAlign w:val="center"/>
                </w:tcPr>
                <w:p w14:paraId="23E0254E">
                  <w:pPr>
                    <w:pStyle w:val="65"/>
                    <w:rPr>
                      <w:rFonts w:cs="Times New Roman"/>
                      <w:color w:val="auto"/>
                      <w:szCs w:val="21"/>
                    </w:rPr>
                  </w:pPr>
                  <w:r>
                    <w:rPr>
                      <w:rFonts w:cs="Times New Roman"/>
                      <w:color w:val="auto"/>
                      <w:szCs w:val="21"/>
                    </w:rPr>
                    <w:t>0.47</w:t>
                  </w:r>
                </w:p>
              </w:tc>
              <w:tc>
                <w:tcPr>
                  <w:tcW w:w="1432" w:type="pct"/>
                  <w:vAlign w:val="center"/>
                </w:tcPr>
                <w:p w14:paraId="6903D735">
                  <w:pPr>
                    <w:pStyle w:val="65"/>
                    <w:rPr>
                      <w:rFonts w:cs="Times New Roman"/>
                      <w:color w:val="auto"/>
                      <w:szCs w:val="21"/>
                    </w:rPr>
                  </w:pPr>
                  <w:r>
                    <w:rPr>
                      <w:rFonts w:cs="Times New Roman"/>
                      <w:color w:val="auto"/>
                      <w:szCs w:val="21"/>
                    </w:rPr>
                    <w:t>0.05</w:t>
                  </w:r>
                </w:p>
              </w:tc>
            </w:tr>
            <w:tr w14:paraId="3CC6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9" w:type="pct"/>
                  <w:gridSpan w:val="2"/>
                  <w:noWrap/>
                  <w:vAlign w:val="center"/>
                </w:tcPr>
                <w:p w14:paraId="727CEA26">
                  <w:pPr>
                    <w:pStyle w:val="65"/>
                    <w:rPr>
                      <w:rFonts w:cs="Times New Roman"/>
                      <w:color w:val="auto"/>
                      <w:szCs w:val="21"/>
                    </w:rPr>
                  </w:pPr>
                  <w:r>
                    <w:rPr>
                      <w:rFonts w:cs="Times New Roman"/>
                      <w:color w:val="auto"/>
                      <w:szCs w:val="21"/>
                    </w:rPr>
                    <w:t>公共管理与公共服务用地</w:t>
                  </w:r>
                </w:p>
              </w:tc>
              <w:tc>
                <w:tcPr>
                  <w:tcW w:w="1189" w:type="pct"/>
                  <w:vAlign w:val="center"/>
                </w:tcPr>
                <w:p w14:paraId="3D2FA852">
                  <w:pPr>
                    <w:pStyle w:val="65"/>
                    <w:rPr>
                      <w:rFonts w:cs="Times New Roman"/>
                      <w:color w:val="auto"/>
                      <w:szCs w:val="21"/>
                    </w:rPr>
                  </w:pPr>
                  <w:r>
                    <w:rPr>
                      <w:rFonts w:cs="Times New Roman"/>
                      <w:color w:val="auto"/>
                      <w:szCs w:val="21"/>
                    </w:rPr>
                    <w:t>0.23</w:t>
                  </w:r>
                </w:p>
              </w:tc>
              <w:tc>
                <w:tcPr>
                  <w:tcW w:w="1432" w:type="pct"/>
                  <w:vAlign w:val="center"/>
                </w:tcPr>
                <w:p w14:paraId="685916A5">
                  <w:pPr>
                    <w:pStyle w:val="65"/>
                    <w:rPr>
                      <w:rFonts w:cs="Times New Roman"/>
                      <w:color w:val="auto"/>
                      <w:szCs w:val="21"/>
                    </w:rPr>
                  </w:pPr>
                  <w:r>
                    <w:rPr>
                      <w:rFonts w:cs="Times New Roman"/>
                      <w:color w:val="auto"/>
                      <w:szCs w:val="21"/>
                    </w:rPr>
                    <w:t>0.03</w:t>
                  </w:r>
                </w:p>
              </w:tc>
            </w:tr>
            <w:tr w14:paraId="27F0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9" w:type="pct"/>
                  <w:gridSpan w:val="2"/>
                  <w:noWrap/>
                  <w:vAlign w:val="center"/>
                </w:tcPr>
                <w:p w14:paraId="703C24F8">
                  <w:pPr>
                    <w:pStyle w:val="65"/>
                    <w:rPr>
                      <w:rFonts w:cs="Times New Roman"/>
                      <w:color w:val="auto"/>
                      <w:szCs w:val="21"/>
                    </w:rPr>
                  </w:pPr>
                  <w:r>
                    <w:rPr>
                      <w:rFonts w:cs="Times New Roman"/>
                      <w:color w:val="auto"/>
                      <w:szCs w:val="21"/>
                    </w:rPr>
                    <w:t>住宅用地</w:t>
                  </w:r>
                </w:p>
              </w:tc>
              <w:tc>
                <w:tcPr>
                  <w:tcW w:w="1189" w:type="pct"/>
                  <w:vAlign w:val="center"/>
                </w:tcPr>
                <w:p w14:paraId="4E6324D2">
                  <w:pPr>
                    <w:pStyle w:val="65"/>
                    <w:rPr>
                      <w:rFonts w:cs="Times New Roman"/>
                      <w:color w:val="auto"/>
                      <w:szCs w:val="21"/>
                    </w:rPr>
                  </w:pPr>
                  <w:r>
                    <w:rPr>
                      <w:rFonts w:cs="Times New Roman"/>
                      <w:color w:val="auto"/>
                      <w:szCs w:val="21"/>
                    </w:rPr>
                    <w:t>12.49</w:t>
                  </w:r>
                </w:p>
              </w:tc>
              <w:tc>
                <w:tcPr>
                  <w:tcW w:w="1432" w:type="pct"/>
                  <w:vAlign w:val="center"/>
                </w:tcPr>
                <w:p w14:paraId="4C886754">
                  <w:pPr>
                    <w:pStyle w:val="65"/>
                    <w:rPr>
                      <w:rFonts w:cs="Times New Roman"/>
                      <w:color w:val="auto"/>
                      <w:szCs w:val="21"/>
                    </w:rPr>
                  </w:pPr>
                  <w:r>
                    <w:rPr>
                      <w:rFonts w:cs="Times New Roman"/>
                      <w:color w:val="auto"/>
                      <w:szCs w:val="21"/>
                    </w:rPr>
                    <w:t>1.42</w:t>
                  </w:r>
                </w:p>
              </w:tc>
            </w:tr>
            <w:tr w14:paraId="30CE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9" w:type="pct"/>
                  <w:gridSpan w:val="2"/>
                  <w:noWrap/>
                  <w:vAlign w:val="center"/>
                </w:tcPr>
                <w:p w14:paraId="3AD18753">
                  <w:pPr>
                    <w:pStyle w:val="65"/>
                    <w:rPr>
                      <w:rFonts w:cs="Times New Roman"/>
                      <w:color w:val="auto"/>
                      <w:szCs w:val="21"/>
                    </w:rPr>
                  </w:pPr>
                  <w:r>
                    <w:rPr>
                      <w:rFonts w:hint="eastAsia" w:cs="Times New Roman"/>
                      <w:color w:val="auto"/>
                      <w:szCs w:val="21"/>
                    </w:rPr>
                    <w:t>合计</w:t>
                  </w:r>
                </w:p>
              </w:tc>
              <w:tc>
                <w:tcPr>
                  <w:tcW w:w="1189" w:type="pct"/>
                  <w:vAlign w:val="center"/>
                </w:tcPr>
                <w:p w14:paraId="13415704">
                  <w:pPr>
                    <w:pStyle w:val="65"/>
                    <w:rPr>
                      <w:rFonts w:cs="Times New Roman"/>
                      <w:color w:val="auto"/>
                      <w:szCs w:val="21"/>
                    </w:rPr>
                  </w:pPr>
                  <w:r>
                    <w:rPr>
                      <w:rFonts w:hint="eastAsia" w:cs="Times New Roman"/>
                      <w:color w:val="auto"/>
                      <w:szCs w:val="21"/>
                    </w:rPr>
                    <w:t>877</w:t>
                  </w:r>
                </w:p>
              </w:tc>
              <w:tc>
                <w:tcPr>
                  <w:tcW w:w="1432" w:type="pct"/>
                  <w:vAlign w:val="center"/>
                </w:tcPr>
                <w:p w14:paraId="4CB40274">
                  <w:pPr>
                    <w:pStyle w:val="65"/>
                    <w:rPr>
                      <w:rFonts w:cs="Times New Roman"/>
                      <w:color w:val="auto"/>
                      <w:szCs w:val="21"/>
                    </w:rPr>
                  </w:pPr>
                  <w:r>
                    <w:rPr>
                      <w:rFonts w:hint="eastAsia" w:cs="Times New Roman"/>
                      <w:color w:val="auto"/>
                      <w:szCs w:val="21"/>
                    </w:rPr>
                    <w:t>100</w:t>
                  </w:r>
                </w:p>
              </w:tc>
            </w:tr>
          </w:tbl>
          <w:p w14:paraId="3B90964B">
            <w:pPr>
              <w:ind w:firstLine="480"/>
              <w:rPr>
                <w:color w:val="auto"/>
              </w:rPr>
            </w:pPr>
            <w:r>
              <w:rPr>
                <w:rFonts w:cs="Times New Roman"/>
                <w:color w:val="auto"/>
                <w:kern w:val="0"/>
                <w:szCs w:val="24"/>
              </w:rPr>
              <w:t>由上表可以看出：</w:t>
            </w:r>
            <w:r>
              <w:rPr>
                <w:rFonts w:hint="eastAsia" w:cs="Times New Roman"/>
                <w:color w:val="auto"/>
                <w:kern w:val="0"/>
                <w:szCs w:val="24"/>
              </w:rPr>
              <w:t>评价区土地类型包括乔木林地、灌木林地、草地、园地、耕地、交通运输用地、其他土地、水域及水利设施用地、公共管理与公共服务用地、住宅用地等。其中，以乔木林地面积最大，共</w:t>
            </w:r>
            <w:r>
              <w:rPr>
                <w:rFonts w:cs="Times New Roman"/>
                <w:color w:val="auto"/>
                <w:kern w:val="0"/>
                <w:szCs w:val="24"/>
              </w:rPr>
              <w:t>441.56</w:t>
            </w:r>
            <w:r>
              <w:rPr>
                <w:rFonts w:hint="eastAsia" w:cs="Times New Roman"/>
                <w:color w:val="auto"/>
                <w:kern w:val="0"/>
                <w:szCs w:val="24"/>
              </w:rPr>
              <w:t>hm</w:t>
            </w:r>
            <w:r>
              <w:rPr>
                <w:rFonts w:hint="eastAsia" w:cs="Times New Roman"/>
                <w:color w:val="auto"/>
                <w:kern w:val="0"/>
                <w:szCs w:val="24"/>
                <w:vertAlign w:val="superscript"/>
              </w:rPr>
              <w:t>2</w:t>
            </w:r>
            <w:r>
              <w:rPr>
                <w:rFonts w:hint="eastAsia" w:cs="Times New Roman"/>
                <w:color w:val="auto"/>
                <w:kern w:val="0"/>
                <w:szCs w:val="24"/>
              </w:rPr>
              <w:t>，占评价区总面积的</w:t>
            </w:r>
            <w:r>
              <w:rPr>
                <w:rFonts w:cs="Times New Roman"/>
                <w:color w:val="auto"/>
                <w:kern w:val="0"/>
                <w:szCs w:val="24"/>
              </w:rPr>
              <w:t>50.35</w:t>
            </w:r>
            <w:r>
              <w:rPr>
                <w:rFonts w:hint="eastAsia" w:cs="Times New Roman"/>
                <w:color w:val="auto"/>
                <w:kern w:val="0"/>
                <w:szCs w:val="24"/>
              </w:rPr>
              <w:t>%；其次为园地（</w:t>
            </w:r>
            <w:r>
              <w:rPr>
                <w:rFonts w:cs="Times New Roman"/>
                <w:color w:val="auto"/>
                <w:kern w:val="0"/>
                <w:szCs w:val="24"/>
              </w:rPr>
              <w:t>43.64</w:t>
            </w:r>
            <w:r>
              <w:rPr>
                <w:rFonts w:hint="eastAsia" w:cs="Times New Roman"/>
                <w:color w:val="auto"/>
                <w:kern w:val="0"/>
                <w:szCs w:val="24"/>
              </w:rPr>
              <w:t>%）、耕地（</w:t>
            </w:r>
            <w:r>
              <w:rPr>
                <w:rFonts w:cs="Times New Roman"/>
                <w:color w:val="auto"/>
                <w:kern w:val="0"/>
                <w:szCs w:val="24"/>
              </w:rPr>
              <w:t>2.50</w:t>
            </w:r>
            <w:r>
              <w:rPr>
                <w:rFonts w:hint="eastAsia" w:cs="Times New Roman"/>
                <w:color w:val="auto"/>
                <w:kern w:val="0"/>
                <w:szCs w:val="24"/>
              </w:rPr>
              <w:t>%）、交通运输用地（1.64%）、住宅用地（</w:t>
            </w:r>
            <w:r>
              <w:rPr>
                <w:rFonts w:cs="Times New Roman"/>
                <w:color w:val="auto"/>
                <w:kern w:val="0"/>
                <w:szCs w:val="24"/>
              </w:rPr>
              <w:t>1.42</w:t>
            </w:r>
            <w:r>
              <w:rPr>
                <w:rFonts w:hint="eastAsia" w:cs="Times New Roman"/>
                <w:color w:val="auto"/>
                <w:kern w:val="0"/>
                <w:szCs w:val="24"/>
              </w:rPr>
              <w:t>%）、灌木林地（</w:t>
            </w:r>
            <w:r>
              <w:rPr>
                <w:rFonts w:cs="Times New Roman"/>
                <w:color w:val="auto"/>
                <w:kern w:val="0"/>
                <w:szCs w:val="24"/>
              </w:rPr>
              <w:t>0.19</w:t>
            </w:r>
            <w:r>
              <w:rPr>
                <w:rFonts w:hint="eastAsia" w:cs="Times New Roman"/>
                <w:color w:val="auto"/>
                <w:kern w:val="0"/>
                <w:szCs w:val="24"/>
              </w:rPr>
              <w:t>%）、其他土地（</w:t>
            </w:r>
            <w:r>
              <w:rPr>
                <w:rFonts w:cs="Times New Roman"/>
                <w:color w:val="auto"/>
                <w:kern w:val="0"/>
                <w:szCs w:val="24"/>
              </w:rPr>
              <w:t>0.10</w:t>
            </w:r>
            <w:r>
              <w:rPr>
                <w:rFonts w:hint="eastAsia" w:cs="Times New Roman"/>
                <w:color w:val="auto"/>
                <w:kern w:val="0"/>
                <w:szCs w:val="24"/>
              </w:rPr>
              <w:t>%）、草地（</w:t>
            </w:r>
            <w:r>
              <w:rPr>
                <w:rFonts w:cs="Times New Roman"/>
                <w:color w:val="auto"/>
                <w:kern w:val="0"/>
                <w:szCs w:val="24"/>
              </w:rPr>
              <w:t>0.07</w:t>
            </w:r>
            <w:r>
              <w:rPr>
                <w:rFonts w:hint="eastAsia" w:cs="Times New Roman"/>
                <w:color w:val="auto"/>
                <w:kern w:val="0"/>
                <w:szCs w:val="24"/>
              </w:rPr>
              <w:t>%）、水域及水利设施用地（</w:t>
            </w:r>
            <w:r>
              <w:rPr>
                <w:rFonts w:cs="Times New Roman"/>
                <w:color w:val="auto"/>
                <w:kern w:val="0"/>
                <w:szCs w:val="24"/>
              </w:rPr>
              <w:t>0.05</w:t>
            </w:r>
            <w:r>
              <w:rPr>
                <w:rFonts w:hint="eastAsia" w:cs="Times New Roman"/>
                <w:color w:val="auto"/>
                <w:kern w:val="0"/>
                <w:szCs w:val="24"/>
              </w:rPr>
              <w:t>%）、公共管理与公共服务用地（</w:t>
            </w:r>
            <w:r>
              <w:rPr>
                <w:rFonts w:cs="Times New Roman"/>
                <w:color w:val="auto"/>
                <w:kern w:val="0"/>
                <w:szCs w:val="24"/>
              </w:rPr>
              <w:t>0.03</w:t>
            </w:r>
            <w:r>
              <w:rPr>
                <w:rFonts w:hint="eastAsia" w:cs="Times New Roman"/>
                <w:color w:val="auto"/>
                <w:kern w:val="0"/>
                <w:szCs w:val="24"/>
              </w:rPr>
              <w:t>%）</w:t>
            </w:r>
            <w:r>
              <w:rPr>
                <w:rFonts w:cs="Times New Roman"/>
                <w:color w:val="auto"/>
                <w:kern w:val="0"/>
                <w:szCs w:val="24"/>
              </w:rPr>
              <w:t>。</w:t>
            </w:r>
          </w:p>
          <w:p w14:paraId="34E28A5F">
            <w:pPr>
              <w:ind w:firstLine="482"/>
              <w:rPr>
                <w:rFonts w:cs="Times New Roman"/>
                <w:b/>
                <w:bCs/>
                <w:color w:val="auto"/>
              </w:rPr>
            </w:pPr>
            <w:r>
              <w:rPr>
                <w:rFonts w:hint="eastAsia" w:cs="Times New Roman"/>
                <w:b/>
                <w:bCs/>
                <w:color w:val="auto"/>
              </w:rPr>
              <w:t>（2）项目土地利用</w:t>
            </w:r>
          </w:p>
          <w:p w14:paraId="71E33128">
            <w:pPr>
              <w:ind w:firstLine="480"/>
              <w:rPr>
                <w:rFonts w:cs="Times New Roman"/>
                <w:color w:val="auto"/>
              </w:rPr>
            </w:pPr>
            <w:r>
              <w:rPr>
                <w:rFonts w:cs="Times New Roman"/>
                <w:color w:val="auto"/>
              </w:rPr>
              <w:t>根据现场调查，按照《土地利用现状分类》（GB/T21010-2017）规定，项目区土地利用现状一级类为园地和交通运输用地，二级类为茶园和农村道路。项目区内主要为种植茶树的园地，个别地块内套种稀疏果树。方案占地归类统一为一级类园地。</w:t>
            </w:r>
          </w:p>
          <w:p w14:paraId="33E1B2C9">
            <w:pPr>
              <w:ind w:firstLine="480"/>
              <w:rPr>
                <w:rFonts w:cs="Times New Roman"/>
                <w:color w:val="auto"/>
              </w:rPr>
            </w:pPr>
            <w:r>
              <w:rPr>
                <w:rFonts w:cs="Times New Roman"/>
                <w:color w:val="auto"/>
              </w:rPr>
              <w:t>根据主体设计资料</w:t>
            </w:r>
            <w:r>
              <w:rPr>
                <w:rFonts w:hint="eastAsia" w:cs="Times New Roman"/>
                <w:color w:val="auto"/>
              </w:rPr>
              <w:t>以及</w:t>
            </w:r>
            <w:r>
              <w:rPr>
                <w:rFonts w:cs="Times New Roman"/>
                <w:color w:val="auto"/>
              </w:rPr>
              <w:t>结合现场调查，本项目工程占地总计117.06hm²。其中，永久占地0.28hm²（箱变及电缆分接箱基础0.06hm²，塔基0.22hm²</w:t>
            </w:r>
            <w:r>
              <w:rPr>
                <w:rFonts w:hint="eastAsia" w:cs="Times New Roman"/>
                <w:color w:val="auto"/>
              </w:rPr>
              <w:t>，场外道路改扩建部分0.22</w:t>
            </w:r>
            <w:r>
              <w:rPr>
                <w:rFonts w:cs="Times New Roman"/>
                <w:color w:val="auto"/>
              </w:rPr>
              <w:t>hm²）；</w:t>
            </w:r>
            <w:r>
              <w:rPr>
                <w:rFonts w:hint="eastAsia" w:cs="Times New Roman"/>
                <w:color w:val="auto"/>
              </w:rPr>
              <w:t>临时占地</w:t>
            </w:r>
            <w:r>
              <w:rPr>
                <w:rFonts w:cs="Times New Roman"/>
                <w:color w:val="auto"/>
              </w:rPr>
              <w:t>116.78hm²（</w:t>
            </w:r>
            <w:r>
              <w:rPr>
                <w:rFonts w:hint="eastAsia" w:cs="Times New Roman"/>
                <w:color w:val="auto"/>
              </w:rPr>
              <w:t>光伏场区109.01</w:t>
            </w:r>
            <w:r>
              <w:rPr>
                <w:rFonts w:cs="Times New Roman"/>
                <w:color w:val="auto"/>
              </w:rPr>
              <w:t>hm²</w:t>
            </w:r>
            <w:r>
              <w:rPr>
                <w:rFonts w:hint="eastAsia" w:cs="Times New Roman"/>
                <w:color w:val="auto"/>
              </w:rPr>
              <w:t>，支架基础及施工作业带0.5</w:t>
            </w:r>
            <w:r>
              <w:rPr>
                <w:rFonts w:cs="Times New Roman"/>
                <w:color w:val="auto"/>
              </w:rPr>
              <w:t>hm²</w:t>
            </w:r>
            <w:r>
              <w:rPr>
                <w:rFonts w:hint="eastAsia" w:cs="Times New Roman"/>
                <w:color w:val="auto"/>
              </w:rPr>
              <w:t>，围栏基础及施工作业带0.37</w:t>
            </w:r>
            <w:r>
              <w:rPr>
                <w:rFonts w:cs="Times New Roman"/>
                <w:color w:val="auto"/>
              </w:rPr>
              <w:t>hm²</w:t>
            </w:r>
            <w:r>
              <w:rPr>
                <w:rFonts w:hint="eastAsia" w:cs="Times New Roman"/>
                <w:color w:val="auto"/>
              </w:rPr>
              <w:t>，直埋线路0.86</w:t>
            </w:r>
            <w:r>
              <w:rPr>
                <w:rFonts w:cs="Times New Roman"/>
                <w:color w:val="auto"/>
              </w:rPr>
              <w:t>hm²</w:t>
            </w:r>
            <w:r>
              <w:rPr>
                <w:rFonts w:hint="eastAsia" w:cs="Times New Roman"/>
                <w:color w:val="auto"/>
              </w:rPr>
              <w:t>，场外道路改扩建部分3.33</w:t>
            </w:r>
            <w:r>
              <w:rPr>
                <w:rFonts w:cs="Times New Roman"/>
                <w:color w:val="auto"/>
              </w:rPr>
              <w:t>hm²</w:t>
            </w:r>
            <w:r>
              <w:rPr>
                <w:rFonts w:hint="eastAsia" w:cs="Times New Roman"/>
                <w:color w:val="auto"/>
              </w:rPr>
              <w:t>，场内道路改扩建部分0.62</w:t>
            </w:r>
            <w:r>
              <w:rPr>
                <w:rFonts w:cs="Times New Roman"/>
                <w:color w:val="auto"/>
              </w:rPr>
              <w:t>hm²</w:t>
            </w:r>
            <w:r>
              <w:rPr>
                <w:rFonts w:hint="eastAsia" w:cs="Times New Roman"/>
                <w:color w:val="auto"/>
              </w:rPr>
              <w:t>，新建道路2.01</w:t>
            </w:r>
            <w:r>
              <w:rPr>
                <w:rFonts w:cs="Times New Roman"/>
                <w:color w:val="auto"/>
              </w:rPr>
              <w:t>hm²</w:t>
            </w:r>
            <w:r>
              <w:rPr>
                <w:rFonts w:hint="eastAsia" w:cs="Times New Roman"/>
                <w:color w:val="auto"/>
              </w:rPr>
              <w:t>）</w:t>
            </w:r>
            <w:r>
              <w:rPr>
                <w:rFonts w:cs="Times New Roman"/>
                <w:color w:val="auto"/>
              </w:rPr>
              <w:t>。</w:t>
            </w:r>
          </w:p>
          <w:p w14:paraId="7494882E">
            <w:pPr>
              <w:ind w:firstLine="480"/>
              <w:rPr>
                <w:color w:val="auto"/>
              </w:rPr>
            </w:pPr>
            <w:bookmarkStart w:id="630" w:name="OLE_LINK25"/>
            <w:r>
              <w:rPr>
                <w:rFonts w:cs="Times New Roman"/>
                <w:color w:val="auto"/>
              </w:rPr>
              <w:t>项目区按照占地类型划分</w:t>
            </w:r>
            <w:r>
              <w:rPr>
                <w:color w:val="auto"/>
              </w:rPr>
              <w:t>为园地、交通运输用地。</w:t>
            </w:r>
            <w:r>
              <w:rPr>
                <w:rFonts w:hint="eastAsia"/>
                <w:color w:val="auto"/>
              </w:rPr>
              <w:t>其中，园地</w:t>
            </w:r>
            <w:r>
              <w:rPr>
                <w:color w:val="auto"/>
              </w:rPr>
              <w:t>114.</w:t>
            </w:r>
            <w:r>
              <w:rPr>
                <w:rFonts w:hint="eastAsia"/>
                <w:color w:val="auto"/>
              </w:rPr>
              <w:t>41hm²，交通运输用地2.65hm²</w:t>
            </w:r>
            <w:bookmarkEnd w:id="630"/>
            <w:r>
              <w:rPr>
                <w:color w:val="auto"/>
              </w:rPr>
              <w:t>。</w:t>
            </w:r>
          </w:p>
          <w:p w14:paraId="013951A3">
            <w:pPr>
              <w:ind w:firstLine="480"/>
              <w:rPr>
                <w:color w:val="auto"/>
              </w:rPr>
            </w:pPr>
            <w:r>
              <w:rPr>
                <w:rFonts w:hint="eastAsia"/>
                <w:color w:val="auto"/>
              </w:rPr>
              <w:t>根据《</w:t>
            </w:r>
            <w:r>
              <w:rPr>
                <w:color w:val="auto"/>
              </w:rPr>
              <w:fldChar w:fldCharType="begin"/>
            </w:r>
            <w:r>
              <w:rPr>
                <w:color w:val="auto"/>
              </w:rPr>
              <w:instrText xml:space="preserve"> </w:instrText>
            </w:r>
            <w:r>
              <w:rPr>
                <w:rFonts w:hint="eastAsia"/>
                <w:color w:val="auto"/>
              </w:rPr>
              <w:instrText xml:space="preserve">REF _Ref218539235 \h</w:instrText>
            </w:r>
            <w:r>
              <w:rPr>
                <w:color w:val="auto"/>
              </w:rPr>
              <w:instrText xml:space="preserve"> </w:instrText>
            </w:r>
            <w:r>
              <w:rPr>
                <w:color w:val="auto"/>
              </w:rPr>
              <w:fldChar w:fldCharType="separate"/>
            </w:r>
            <w:r>
              <w:rPr>
                <w:rFonts w:hint="eastAsia"/>
                <w:color w:val="auto"/>
                <w:szCs w:val="28"/>
              </w:rPr>
              <w:t>南涧彝族自治县自然资源局关于沙乐光伏发电项目用地审查意见</w:t>
            </w:r>
            <w:r>
              <w:rPr>
                <w:color w:val="auto"/>
              </w:rPr>
              <w:fldChar w:fldCharType="end"/>
            </w:r>
            <w:r>
              <w:rPr>
                <w:rFonts w:hint="eastAsia"/>
                <w:color w:val="auto"/>
              </w:rPr>
              <w:t>》：“沙乐光伏发电项目面积117.0658公顷，用地位于南涧县公郎镇官地、沙乐村委会。项目选址范围未占用南涧县永久基本农田核实处置成果，未占用南涧县生态保护红线，未占用城镇开发边界线，未占用南涧县2024年国土变更调查现状耕地，未占用南润县耕地后备资源，未占用南涧县耕地后备资源补充空间。”本项目实际占地与文件查询一致，</w:t>
            </w:r>
            <w:r>
              <w:rPr>
                <w:color w:val="auto"/>
              </w:rPr>
              <w:t>本项目永久占地和临时占地均不涉及生态保护红线</w:t>
            </w:r>
            <w:r>
              <w:rPr>
                <w:rFonts w:hint="eastAsia"/>
                <w:color w:val="auto"/>
              </w:rPr>
              <w:t>、</w:t>
            </w:r>
            <w:r>
              <w:rPr>
                <w:color w:val="auto"/>
              </w:rPr>
              <w:t>耕地后备资源</w:t>
            </w:r>
            <w:r>
              <w:rPr>
                <w:rFonts w:hint="eastAsia"/>
                <w:color w:val="auto"/>
              </w:rPr>
              <w:t>以及耕地，符合光伏项目用地规范</w:t>
            </w:r>
            <w:r>
              <w:rPr>
                <w:color w:val="auto"/>
              </w:rPr>
              <w:t>。</w:t>
            </w:r>
          </w:p>
          <w:p w14:paraId="0EFD96AF">
            <w:pPr>
              <w:pStyle w:val="4"/>
              <w:spacing w:before="48" w:after="48"/>
              <w:rPr>
                <w:color w:val="auto"/>
              </w:rPr>
            </w:pPr>
            <w:r>
              <w:rPr>
                <w:rFonts w:hint="eastAsia"/>
                <w:color w:val="auto"/>
              </w:rPr>
              <w:t>生态环境质量现状</w:t>
            </w:r>
          </w:p>
          <w:p w14:paraId="318A8175">
            <w:pPr>
              <w:pStyle w:val="5"/>
              <w:rPr>
                <w:color w:val="auto"/>
              </w:rPr>
            </w:pPr>
            <w:r>
              <w:rPr>
                <w:rFonts w:hint="eastAsia"/>
                <w:color w:val="auto"/>
              </w:rPr>
              <w:t>植物和植被现状</w:t>
            </w:r>
          </w:p>
          <w:p w14:paraId="2995283B">
            <w:pPr>
              <w:ind w:firstLine="482"/>
              <w:rPr>
                <w:b/>
                <w:bCs/>
                <w:color w:val="auto"/>
              </w:rPr>
            </w:pPr>
            <w:r>
              <w:rPr>
                <w:b/>
                <w:bCs/>
                <w:color w:val="auto"/>
              </w:rPr>
              <w:t>一、调查方法、范围及内容</w:t>
            </w:r>
          </w:p>
          <w:p w14:paraId="5A351C89">
            <w:pPr>
              <w:ind w:firstLine="482"/>
              <w:rPr>
                <w:b/>
                <w:bCs/>
                <w:color w:val="auto"/>
              </w:rPr>
            </w:pPr>
            <w:r>
              <w:rPr>
                <w:rFonts w:hint="eastAsia"/>
                <w:b/>
                <w:bCs/>
                <w:color w:val="auto"/>
              </w:rPr>
              <w:t>（1）调查方法</w:t>
            </w:r>
          </w:p>
          <w:p w14:paraId="4294A5B3">
            <w:pPr>
              <w:ind w:firstLine="480"/>
              <w:rPr>
                <w:color w:val="auto"/>
              </w:rPr>
            </w:pPr>
            <w:r>
              <w:rPr>
                <w:rFonts w:hint="eastAsia" w:cs="Times New Roman"/>
                <w:color w:val="auto"/>
              </w:rPr>
              <w:t>植物植被的调查主要采用线路调查法，沿现有道路及工程永久临时用地区域，调查评价区范围内的植被及植物分布情况，记录工程评价范围内的植被类型及分布，记录沿途目力范围内发现的植物种类，重点关注评价区内的国家级和云南省级重点保护野生植物、古树名木及狭域地方特有种类。</w:t>
            </w:r>
          </w:p>
          <w:p w14:paraId="5BA591CD">
            <w:pPr>
              <w:ind w:firstLine="480"/>
              <w:rPr>
                <w:color w:val="auto"/>
              </w:rPr>
            </w:pPr>
            <w:r>
              <w:rPr>
                <w:rFonts w:hint="eastAsia" w:cs="Times New Roman"/>
                <w:color w:val="auto"/>
              </w:rPr>
              <w:t>向当地相关部门收集该地区地方志、保护区科学考察报告和林业资源二类调查报告等地方资料；同时参考《云南植被》、《中国植被》、《云南森林》、《云南植物志》、《中国植物志》、《</w:t>
            </w:r>
            <w:r>
              <w:rPr>
                <w:rFonts w:cs="Times New Roman"/>
                <w:color w:val="auto"/>
              </w:rPr>
              <w:t>Flora of China</w:t>
            </w:r>
            <w:r>
              <w:rPr>
                <w:rFonts w:hint="eastAsia" w:cs="Times New Roman"/>
                <w:color w:val="auto"/>
              </w:rPr>
              <w:t>》等文献中记录于该区域的资料。</w:t>
            </w:r>
          </w:p>
          <w:p w14:paraId="79D75423">
            <w:pPr>
              <w:ind w:firstLine="480"/>
              <w:rPr>
                <w:color w:val="auto"/>
              </w:rPr>
            </w:pPr>
            <w:r>
              <w:rPr>
                <w:rFonts w:hint="eastAsia" w:cs="Times New Roman"/>
                <w:color w:val="auto"/>
              </w:rPr>
              <w:t>采用GPS、RS和GIS相结合的空间信息技术，进行地面类型的数字化判读，完成数字化的植被类型图和土地利用类型图，进行景观质量和生态质量的定性和定量评价。</w:t>
            </w:r>
          </w:p>
          <w:p w14:paraId="54C3CDC8">
            <w:pPr>
              <w:ind w:firstLine="480"/>
              <w:rPr>
                <w:color w:val="auto"/>
              </w:rPr>
            </w:pPr>
            <w:r>
              <w:rPr>
                <w:rFonts w:hint="eastAsia" w:cs="Times New Roman"/>
                <w:color w:val="auto"/>
              </w:rPr>
              <w:t>本次评价主要选用的是采用LandSat8OLI_TRIS高分辨率卫星影像，采用ENVI5.1、ArcGIS10.3和CorelDraW X4等软件，从遥感信息获取地面覆盖类型，在地面调查和历史植被基础上进行综合判读，采用监督分类的方法最终赋予生态学的含义。</w:t>
            </w:r>
          </w:p>
          <w:p w14:paraId="76BA504A">
            <w:pPr>
              <w:ind w:firstLine="424" w:firstLineChars="177"/>
              <w:rPr>
                <w:color w:val="auto"/>
              </w:rPr>
            </w:pPr>
            <w:r>
              <w:rPr>
                <w:rFonts w:hint="eastAsia" w:cs="Times New Roman"/>
                <w:color w:val="auto"/>
              </w:rPr>
              <w:t>以反映地面植被特征的6、5、4波段合成卫星遥感影像，其中植被影像主要反映为绿色。植被类型不同，色彩和色调发生相应变化，因此可区分出植被亚型以上的植被类型以及农田、居民地等地面类型。此外，植被类型的确定需结合不同植被类型分布的生态学特征，不单纯依靠色彩进行划分，对监督分类产生的植被初图，结合地面的GPS样点和等高线、坡度、坡向等信息，对植被图进行目视解译校正，得到符合精度要求的植被图。在植被图的基础上，进一步合并有关地面类型，得到土地利用类型图</w:t>
            </w:r>
            <w:r>
              <w:rPr>
                <w:color w:val="auto"/>
              </w:rPr>
              <w:t>。</w:t>
            </w:r>
          </w:p>
          <w:p w14:paraId="64A71088">
            <w:pPr>
              <w:ind w:firstLine="482"/>
              <w:rPr>
                <w:b/>
                <w:bCs/>
                <w:color w:val="auto"/>
              </w:rPr>
            </w:pPr>
            <w:r>
              <w:rPr>
                <w:b/>
                <w:bCs/>
                <w:color w:val="auto"/>
              </w:rPr>
              <w:t>（2）调查</w:t>
            </w:r>
            <w:r>
              <w:rPr>
                <w:rFonts w:hint="eastAsia"/>
                <w:b/>
                <w:bCs/>
                <w:color w:val="auto"/>
              </w:rPr>
              <w:t>范围</w:t>
            </w:r>
          </w:p>
          <w:p w14:paraId="78320FBD">
            <w:pPr>
              <w:ind w:firstLine="480"/>
              <w:rPr>
                <w:color w:val="auto"/>
              </w:rPr>
            </w:pPr>
            <w:r>
              <w:rPr>
                <w:rFonts w:hint="eastAsia"/>
                <w:color w:val="auto"/>
              </w:rPr>
              <w:t>本项目对陆生植物的调查工作重点为光伏场区周边影响区域，其次是与工程直接影响相邻的地区；调查范围主要是项目区周边300m范围。</w:t>
            </w:r>
          </w:p>
          <w:p w14:paraId="3392B9CD">
            <w:pPr>
              <w:ind w:firstLine="482"/>
              <w:rPr>
                <w:b/>
                <w:bCs/>
                <w:color w:val="auto"/>
              </w:rPr>
            </w:pPr>
            <w:r>
              <w:rPr>
                <w:b/>
                <w:bCs/>
                <w:color w:val="auto"/>
              </w:rPr>
              <w:t>（</w:t>
            </w:r>
            <w:r>
              <w:rPr>
                <w:rFonts w:hint="eastAsia"/>
                <w:b/>
                <w:bCs/>
                <w:color w:val="auto"/>
              </w:rPr>
              <w:t>3</w:t>
            </w:r>
            <w:r>
              <w:rPr>
                <w:b/>
                <w:bCs/>
                <w:color w:val="auto"/>
              </w:rPr>
              <w:t>）调查内容</w:t>
            </w:r>
          </w:p>
          <w:p w14:paraId="1EEEB5EE">
            <w:pPr>
              <w:ind w:firstLine="480"/>
              <w:rPr>
                <w:color w:val="auto"/>
              </w:rPr>
            </w:pPr>
            <w:r>
              <w:rPr>
                <w:color w:val="auto"/>
              </w:rPr>
              <w:t>本项目评价区陆生植被和植物调查的主要内容是评价区植被分类系统及分布特征，评价区主要植被类型，评价区植物资源及保护物种现状等。</w:t>
            </w:r>
          </w:p>
          <w:p w14:paraId="46C637BD">
            <w:pPr>
              <w:ind w:firstLine="482"/>
              <w:rPr>
                <w:b/>
                <w:bCs/>
                <w:color w:val="auto"/>
              </w:rPr>
            </w:pPr>
            <w:r>
              <w:rPr>
                <w:rFonts w:hint="eastAsia"/>
                <w:b/>
                <w:bCs/>
                <w:color w:val="auto"/>
              </w:rPr>
              <w:t>（4）调查人员</w:t>
            </w:r>
          </w:p>
          <w:p w14:paraId="3D55240E">
            <w:pPr>
              <w:ind w:firstLine="480"/>
              <w:rPr>
                <w:color w:val="auto"/>
              </w:rPr>
            </w:pPr>
            <w:r>
              <w:rPr>
                <w:rFonts w:hint="eastAsia"/>
                <w:color w:val="auto"/>
              </w:rPr>
              <w:t>202</w:t>
            </w:r>
            <w:r>
              <w:rPr>
                <w:color w:val="auto"/>
              </w:rPr>
              <w:t>5</w:t>
            </w:r>
            <w:r>
              <w:rPr>
                <w:rFonts w:hint="eastAsia"/>
                <w:color w:val="auto"/>
              </w:rPr>
              <w:t>年12月23日~12月25日</w:t>
            </w:r>
            <w:r>
              <w:rPr>
                <w:color w:val="auto"/>
              </w:rPr>
              <w:t>，中国能源建设集团云南省电力设计院有限公司</w:t>
            </w:r>
            <w:r>
              <w:rPr>
                <w:rFonts w:hint="eastAsia"/>
                <w:color w:val="auto"/>
              </w:rPr>
              <w:t>2</w:t>
            </w:r>
            <w:r>
              <w:rPr>
                <w:color w:val="auto"/>
              </w:rPr>
              <w:t>人就项目所在区域进行了为期</w:t>
            </w:r>
            <w:r>
              <w:rPr>
                <w:rFonts w:hint="eastAsia"/>
                <w:color w:val="auto"/>
              </w:rPr>
              <w:t>3</w:t>
            </w:r>
            <w:r>
              <w:rPr>
                <w:color w:val="auto"/>
              </w:rPr>
              <w:t>天的野外调。</w:t>
            </w:r>
          </w:p>
          <w:p w14:paraId="0654F120">
            <w:pPr>
              <w:ind w:firstLine="480"/>
              <w:rPr>
                <w:color w:val="auto"/>
              </w:rPr>
            </w:pPr>
            <w:r>
              <w:rPr>
                <w:rFonts w:hint="eastAsia"/>
                <w:color w:val="auto"/>
              </w:rPr>
              <w:t>邱铃珂 硕士研究生 生态现状调查和生态影响分析</w:t>
            </w:r>
          </w:p>
          <w:p w14:paraId="03B30968">
            <w:pPr>
              <w:ind w:firstLine="480"/>
              <w:rPr>
                <w:color w:val="auto"/>
              </w:rPr>
            </w:pPr>
            <w:r>
              <w:rPr>
                <w:rFonts w:hint="eastAsia"/>
                <w:color w:val="auto"/>
              </w:rPr>
              <w:t>字雪梅 本科 生态现状调查</w:t>
            </w:r>
          </w:p>
          <w:p w14:paraId="067C97C7">
            <w:pPr>
              <w:ind w:firstLine="0" w:firstLineChars="0"/>
              <w:rPr>
                <w:b/>
                <w:bCs/>
                <w:color w:val="auto"/>
              </w:rPr>
            </w:pPr>
            <w:r>
              <w:rPr>
                <w:rFonts w:hint="eastAsia"/>
                <w:b/>
                <w:bCs/>
                <w:color w:val="auto"/>
              </w:rPr>
              <w:t>二、评价区主要植被类型</w:t>
            </w:r>
          </w:p>
          <w:p w14:paraId="41015CA4">
            <w:pPr>
              <w:ind w:firstLine="480"/>
              <w:rPr>
                <w:color w:val="auto"/>
              </w:rPr>
            </w:pPr>
            <w:r>
              <w:rPr>
                <w:rFonts w:hint="eastAsia"/>
                <w:color w:val="auto"/>
              </w:rPr>
              <w:t>根据</w:t>
            </w:r>
            <w:bookmarkStart w:id="631" w:name="OLE_LINK5"/>
            <w:r>
              <w:rPr>
                <w:rFonts w:hint="eastAsia"/>
                <w:color w:val="auto"/>
              </w:rPr>
              <w:t>中国植被区划</w:t>
            </w:r>
            <w:bookmarkEnd w:id="631"/>
            <w:r>
              <w:rPr>
                <w:rFonts w:hint="eastAsia"/>
                <w:color w:val="auto"/>
              </w:rPr>
              <w:t>，评价区属于滇西南山地、峡谷栲类、红木荷、思茅松林区（VB2）。</w:t>
            </w:r>
            <w:r>
              <w:rPr>
                <w:color w:val="auto"/>
              </w:rPr>
              <w:t>根据云南植被区划，</w:t>
            </w:r>
            <w:r>
              <w:rPr>
                <w:rFonts w:hint="eastAsia"/>
                <w:color w:val="auto"/>
              </w:rPr>
              <w:t>评价区</w:t>
            </w:r>
            <w:r>
              <w:rPr>
                <w:color w:val="auto"/>
              </w:rPr>
              <w:t>域</w:t>
            </w:r>
            <w:r>
              <w:rPr>
                <w:color w:val="auto"/>
                <w:kern w:val="0"/>
              </w:rPr>
              <w:t>属于</w:t>
            </w:r>
            <w:r>
              <w:rPr>
                <w:rFonts w:hint="eastAsia"/>
                <w:color w:val="auto"/>
              </w:rPr>
              <w:t>亚热带常绿阔叶林区域</w:t>
            </w:r>
            <w:r>
              <w:rPr>
                <w:color w:val="auto"/>
              </w:rPr>
              <w:t>（</w:t>
            </w:r>
            <w:r>
              <w:rPr>
                <w:color w:val="auto"/>
              </w:rPr>
              <w:fldChar w:fldCharType="begin"/>
            </w:r>
            <w:r>
              <w:rPr>
                <w:color w:val="auto"/>
              </w:rPr>
              <w:instrText xml:space="preserve"> = 2 \* ROMAN \* MERGEFORMAT </w:instrText>
            </w:r>
            <w:r>
              <w:rPr>
                <w:color w:val="auto"/>
              </w:rPr>
              <w:fldChar w:fldCharType="separate"/>
            </w:r>
            <w:r>
              <w:rPr>
                <w:color w:val="auto"/>
                <w:sz w:val="21"/>
              </w:rPr>
              <w:t>II</w:t>
            </w:r>
            <w:r>
              <w:rPr>
                <w:color w:val="auto"/>
              </w:rPr>
              <w:fldChar w:fldCharType="end"/>
            </w:r>
            <w:r>
              <w:rPr>
                <w:color w:val="auto"/>
              </w:rPr>
              <w:t>），</w:t>
            </w:r>
            <w:r>
              <w:rPr>
                <w:rFonts w:hint="eastAsia"/>
                <w:color w:val="auto"/>
              </w:rPr>
              <w:t>西部半湿润常绿阔叶林亚区域</w:t>
            </w:r>
            <w:r>
              <w:rPr>
                <w:color w:val="auto"/>
              </w:rPr>
              <w:t>（</w:t>
            </w:r>
            <w:r>
              <w:rPr>
                <w:color w:val="auto"/>
              </w:rPr>
              <w:fldChar w:fldCharType="begin"/>
            </w:r>
            <w:r>
              <w:rPr>
                <w:color w:val="auto"/>
              </w:rPr>
              <w:instrText xml:space="preserve"> = 2 \* ROMAN \* MERGEFORMAT </w:instrText>
            </w:r>
            <w:r>
              <w:rPr>
                <w:color w:val="auto"/>
              </w:rPr>
              <w:fldChar w:fldCharType="separate"/>
            </w:r>
            <w:r>
              <w:rPr>
                <w:color w:val="auto"/>
                <w:sz w:val="21"/>
              </w:rPr>
              <w:t>II</w:t>
            </w:r>
            <w:r>
              <w:rPr>
                <w:color w:val="auto"/>
              </w:rPr>
              <w:fldChar w:fldCharType="end"/>
            </w:r>
            <w:r>
              <w:rPr>
                <w:color w:val="auto"/>
              </w:rPr>
              <w:t>A），</w:t>
            </w:r>
            <w:r>
              <w:rPr>
                <w:rFonts w:hint="eastAsia"/>
                <w:color w:val="auto"/>
              </w:rPr>
              <w:t>滇西中山山原高山栲、石栎林、云南松林亚区（IIAii-2），评价区东侧邻近滇中高原盆谷滇青冈林、元江栲林、云南松林亚区（IIAii-1a）。</w:t>
            </w:r>
            <w:r>
              <w:rPr>
                <w:color w:val="auto"/>
              </w:rPr>
              <w:t>在植物区系上，该地区属</w:t>
            </w:r>
            <w:r>
              <w:rPr>
                <w:rFonts w:hint="eastAsia"/>
                <w:color w:val="auto"/>
              </w:rPr>
              <w:t>东亚植物区（</w:t>
            </w:r>
            <w:r>
              <w:rPr>
                <w:rFonts w:hint="eastAsia"/>
                <w:color w:val="auto"/>
              </w:rPr>
              <w:fldChar w:fldCharType="begin"/>
            </w:r>
            <w:r>
              <w:rPr>
                <w:rFonts w:hint="eastAsia"/>
                <w:color w:val="auto"/>
              </w:rPr>
              <w:instrText xml:space="preserve"> = 3 \* ROMAN \* MERGEFORMAT </w:instrText>
            </w:r>
            <w:r>
              <w:rPr>
                <w:rFonts w:hint="eastAsia"/>
                <w:color w:val="auto"/>
              </w:rPr>
              <w:fldChar w:fldCharType="separate"/>
            </w:r>
            <w:r>
              <w:rPr>
                <w:color w:val="auto"/>
                <w:sz w:val="21"/>
              </w:rPr>
              <w:t>III</w:t>
            </w:r>
            <w:r>
              <w:rPr>
                <w:rFonts w:hint="eastAsia"/>
                <w:color w:val="auto"/>
              </w:rPr>
              <w:fldChar w:fldCharType="end"/>
            </w:r>
            <w:r>
              <w:rPr>
                <w:rFonts w:hint="eastAsia"/>
                <w:color w:val="auto"/>
              </w:rPr>
              <w:t>）</w:t>
            </w:r>
            <w:r>
              <w:rPr>
                <w:color w:val="auto"/>
              </w:rPr>
              <w:t>，</w:t>
            </w:r>
            <w:r>
              <w:rPr>
                <w:rFonts w:hint="eastAsia"/>
                <w:color w:val="auto"/>
              </w:rPr>
              <w:t>中国-喜马拉雅植物亚区（</w:t>
            </w:r>
            <w:r>
              <w:rPr>
                <w:rFonts w:hint="eastAsia"/>
                <w:color w:val="auto"/>
              </w:rPr>
              <w:fldChar w:fldCharType="begin"/>
            </w:r>
            <w:r>
              <w:rPr>
                <w:rFonts w:hint="eastAsia"/>
                <w:color w:val="auto"/>
              </w:rPr>
              <w:instrText xml:space="preserve"> = 3 \* ROMAN \* MERGEFORMAT </w:instrText>
            </w:r>
            <w:r>
              <w:rPr>
                <w:rFonts w:hint="eastAsia"/>
                <w:color w:val="auto"/>
              </w:rPr>
              <w:fldChar w:fldCharType="separate"/>
            </w:r>
            <w:r>
              <w:rPr>
                <w:color w:val="auto"/>
                <w:sz w:val="21"/>
              </w:rPr>
              <w:t>III</w:t>
            </w:r>
            <w:r>
              <w:rPr>
                <w:rFonts w:hint="eastAsia"/>
                <w:color w:val="auto"/>
              </w:rPr>
              <w:fldChar w:fldCharType="end"/>
            </w:r>
            <w:r>
              <w:rPr>
                <w:rFonts w:hint="eastAsia"/>
                <w:color w:val="auto"/>
              </w:rPr>
              <w:t>E），云南高原地</w:t>
            </w:r>
            <w:r>
              <w:rPr>
                <w:color w:val="auto"/>
              </w:rPr>
              <w:t>区</w:t>
            </w:r>
            <w:r>
              <w:rPr>
                <w:rFonts w:hint="eastAsia"/>
                <w:color w:val="auto"/>
              </w:rPr>
              <w:t>（</w:t>
            </w:r>
            <w:r>
              <w:rPr>
                <w:rFonts w:hint="eastAsia"/>
                <w:color w:val="auto"/>
              </w:rPr>
              <w:fldChar w:fldCharType="begin"/>
            </w:r>
            <w:r>
              <w:rPr>
                <w:rFonts w:hint="eastAsia"/>
                <w:color w:val="auto"/>
              </w:rPr>
              <w:instrText xml:space="preserve"> = 3 \* ROMAN \* MERGEFORMAT </w:instrText>
            </w:r>
            <w:r>
              <w:rPr>
                <w:rFonts w:hint="eastAsia"/>
                <w:color w:val="auto"/>
              </w:rPr>
              <w:fldChar w:fldCharType="separate"/>
            </w:r>
            <w:r>
              <w:rPr>
                <w:color w:val="auto"/>
                <w:sz w:val="21"/>
              </w:rPr>
              <w:t>III</w:t>
            </w:r>
            <w:r>
              <w:rPr>
                <w:rFonts w:hint="eastAsia"/>
                <w:color w:val="auto"/>
              </w:rPr>
              <w:fldChar w:fldCharType="end"/>
            </w:r>
            <w:r>
              <w:rPr>
                <w:rFonts w:hint="eastAsia"/>
                <w:color w:val="auto"/>
              </w:rPr>
              <w:t>E13）</w:t>
            </w:r>
            <w:r>
              <w:rPr>
                <w:color w:val="auto"/>
              </w:rPr>
              <w:t>。</w:t>
            </w:r>
          </w:p>
          <w:p w14:paraId="6C4BD871">
            <w:pPr>
              <w:ind w:firstLine="480"/>
              <w:rPr>
                <w:color w:val="auto"/>
              </w:rPr>
            </w:pPr>
            <w:r>
              <w:rPr>
                <w:color w:val="auto"/>
              </w:rPr>
              <w:t>现场实地调查表明：该区域由于人为活动的干扰和破坏，原生植被受破坏较为严重，</w:t>
            </w:r>
            <w:r>
              <w:rPr>
                <w:rFonts w:hint="eastAsia"/>
                <w:color w:val="auto"/>
              </w:rPr>
              <w:t>调查范围内</w:t>
            </w:r>
            <w:r>
              <w:rPr>
                <w:color w:val="auto"/>
              </w:rPr>
              <w:t>植被类型可以</w:t>
            </w:r>
            <w:r>
              <w:rPr>
                <w:rFonts w:hint="eastAsia"/>
                <w:color w:val="auto"/>
              </w:rPr>
              <w:t>主要为</w:t>
            </w:r>
            <w:r>
              <w:rPr>
                <w:color w:val="auto"/>
              </w:rPr>
              <w:t>自然植被和人工植被两大类。自然植被在工程占地区周边区域分布</w:t>
            </w:r>
            <w:r>
              <w:rPr>
                <w:rFonts w:hint="eastAsia"/>
                <w:color w:val="auto"/>
              </w:rPr>
              <w:t>较广</w:t>
            </w:r>
            <w:r>
              <w:rPr>
                <w:color w:val="auto"/>
              </w:rPr>
              <w:t>，主要为</w:t>
            </w:r>
            <w:bookmarkStart w:id="632" w:name="OLE_LINK2"/>
            <w:r>
              <w:rPr>
                <w:rFonts w:hint="eastAsia"/>
                <w:color w:val="auto"/>
              </w:rPr>
              <w:t>暖温性针叶林、暖性石灰岩灌丛、暖温性稀树灌木草丛</w:t>
            </w:r>
            <w:bookmarkEnd w:id="632"/>
            <w:r>
              <w:rPr>
                <w:color w:val="auto"/>
              </w:rPr>
              <w:t>，人工植被</w:t>
            </w:r>
            <w:r>
              <w:rPr>
                <w:rFonts w:hint="eastAsia"/>
                <w:color w:val="auto"/>
              </w:rPr>
              <w:t>在评价区分布范围较广</w:t>
            </w:r>
            <w:r>
              <w:rPr>
                <w:color w:val="auto"/>
              </w:rPr>
              <w:t>，主要</w:t>
            </w:r>
            <w:r>
              <w:rPr>
                <w:rFonts w:hint="eastAsia"/>
                <w:color w:val="auto"/>
              </w:rPr>
              <w:t>有</w:t>
            </w:r>
            <w:r>
              <w:rPr>
                <w:color w:val="auto"/>
              </w:rPr>
              <w:t>耕地</w:t>
            </w:r>
            <w:r>
              <w:rPr>
                <w:rFonts w:hint="eastAsia"/>
                <w:color w:val="auto"/>
              </w:rPr>
              <w:t>和</w:t>
            </w:r>
            <w:r>
              <w:rPr>
                <w:color w:val="auto"/>
              </w:rPr>
              <w:t>园地</w:t>
            </w:r>
            <w:r>
              <w:rPr>
                <w:rFonts w:hint="eastAsia"/>
                <w:color w:val="auto"/>
              </w:rPr>
              <w:t>，非植被区域主要为交通运输用地、其他土地、水域及水利设施用地、公共管理与公共服务用地、住宅用地。</w:t>
            </w:r>
            <w:r>
              <w:rPr>
                <w:snapToGrid w:val="0"/>
                <w:color w:val="auto"/>
                <w:kern w:val="0"/>
              </w:rPr>
              <w:t>无国家级、省级重点保护野生植物。</w:t>
            </w:r>
            <w:r>
              <w:rPr>
                <w:color w:val="auto"/>
              </w:rPr>
              <w:t>植被类型详情见</w:t>
            </w:r>
            <w:r>
              <w:rPr>
                <w:rFonts w:hint="eastAsia"/>
                <w:color w:val="auto"/>
              </w:rPr>
              <w:t>下</w:t>
            </w:r>
            <w:r>
              <w:rPr>
                <w:color w:val="auto"/>
              </w:rPr>
              <w:t>表。</w:t>
            </w:r>
          </w:p>
          <w:p w14:paraId="34BB513A">
            <w:pPr>
              <w:pStyle w:val="63"/>
              <w:ind w:firstLine="480"/>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rPr>
              <w:t xml:space="preserve">   项目区主要植被类型</w:t>
            </w:r>
            <w:r>
              <w:rPr>
                <w:rFonts w:hint="eastAsia"/>
                <w:color w:val="auto"/>
              </w:rPr>
              <w:t xml:space="preserve">  单位：</w:t>
            </w:r>
            <w:r>
              <w:rPr>
                <w:bCs/>
                <w:color w:val="auto"/>
              </w:rPr>
              <w:t>hm</w:t>
            </w:r>
            <w:r>
              <w:rPr>
                <w:bCs/>
                <w:color w:val="auto"/>
                <w:vertAlign w:val="superscript"/>
              </w:rPr>
              <w:t>2</w:t>
            </w:r>
          </w:p>
          <w:tbl>
            <w:tblPr>
              <w:tblStyle w:val="41"/>
              <w:tblW w:w="5000" w:type="pct"/>
              <w:tblInd w:w="0" w:type="dxa"/>
              <w:tblLayout w:type="autofit"/>
              <w:tblCellMar>
                <w:top w:w="0" w:type="dxa"/>
                <w:left w:w="108" w:type="dxa"/>
                <w:bottom w:w="0" w:type="dxa"/>
                <w:right w:w="108" w:type="dxa"/>
              </w:tblCellMar>
            </w:tblPr>
            <w:tblGrid>
              <w:gridCol w:w="888"/>
              <w:gridCol w:w="1145"/>
              <w:gridCol w:w="1277"/>
              <w:gridCol w:w="1447"/>
              <w:gridCol w:w="1072"/>
              <w:gridCol w:w="1015"/>
              <w:gridCol w:w="1012"/>
            </w:tblGrid>
            <w:tr w14:paraId="674B3624">
              <w:tblPrEx>
                <w:tblCellMar>
                  <w:top w:w="0" w:type="dxa"/>
                  <w:left w:w="108" w:type="dxa"/>
                  <w:bottom w:w="0" w:type="dxa"/>
                  <w:right w:w="108" w:type="dxa"/>
                </w:tblCellMar>
              </w:tblPrEx>
              <w:trPr>
                <w:trHeight w:val="454" w:hRule="atLeast"/>
                <w:tblHeader/>
              </w:trPr>
              <w:tc>
                <w:tcPr>
                  <w:tcW w:w="565" w:type="pct"/>
                  <w:tcBorders>
                    <w:top w:val="single" w:color="auto" w:sz="4" w:space="0"/>
                    <w:left w:val="single" w:color="auto" w:sz="4" w:space="0"/>
                    <w:bottom w:val="single" w:color="auto" w:sz="4" w:space="0"/>
                    <w:right w:val="single" w:color="auto" w:sz="4" w:space="0"/>
                  </w:tcBorders>
                  <w:vAlign w:val="center"/>
                </w:tcPr>
                <w:p w14:paraId="60A8DD1E">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植被类别</w:t>
                  </w:r>
                </w:p>
              </w:tc>
              <w:tc>
                <w:tcPr>
                  <w:tcW w:w="729" w:type="pct"/>
                  <w:tcBorders>
                    <w:top w:val="single" w:color="auto" w:sz="4" w:space="0"/>
                    <w:left w:val="nil"/>
                    <w:bottom w:val="single" w:color="auto" w:sz="4" w:space="0"/>
                    <w:right w:val="single" w:color="auto" w:sz="4" w:space="0"/>
                  </w:tcBorders>
                  <w:vAlign w:val="center"/>
                </w:tcPr>
                <w:p w14:paraId="4937A2C9">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植被型</w:t>
                  </w:r>
                </w:p>
              </w:tc>
              <w:tc>
                <w:tcPr>
                  <w:tcW w:w="813" w:type="pct"/>
                  <w:tcBorders>
                    <w:top w:val="single" w:color="auto" w:sz="4" w:space="0"/>
                    <w:left w:val="nil"/>
                    <w:bottom w:val="single" w:color="auto" w:sz="4" w:space="0"/>
                    <w:right w:val="single" w:color="auto" w:sz="4" w:space="0"/>
                  </w:tcBorders>
                  <w:vAlign w:val="center"/>
                </w:tcPr>
                <w:p w14:paraId="766CDF85">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植被亚型</w:t>
                  </w:r>
                </w:p>
              </w:tc>
              <w:tc>
                <w:tcPr>
                  <w:tcW w:w="921" w:type="pct"/>
                  <w:tcBorders>
                    <w:top w:val="single" w:color="auto" w:sz="4" w:space="0"/>
                    <w:left w:val="nil"/>
                    <w:bottom w:val="single" w:color="auto" w:sz="4" w:space="0"/>
                    <w:right w:val="single" w:color="auto" w:sz="4" w:space="0"/>
                  </w:tcBorders>
                  <w:vAlign w:val="center"/>
                </w:tcPr>
                <w:p w14:paraId="49C7DDBD">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群系</w:t>
                  </w:r>
                </w:p>
              </w:tc>
              <w:tc>
                <w:tcPr>
                  <w:tcW w:w="682" w:type="pct"/>
                  <w:tcBorders>
                    <w:top w:val="single" w:color="auto" w:sz="4" w:space="0"/>
                    <w:left w:val="nil"/>
                    <w:bottom w:val="single" w:color="auto" w:sz="4" w:space="0"/>
                    <w:right w:val="single" w:color="auto" w:sz="4" w:space="0"/>
                  </w:tcBorders>
                  <w:vAlign w:val="center"/>
                </w:tcPr>
                <w:p w14:paraId="13926F35">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分布面积</w:t>
                  </w:r>
                </w:p>
              </w:tc>
              <w:tc>
                <w:tcPr>
                  <w:tcW w:w="646" w:type="pct"/>
                  <w:tcBorders>
                    <w:top w:val="single" w:color="auto" w:sz="4" w:space="0"/>
                    <w:left w:val="nil"/>
                    <w:bottom w:val="single" w:color="auto" w:sz="4" w:space="0"/>
                    <w:right w:val="single" w:color="auto" w:sz="4" w:space="0"/>
                  </w:tcBorders>
                  <w:vAlign w:val="center"/>
                </w:tcPr>
                <w:p w14:paraId="73C10C08">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临时占用面积</w:t>
                  </w:r>
                </w:p>
              </w:tc>
              <w:tc>
                <w:tcPr>
                  <w:tcW w:w="644" w:type="pct"/>
                  <w:tcBorders>
                    <w:top w:val="single" w:color="auto" w:sz="4" w:space="0"/>
                    <w:left w:val="nil"/>
                    <w:bottom w:val="single" w:color="auto" w:sz="4" w:space="0"/>
                    <w:right w:val="single" w:color="auto" w:sz="4" w:space="0"/>
                  </w:tcBorders>
                  <w:vAlign w:val="center"/>
                </w:tcPr>
                <w:p w14:paraId="4FF78F8F">
                  <w:pPr>
                    <w:widowControl/>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永久占用面积</w:t>
                  </w:r>
                </w:p>
              </w:tc>
            </w:tr>
            <w:tr w14:paraId="5DB265DE">
              <w:tblPrEx>
                <w:tblCellMar>
                  <w:top w:w="0" w:type="dxa"/>
                  <w:left w:w="108" w:type="dxa"/>
                  <w:bottom w:w="0" w:type="dxa"/>
                  <w:right w:w="108" w:type="dxa"/>
                </w:tblCellMar>
              </w:tblPrEx>
              <w:trPr>
                <w:trHeight w:val="454" w:hRule="atLeast"/>
              </w:trPr>
              <w:tc>
                <w:tcPr>
                  <w:tcW w:w="565" w:type="pct"/>
                  <w:vMerge w:val="restart"/>
                  <w:tcBorders>
                    <w:top w:val="nil"/>
                    <w:left w:val="single" w:color="auto" w:sz="4" w:space="0"/>
                    <w:right w:val="single" w:color="auto" w:sz="4" w:space="0"/>
                  </w:tcBorders>
                  <w:vAlign w:val="center"/>
                </w:tcPr>
                <w:p w14:paraId="4B68F113">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A.</w:t>
                  </w:r>
                  <w:r>
                    <w:rPr>
                      <w:rFonts w:cs="Times New Roman"/>
                      <w:color w:val="auto"/>
                      <w:kern w:val="0"/>
                      <w:sz w:val="21"/>
                      <w:szCs w:val="21"/>
                    </w:rPr>
                    <w:t>自然植被</w:t>
                  </w:r>
                </w:p>
              </w:tc>
              <w:tc>
                <w:tcPr>
                  <w:tcW w:w="729" w:type="pct"/>
                  <w:tcBorders>
                    <w:top w:val="nil"/>
                    <w:left w:val="nil"/>
                    <w:bottom w:val="single" w:color="auto" w:sz="4" w:space="0"/>
                    <w:right w:val="single" w:color="auto" w:sz="4" w:space="0"/>
                  </w:tcBorders>
                  <w:vAlign w:val="center"/>
                </w:tcPr>
                <w:p w14:paraId="13F53242">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 xml:space="preserve">Ⅰ </w:t>
                  </w:r>
                  <w:r>
                    <w:rPr>
                      <w:rFonts w:cs="Times New Roman"/>
                      <w:color w:val="auto"/>
                      <w:kern w:val="0"/>
                      <w:sz w:val="21"/>
                      <w:szCs w:val="21"/>
                    </w:rPr>
                    <w:t>暖性针叶林</w:t>
                  </w:r>
                </w:p>
              </w:tc>
              <w:tc>
                <w:tcPr>
                  <w:tcW w:w="813" w:type="pct"/>
                  <w:tcBorders>
                    <w:top w:val="nil"/>
                    <w:left w:val="nil"/>
                    <w:bottom w:val="single" w:color="auto" w:sz="4" w:space="0"/>
                    <w:right w:val="single" w:color="auto" w:sz="4" w:space="0"/>
                  </w:tcBorders>
                  <w:vAlign w:val="center"/>
                </w:tcPr>
                <w:p w14:paraId="4095C4F9">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（Ⅰ）暖温性针叶林</w:t>
                  </w:r>
                </w:p>
              </w:tc>
              <w:tc>
                <w:tcPr>
                  <w:tcW w:w="921" w:type="pct"/>
                  <w:tcBorders>
                    <w:top w:val="nil"/>
                    <w:left w:val="nil"/>
                    <w:bottom w:val="single" w:color="auto" w:sz="4" w:space="0"/>
                    <w:right w:val="single" w:color="auto" w:sz="4" w:space="0"/>
                  </w:tcBorders>
                  <w:vAlign w:val="center"/>
                </w:tcPr>
                <w:p w14:paraId="4CB26ABC">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（1）云南松林</w:t>
                  </w:r>
                </w:p>
              </w:tc>
              <w:tc>
                <w:tcPr>
                  <w:tcW w:w="682" w:type="pct"/>
                  <w:tcBorders>
                    <w:top w:val="nil"/>
                    <w:left w:val="nil"/>
                    <w:bottom w:val="single" w:color="auto" w:sz="4" w:space="0"/>
                    <w:right w:val="single" w:color="auto" w:sz="4" w:space="0"/>
                  </w:tcBorders>
                  <w:vAlign w:val="center"/>
                </w:tcPr>
                <w:p w14:paraId="73B585CF">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441.56</w:t>
                  </w:r>
                </w:p>
              </w:tc>
              <w:tc>
                <w:tcPr>
                  <w:tcW w:w="646" w:type="pct"/>
                  <w:tcBorders>
                    <w:top w:val="nil"/>
                    <w:left w:val="nil"/>
                    <w:bottom w:val="single" w:color="auto" w:sz="4" w:space="0"/>
                    <w:right w:val="single" w:color="auto" w:sz="4" w:space="0"/>
                  </w:tcBorders>
                  <w:vAlign w:val="center"/>
                </w:tcPr>
                <w:p w14:paraId="15DB5C66">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0</w:t>
                  </w:r>
                </w:p>
              </w:tc>
              <w:tc>
                <w:tcPr>
                  <w:tcW w:w="644" w:type="pct"/>
                  <w:tcBorders>
                    <w:top w:val="nil"/>
                    <w:left w:val="nil"/>
                    <w:bottom w:val="single" w:color="auto" w:sz="4" w:space="0"/>
                    <w:right w:val="single" w:color="auto" w:sz="4" w:space="0"/>
                  </w:tcBorders>
                  <w:noWrap/>
                  <w:vAlign w:val="center"/>
                </w:tcPr>
                <w:p w14:paraId="1B7474D2">
                  <w:pPr>
                    <w:widowControl/>
                    <w:spacing w:line="240" w:lineRule="auto"/>
                    <w:ind w:firstLine="0" w:firstLineChars="0"/>
                    <w:jc w:val="center"/>
                    <w:rPr>
                      <w:rFonts w:eastAsia="等线" w:cs="Times New Roman"/>
                      <w:color w:val="auto"/>
                      <w:kern w:val="0"/>
                      <w:sz w:val="22"/>
                    </w:rPr>
                  </w:pPr>
                  <w:r>
                    <w:rPr>
                      <w:rFonts w:eastAsia="等线" w:cs="Times New Roman"/>
                      <w:color w:val="auto"/>
                      <w:kern w:val="0"/>
                      <w:sz w:val="22"/>
                    </w:rPr>
                    <w:t>0</w:t>
                  </w:r>
                </w:p>
              </w:tc>
            </w:tr>
            <w:tr w14:paraId="5F50D44A">
              <w:tblPrEx>
                <w:tblCellMar>
                  <w:top w:w="0" w:type="dxa"/>
                  <w:left w:w="108" w:type="dxa"/>
                  <w:bottom w:w="0" w:type="dxa"/>
                  <w:right w:w="108" w:type="dxa"/>
                </w:tblCellMar>
              </w:tblPrEx>
              <w:trPr>
                <w:trHeight w:val="454" w:hRule="atLeast"/>
              </w:trPr>
              <w:tc>
                <w:tcPr>
                  <w:tcW w:w="565" w:type="pct"/>
                  <w:vMerge w:val="continue"/>
                  <w:tcBorders>
                    <w:left w:val="single" w:color="auto" w:sz="4" w:space="0"/>
                    <w:right w:val="single" w:color="auto" w:sz="4" w:space="0"/>
                  </w:tcBorders>
                  <w:vAlign w:val="center"/>
                </w:tcPr>
                <w:p w14:paraId="1FFADDBA">
                  <w:pPr>
                    <w:widowControl/>
                    <w:spacing w:line="240" w:lineRule="auto"/>
                    <w:ind w:firstLine="0" w:firstLineChars="0"/>
                    <w:jc w:val="center"/>
                    <w:rPr>
                      <w:rFonts w:eastAsia="等线" w:cs="Times New Roman"/>
                      <w:color w:val="auto"/>
                      <w:kern w:val="0"/>
                      <w:sz w:val="21"/>
                      <w:szCs w:val="21"/>
                    </w:rPr>
                  </w:pPr>
                </w:p>
              </w:tc>
              <w:tc>
                <w:tcPr>
                  <w:tcW w:w="729" w:type="pct"/>
                  <w:tcBorders>
                    <w:top w:val="nil"/>
                    <w:left w:val="nil"/>
                    <w:bottom w:val="single" w:color="auto" w:sz="4" w:space="0"/>
                    <w:right w:val="single" w:color="auto" w:sz="4" w:space="0"/>
                  </w:tcBorders>
                  <w:vAlign w:val="center"/>
                </w:tcPr>
                <w:p w14:paraId="7618E782">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 xml:space="preserve">Ⅱ </w:t>
                  </w:r>
                  <w:r>
                    <w:rPr>
                      <w:rFonts w:cs="Times New Roman"/>
                      <w:color w:val="auto"/>
                      <w:kern w:val="0"/>
                      <w:sz w:val="21"/>
                      <w:szCs w:val="21"/>
                    </w:rPr>
                    <w:t>灌丛</w:t>
                  </w:r>
                </w:p>
              </w:tc>
              <w:tc>
                <w:tcPr>
                  <w:tcW w:w="813" w:type="pct"/>
                  <w:tcBorders>
                    <w:top w:val="nil"/>
                    <w:left w:val="nil"/>
                    <w:bottom w:val="single" w:color="auto" w:sz="4" w:space="0"/>
                    <w:right w:val="single" w:color="auto" w:sz="4" w:space="0"/>
                  </w:tcBorders>
                  <w:vAlign w:val="center"/>
                </w:tcPr>
                <w:p w14:paraId="3476563F">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（Ⅰ）暖性石灰岩灌丛</w:t>
                  </w:r>
                </w:p>
              </w:tc>
              <w:tc>
                <w:tcPr>
                  <w:tcW w:w="921" w:type="pct"/>
                  <w:tcBorders>
                    <w:top w:val="nil"/>
                    <w:left w:val="nil"/>
                    <w:bottom w:val="single" w:color="auto" w:sz="4" w:space="0"/>
                    <w:right w:val="single" w:color="auto" w:sz="4" w:space="0"/>
                  </w:tcBorders>
                  <w:vAlign w:val="center"/>
                </w:tcPr>
                <w:p w14:paraId="3AD777A5">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（1）云南松萌生灌丛</w:t>
                  </w:r>
                </w:p>
              </w:tc>
              <w:tc>
                <w:tcPr>
                  <w:tcW w:w="682" w:type="pct"/>
                  <w:tcBorders>
                    <w:top w:val="nil"/>
                    <w:left w:val="nil"/>
                    <w:bottom w:val="single" w:color="auto" w:sz="4" w:space="0"/>
                    <w:right w:val="single" w:color="auto" w:sz="4" w:space="0"/>
                  </w:tcBorders>
                  <w:vAlign w:val="center"/>
                </w:tcPr>
                <w:p w14:paraId="7715B6BA">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1.65</w:t>
                  </w:r>
                </w:p>
              </w:tc>
              <w:tc>
                <w:tcPr>
                  <w:tcW w:w="646" w:type="pct"/>
                  <w:tcBorders>
                    <w:top w:val="nil"/>
                    <w:left w:val="nil"/>
                    <w:bottom w:val="single" w:color="auto" w:sz="4" w:space="0"/>
                    <w:right w:val="single" w:color="auto" w:sz="4" w:space="0"/>
                  </w:tcBorders>
                  <w:vAlign w:val="center"/>
                </w:tcPr>
                <w:p w14:paraId="170FE9D8">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0</w:t>
                  </w:r>
                </w:p>
              </w:tc>
              <w:tc>
                <w:tcPr>
                  <w:tcW w:w="644" w:type="pct"/>
                  <w:tcBorders>
                    <w:top w:val="nil"/>
                    <w:left w:val="nil"/>
                    <w:bottom w:val="single" w:color="auto" w:sz="4" w:space="0"/>
                    <w:right w:val="single" w:color="auto" w:sz="4" w:space="0"/>
                  </w:tcBorders>
                  <w:noWrap/>
                  <w:vAlign w:val="center"/>
                </w:tcPr>
                <w:p w14:paraId="588AC913">
                  <w:pPr>
                    <w:widowControl/>
                    <w:spacing w:line="240" w:lineRule="auto"/>
                    <w:ind w:firstLine="0" w:firstLineChars="0"/>
                    <w:jc w:val="center"/>
                    <w:rPr>
                      <w:rFonts w:eastAsia="等线" w:cs="Times New Roman"/>
                      <w:color w:val="auto"/>
                      <w:kern w:val="0"/>
                      <w:sz w:val="22"/>
                    </w:rPr>
                  </w:pPr>
                  <w:r>
                    <w:rPr>
                      <w:rFonts w:eastAsia="等线" w:cs="Times New Roman"/>
                      <w:color w:val="auto"/>
                      <w:kern w:val="0"/>
                      <w:sz w:val="22"/>
                    </w:rPr>
                    <w:t>0</w:t>
                  </w:r>
                </w:p>
              </w:tc>
            </w:tr>
            <w:tr w14:paraId="0E6D0DC9">
              <w:tblPrEx>
                <w:tblCellMar>
                  <w:top w:w="0" w:type="dxa"/>
                  <w:left w:w="108" w:type="dxa"/>
                  <w:bottom w:w="0" w:type="dxa"/>
                  <w:right w:w="108" w:type="dxa"/>
                </w:tblCellMar>
              </w:tblPrEx>
              <w:trPr>
                <w:trHeight w:val="454" w:hRule="atLeast"/>
              </w:trPr>
              <w:tc>
                <w:tcPr>
                  <w:tcW w:w="565" w:type="pct"/>
                  <w:vMerge w:val="continue"/>
                  <w:tcBorders>
                    <w:left w:val="single" w:color="auto" w:sz="4" w:space="0"/>
                    <w:bottom w:val="single" w:color="auto" w:sz="4" w:space="0"/>
                    <w:right w:val="single" w:color="auto" w:sz="4" w:space="0"/>
                  </w:tcBorders>
                  <w:vAlign w:val="center"/>
                </w:tcPr>
                <w:p w14:paraId="3AECF46C">
                  <w:pPr>
                    <w:widowControl/>
                    <w:spacing w:line="240" w:lineRule="auto"/>
                    <w:ind w:firstLine="0" w:firstLineChars="0"/>
                    <w:jc w:val="center"/>
                    <w:rPr>
                      <w:rFonts w:eastAsia="等线" w:cs="Times New Roman"/>
                      <w:color w:val="auto"/>
                      <w:kern w:val="0"/>
                      <w:sz w:val="21"/>
                      <w:szCs w:val="21"/>
                    </w:rPr>
                  </w:pPr>
                </w:p>
              </w:tc>
              <w:tc>
                <w:tcPr>
                  <w:tcW w:w="729" w:type="pct"/>
                  <w:tcBorders>
                    <w:top w:val="nil"/>
                    <w:left w:val="nil"/>
                    <w:bottom w:val="single" w:color="auto" w:sz="4" w:space="0"/>
                    <w:right w:val="single" w:color="auto" w:sz="4" w:space="0"/>
                  </w:tcBorders>
                  <w:vAlign w:val="center"/>
                </w:tcPr>
                <w:p w14:paraId="2F69AF66">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 xml:space="preserve">III </w:t>
                  </w:r>
                  <w:r>
                    <w:rPr>
                      <w:rFonts w:cs="Times New Roman"/>
                      <w:color w:val="auto"/>
                      <w:kern w:val="0"/>
                      <w:sz w:val="21"/>
                      <w:szCs w:val="21"/>
                    </w:rPr>
                    <w:t>稀树灌木草丛</w:t>
                  </w:r>
                </w:p>
              </w:tc>
              <w:tc>
                <w:tcPr>
                  <w:tcW w:w="813" w:type="pct"/>
                  <w:tcBorders>
                    <w:top w:val="nil"/>
                    <w:left w:val="nil"/>
                    <w:bottom w:val="single" w:color="auto" w:sz="4" w:space="0"/>
                    <w:right w:val="single" w:color="auto" w:sz="4" w:space="0"/>
                  </w:tcBorders>
                  <w:vAlign w:val="center"/>
                </w:tcPr>
                <w:p w14:paraId="047A9F92">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（Ⅰ）暖温性稀树灌木草丛</w:t>
                  </w:r>
                </w:p>
              </w:tc>
              <w:tc>
                <w:tcPr>
                  <w:tcW w:w="921" w:type="pct"/>
                  <w:tcBorders>
                    <w:top w:val="nil"/>
                    <w:left w:val="nil"/>
                    <w:bottom w:val="single" w:color="auto" w:sz="4" w:space="0"/>
                    <w:right w:val="single" w:color="auto" w:sz="4" w:space="0"/>
                  </w:tcBorders>
                  <w:vAlign w:val="center"/>
                </w:tcPr>
                <w:p w14:paraId="6F484A66">
                  <w:pPr>
                    <w:widowControl/>
                    <w:spacing w:line="240" w:lineRule="auto"/>
                    <w:ind w:firstLine="0" w:firstLineChars="0"/>
                    <w:jc w:val="center"/>
                    <w:rPr>
                      <w:rFonts w:cs="Times New Roman"/>
                      <w:color w:val="auto"/>
                      <w:kern w:val="0"/>
                      <w:sz w:val="21"/>
                      <w:szCs w:val="21"/>
                    </w:rPr>
                  </w:pPr>
                  <w:r>
                    <w:rPr>
                      <w:rFonts w:cs="Times New Roman"/>
                      <w:color w:val="auto"/>
                      <w:kern w:val="0"/>
                      <w:sz w:val="21"/>
                      <w:szCs w:val="21"/>
                    </w:rPr>
                    <w:t>（1）含云南松、野古草草丛</w:t>
                  </w:r>
                </w:p>
              </w:tc>
              <w:tc>
                <w:tcPr>
                  <w:tcW w:w="682" w:type="pct"/>
                  <w:tcBorders>
                    <w:top w:val="nil"/>
                    <w:left w:val="nil"/>
                    <w:bottom w:val="single" w:color="auto" w:sz="4" w:space="0"/>
                    <w:right w:val="single" w:color="auto" w:sz="4" w:space="0"/>
                  </w:tcBorders>
                  <w:vAlign w:val="center"/>
                </w:tcPr>
                <w:p w14:paraId="435B2B42">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0.65</w:t>
                  </w:r>
                </w:p>
              </w:tc>
              <w:tc>
                <w:tcPr>
                  <w:tcW w:w="646" w:type="pct"/>
                  <w:tcBorders>
                    <w:top w:val="nil"/>
                    <w:left w:val="nil"/>
                    <w:bottom w:val="single" w:color="auto" w:sz="4" w:space="0"/>
                    <w:right w:val="single" w:color="auto" w:sz="4" w:space="0"/>
                  </w:tcBorders>
                  <w:vAlign w:val="center"/>
                </w:tcPr>
                <w:p w14:paraId="1B9754BA">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0</w:t>
                  </w:r>
                </w:p>
              </w:tc>
              <w:tc>
                <w:tcPr>
                  <w:tcW w:w="644" w:type="pct"/>
                  <w:tcBorders>
                    <w:top w:val="nil"/>
                    <w:left w:val="nil"/>
                    <w:bottom w:val="single" w:color="auto" w:sz="4" w:space="0"/>
                    <w:right w:val="single" w:color="auto" w:sz="4" w:space="0"/>
                  </w:tcBorders>
                  <w:noWrap/>
                  <w:vAlign w:val="center"/>
                </w:tcPr>
                <w:p w14:paraId="179A1D91">
                  <w:pPr>
                    <w:widowControl/>
                    <w:spacing w:line="240" w:lineRule="auto"/>
                    <w:ind w:firstLine="0" w:firstLineChars="0"/>
                    <w:jc w:val="center"/>
                    <w:rPr>
                      <w:rFonts w:eastAsia="等线" w:cs="Times New Roman"/>
                      <w:color w:val="auto"/>
                      <w:kern w:val="0"/>
                      <w:sz w:val="22"/>
                    </w:rPr>
                  </w:pPr>
                  <w:r>
                    <w:rPr>
                      <w:rFonts w:eastAsia="等线" w:cs="Times New Roman"/>
                      <w:color w:val="auto"/>
                      <w:kern w:val="0"/>
                      <w:sz w:val="22"/>
                    </w:rPr>
                    <w:t>0</w:t>
                  </w:r>
                </w:p>
              </w:tc>
            </w:tr>
            <w:tr w14:paraId="4B0489B3">
              <w:tblPrEx>
                <w:tblCellMar>
                  <w:top w:w="0" w:type="dxa"/>
                  <w:left w:w="108" w:type="dxa"/>
                  <w:bottom w:w="0" w:type="dxa"/>
                  <w:right w:w="108" w:type="dxa"/>
                </w:tblCellMar>
              </w:tblPrEx>
              <w:trPr>
                <w:trHeight w:val="454" w:hRule="atLeast"/>
              </w:trPr>
              <w:tc>
                <w:tcPr>
                  <w:tcW w:w="565" w:type="pct"/>
                  <w:vMerge w:val="restart"/>
                  <w:tcBorders>
                    <w:top w:val="nil"/>
                    <w:left w:val="single" w:color="auto" w:sz="4" w:space="0"/>
                    <w:right w:val="single" w:color="auto" w:sz="4" w:space="0"/>
                  </w:tcBorders>
                  <w:vAlign w:val="center"/>
                </w:tcPr>
                <w:p w14:paraId="08B67DC9">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B</w:t>
                  </w:r>
                  <w:r>
                    <w:rPr>
                      <w:rFonts w:hint="eastAsia" w:eastAsia="等线" w:cs="Times New Roman"/>
                      <w:color w:val="auto"/>
                      <w:kern w:val="0"/>
                      <w:sz w:val="21"/>
                      <w:szCs w:val="21"/>
                    </w:rPr>
                    <w:t>.</w:t>
                  </w:r>
                  <w:r>
                    <w:rPr>
                      <w:rFonts w:eastAsia="等线" w:cs="Times New Roman"/>
                      <w:color w:val="auto"/>
                      <w:kern w:val="0"/>
                      <w:sz w:val="21"/>
                      <w:szCs w:val="21"/>
                    </w:rPr>
                    <w:t>人工植被</w:t>
                  </w:r>
                </w:p>
              </w:tc>
              <w:tc>
                <w:tcPr>
                  <w:tcW w:w="2463" w:type="pct"/>
                  <w:gridSpan w:val="3"/>
                  <w:tcBorders>
                    <w:top w:val="single" w:color="auto" w:sz="4" w:space="0"/>
                    <w:left w:val="nil"/>
                    <w:bottom w:val="single" w:color="auto" w:sz="4" w:space="0"/>
                    <w:right w:val="single" w:color="auto" w:sz="4" w:space="0"/>
                  </w:tcBorders>
                  <w:vAlign w:val="center"/>
                </w:tcPr>
                <w:p w14:paraId="5C045079">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 xml:space="preserve">I </w:t>
                  </w:r>
                  <w:r>
                    <w:rPr>
                      <w:rFonts w:cs="Times New Roman"/>
                      <w:color w:val="auto"/>
                      <w:kern w:val="0"/>
                      <w:sz w:val="21"/>
                      <w:szCs w:val="21"/>
                    </w:rPr>
                    <w:t>耕地（</w:t>
                  </w:r>
                  <w:r>
                    <w:rPr>
                      <w:rFonts w:hint="eastAsia" w:cs="Times New Roman"/>
                      <w:color w:val="auto"/>
                      <w:kern w:val="0"/>
                      <w:sz w:val="21"/>
                      <w:szCs w:val="21"/>
                    </w:rPr>
                    <w:t>小麦、豌豆</w:t>
                  </w:r>
                  <w:r>
                    <w:rPr>
                      <w:rFonts w:cs="Times New Roman"/>
                      <w:color w:val="auto"/>
                      <w:kern w:val="0"/>
                      <w:sz w:val="21"/>
                      <w:szCs w:val="21"/>
                    </w:rPr>
                    <w:t>等）</w:t>
                  </w:r>
                </w:p>
              </w:tc>
              <w:tc>
                <w:tcPr>
                  <w:tcW w:w="682" w:type="pct"/>
                  <w:tcBorders>
                    <w:top w:val="nil"/>
                    <w:left w:val="nil"/>
                    <w:bottom w:val="single" w:color="auto" w:sz="4" w:space="0"/>
                    <w:right w:val="single" w:color="auto" w:sz="4" w:space="0"/>
                  </w:tcBorders>
                  <w:vAlign w:val="center"/>
                </w:tcPr>
                <w:p w14:paraId="2C902499">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21.90</w:t>
                  </w:r>
                </w:p>
              </w:tc>
              <w:tc>
                <w:tcPr>
                  <w:tcW w:w="646" w:type="pct"/>
                  <w:tcBorders>
                    <w:top w:val="nil"/>
                    <w:left w:val="nil"/>
                    <w:bottom w:val="single" w:color="auto" w:sz="4" w:space="0"/>
                    <w:right w:val="single" w:color="auto" w:sz="4" w:space="0"/>
                  </w:tcBorders>
                  <w:vAlign w:val="center"/>
                </w:tcPr>
                <w:p w14:paraId="30D8D7FA">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0</w:t>
                  </w:r>
                </w:p>
              </w:tc>
              <w:tc>
                <w:tcPr>
                  <w:tcW w:w="644" w:type="pct"/>
                  <w:tcBorders>
                    <w:top w:val="nil"/>
                    <w:left w:val="nil"/>
                    <w:bottom w:val="single" w:color="auto" w:sz="4" w:space="0"/>
                    <w:right w:val="single" w:color="auto" w:sz="4" w:space="0"/>
                  </w:tcBorders>
                  <w:noWrap/>
                  <w:vAlign w:val="center"/>
                </w:tcPr>
                <w:p w14:paraId="09E255DC">
                  <w:pPr>
                    <w:widowControl/>
                    <w:spacing w:line="240" w:lineRule="auto"/>
                    <w:ind w:firstLine="0" w:firstLineChars="0"/>
                    <w:jc w:val="center"/>
                    <w:rPr>
                      <w:rFonts w:eastAsia="等线" w:cs="Times New Roman"/>
                      <w:color w:val="auto"/>
                      <w:kern w:val="0"/>
                      <w:sz w:val="22"/>
                    </w:rPr>
                  </w:pPr>
                  <w:r>
                    <w:rPr>
                      <w:rFonts w:eastAsia="等线" w:cs="Times New Roman"/>
                      <w:color w:val="auto"/>
                      <w:kern w:val="0"/>
                      <w:sz w:val="22"/>
                    </w:rPr>
                    <w:t>0</w:t>
                  </w:r>
                </w:p>
              </w:tc>
            </w:tr>
            <w:tr w14:paraId="1B6A98A6">
              <w:tblPrEx>
                <w:tblCellMar>
                  <w:top w:w="0" w:type="dxa"/>
                  <w:left w:w="108" w:type="dxa"/>
                  <w:bottom w:w="0" w:type="dxa"/>
                  <w:right w:w="108" w:type="dxa"/>
                </w:tblCellMar>
              </w:tblPrEx>
              <w:trPr>
                <w:trHeight w:val="454" w:hRule="atLeast"/>
              </w:trPr>
              <w:tc>
                <w:tcPr>
                  <w:tcW w:w="565" w:type="pct"/>
                  <w:vMerge w:val="continue"/>
                  <w:tcBorders>
                    <w:left w:val="single" w:color="auto" w:sz="4" w:space="0"/>
                    <w:bottom w:val="single" w:color="auto" w:sz="4" w:space="0"/>
                    <w:right w:val="single" w:color="auto" w:sz="4" w:space="0"/>
                  </w:tcBorders>
                  <w:vAlign w:val="center"/>
                </w:tcPr>
                <w:p w14:paraId="08237B63">
                  <w:pPr>
                    <w:widowControl/>
                    <w:spacing w:line="240" w:lineRule="auto"/>
                    <w:ind w:firstLine="0" w:firstLineChars="0"/>
                    <w:jc w:val="center"/>
                    <w:rPr>
                      <w:rFonts w:eastAsia="等线" w:cs="Times New Roman"/>
                      <w:color w:val="auto"/>
                      <w:kern w:val="0"/>
                      <w:sz w:val="21"/>
                      <w:szCs w:val="21"/>
                    </w:rPr>
                  </w:pPr>
                </w:p>
              </w:tc>
              <w:tc>
                <w:tcPr>
                  <w:tcW w:w="2463" w:type="pct"/>
                  <w:gridSpan w:val="3"/>
                  <w:tcBorders>
                    <w:top w:val="single" w:color="auto" w:sz="4" w:space="0"/>
                    <w:left w:val="nil"/>
                    <w:bottom w:val="single" w:color="auto" w:sz="4" w:space="0"/>
                    <w:right w:val="single" w:color="auto" w:sz="4" w:space="0"/>
                  </w:tcBorders>
                  <w:vAlign w:val="center"/>
                </w:tcPr>
                <w:p w14:paraId="544132E5">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 xml:space="preserve">II </w:t>
                  </w:r>
                  <w:r>
                    <w:rPr>
                      <w:rFonts w:cs="Times New Roman"/>
                      <w:color w:val="auto"/>
                      <w:kern w:val="0"/>
                      <w:sz w:val="21"/>
                      <w:szCs w:val="21"/>
                    </w:rPr>
                    <w:t>园地（茶、核桃、杂木等）</w:t>
                  </w:r>
                </w:p>
              </w:tc>
              <w:tc>
                <w:tcPr>
                  <w:tcW w:w="682" w:type="pct"/>
                  <w:tcBorders>
                    <w:top w:val="nil"/>
                    <w:left w:val="nil"/>
                    <w:bottom w:val="single" w:color="auto" w:sz="4" w:space="0"/>
                    <w:right w:val="single" w:color="auto" w:sz="4" w:space="0"/>
                  </w:tcBorders>
                  <w:vAlign w:val="center"/>
                </w:tcPr>
                <w:p w14:paraId="644A624A">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382.71</w:t>
                  </w:r>
                </w:p>
              </w:tc>
              <w:tc>
                <w:tcPr>
                  <w:tcW w:w="646" w:type="pct"/>
                  <w:tcBorders>
                    <w:top w:val="nil"/>
                    <w:left w:val="nil"/>
                    <w:bottom w:val="nil"/>
                    <w:right w:val="nil"/>
                  </w:tcBorders>
                  <w:noWrap/>
                  <w:vAlign w:val="center"/>
                </w:tcPr>
                <w:p w14:paraId="14A9AEB1">
                  <w:pPr>
                    <w:widowControl/>
                    <w:spacing w:line="240" w:lineRule="auto"/>
                    <w:ind w:firstLine="0" w:firstLineChars="0"/>
                    <w:jc w:val="center"/>
                    <w:rPr>
                      <w:rFonts w:eastAsia="等线" w:cs="Times New Roman"/>
                      <w:color w:val="auto"/>
                      <w:kern w:val="0"/>
                      <w:sz w:val="22"/>
                    </w:rPr>
                  </w:pPr>
                  <w:r>
                    <w:rPr>
                      <w:rFonts w:eastAsia="等线" w:cs="Times New Roman"/>
                      <w:color w:val="auto"/>
                      <w:kern w:val="0"/>
                      <w:sz w:val="22"/>
                    </w:rPr>
                    <w:t>110.82</w:t>
                  </w:r>
                </w:p>
              </w:tc>
              <w:tc>
                <w:tcPr>
                  <w:tcW w:w="644" w:type="pct"/>
                  <w:tcBorders>
                    <w:top w:val="nil"/>
                    <w:left w:val="single" w:color="auto" w:sz="4" w:space="0"/>
                    <w:bottom w:val="single" w:color="auto" w:sz="4" w:space="0"/>
                    <w:right w:val="single" w:color="auto" w:sz="4" w:space="0"/>
                  </w:tcBorders>
                  <w:vAlign w:val="center"/>
                </w:tcPr>
                <w:p w14:paraId="4C9F6ECD">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0.22</w:t>
                  </w:r>
                </w:p>
              </w:tc>
            </w:tr>
            <w:tr w14:paraId="493710BC">
              <w:tblPrEx>
                <w:tblCellMar>
                  <w:top w:w="0" w:type="dxa"/>
                  <w:left w:w="108" w:type="dxa"/>
                  <w:bottom w:w="0" w:type="dxa"/>
                  <w:right w:w="108" w:type="dxa"/>
                </w:tblCellMar>
              </w:tblPrEx>
              <w:trPr>
                <w:trHeight w:val="454" w:hRule="atLeast"/>
              </w:trPr>
              <w:tc>
                <w:tcPr>
                  <w:tcW w:w="565" w:type="pct"/>
                  <w:tcBorders>
                    <w:top w:val="nil"/>
                    <w:left w:val="single" w:color="auto" w:sz="4" w:space="0"/>
                    <w:bottom w:val="single" w:color="auto" w:sz="4" w:space="0"/>
                    <w:right w:val="single" w:color="auto" w:sz="4" w:space="0"/>
                  </w:tcBorders>
                  <w:vAlign w:val="center"/>
                </w:tcPr>
                <w:p w14:paraId="636EDA8A">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C.</w:t>
                  </w:r>
                  <w:r>
                    <w:rPr>
                      <w:rFonts w:cs="Times New Roman"/>
                      <w:color w:val="auto"/>
                      <w:kern w:val="0"/>
                      <w:sz w:val="21"/>
                      <w:szCs w:val="21"/>
                    </w:rPr>
                    <w:t>非植被</w:t>
                  </w:r>
                </w:p>
              </w:tc>
              <w:tc>
                <w:tcPr>
                  <w:tcW w:w="2463" w:type="pct"/>
                  <w:gridSpan w:val="3"/>
                  <w:tcBorders>
                    <w:top w:val="single" w:color="auto" w:sz="4" w:space="0"/>
                    <w:left w:val="nil"/>
                    <w:bottom w:val="single" w:color="auto" w:sz="4" w:space="0"/>
                    <w:right w:val="single" w:color="auto" w:sz="4" w:space="0"/>
                  </w:tcBorders>
                  <w:vAlign w:val="center"/>
                </w:tcPr>
                <w:p w14:paraId="2EC2CFDA">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 xml:space="preserve">Ⅰ </w:t>
                  </w:r>
                  <w:r>
                    <w:rPr>
                      <w:rFonts w:cs="Times New Roman"/>
                      <w:color w:val="auto"/>
                      <w:kern w:val="0"/>
                      <w:sz w:val="21"/>
                      <w:szCs w:val="21"/>
                    </w:rPr>
                    <w:t>交通运输用地、其他土地、水域及水利设施用地、公共管理与公共服务用地、住宅用地</w:t>
                  </w:r>
                </w:p>
              </w:tc>
              <w:tc>
                <w:tcPr>
                  <w:tcW w:w="682" w:type="pct"/>
                  <w:tcBorders>
                    <w:top w:val="nil"/>
                    <w:left w:val="nil"/>
                    <w:bottom w:val="single" w:color="auto" w:sz="4" w:space="0"/>
                    <w:right w:val="single" w:color="auto" w:sz="4" w:space="0"/>
                  </w:tcBorders>
                  <w:vAlign w:val="center"/>
                </w:tcPr>
                <w:p w14:paraId="02ACB15F">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28.53</w:t>
                  </w:r>
                </w:p>
              </w:tc>
              <w:tc>
                <w:tcPr>
                  <w:tcW w:w="646" w:type="pct"/>
                  <w:tcBorders>
                    <w:top w:val="single" w:color="auto" w:sz="4" w:space="0"/>
                    <w:left w:val="nil"/>
                    <w:bottom w:val="single" w:color="auto" w:sz="4" w:space="0"/>
                    <w:right w:val="single" w:color="auto" w:sz="4" w:space="0"/>
                  </w:tcBorders>
                  <w:noWrap/>
                  <w:vAlign w:val="center"/>
                </w:tcPr>
                <w:p w14:paraId="361D2E74">
                  <w:pPr>
                    <w:widowControl/>
                    <w:spacing w:line="240" w:lineRule="auto"/>
                    <w:ind w:firstLine="0" w:firstLineChars="0"/>
                    <w:jc w:val="center"/>
                    <w:rPr>
                      <w:rFonts w:eastAsia="等线" w:cs="Times New Roman"/>
                      <w:color w:val="auto"/>
                      <w:kern w:val="0"/>
                      <w:sz w:val="22"/>
                    </w:rPr>
                  </w:pPr>
                  <w:r>
                    <w:rPr>
                      <w:rFonts w:eastAsia="等线" w:cs="Times New Roman"/>
                      <w:color w:val="auto"/>
                      <w:kern w:val="0"/>
                      <w:sz w:val="22"/>
                    </w:rPr>
                    <w:t>5.96</w:t>
                  </w:r>
                </w:p>
              </w:tc>
              <w:tc>
                <w:tcPr>
                  <w:tcW w:w="644" w:type="pct"/>
                  <w:tcBorders>
                    <w:top w:val="nil"/>
                    <w:left w:val="nil"/>
                    <w:bottom w:val="single" w:color="auto" w:sz="4" w:space="0"/>
                    <w:right w:val="single" w:color="auto" w:sz="4" w:space="0"/>
                  </w:tcBorders>
                  <w:vAlign w:val="center"/>
                </w:tcPr>
                <w:p w14:paraId="188BE0AD">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0.06</w:t>
                  </w:r>
                </w:p>
              </w:tc>
            </w:tr>
            <w:tr w14:paraId="4469725B">
              <w:tblPrEx>
                <w:tblCellMar>
                  <w:top w:w="0" w:type="dxa"/>
                  <w:left w:w="108" w:type="dxa"/>
                  <w:bottom w:w="0" w:type="dxa"/>
                  <w:right w:w="108" w:type="dxa"/>
                </w:tblCellMar>
              </w:tblPrEx>
              <w:trPr>
                <w:trHeight w:val="454" w:hRule="atLeast"/>
              </w:trPr>
              <w:tc>
                <w:tcPr>
                  <w:tcW w:w="3028" w:type="pct"/>
                  <w:gridSpan w:val="4"/>
                  <w:tcBorders>
                    <w:top w:val="single" w:color="auto" w:sz="4" w:space="0"/>
                    <w:left w:val="single" w:color="auto" w:sz="4" w:space="0"/>
                    <w:bottom w:val="single" w:color="auto" w:sz="4" w:space="0"/>
                    <w:right w:val="single" w:color="auto" w:sz="4" w:space="0"/>
                  </w:tcBorders>
                  <w:vAlign w:val="center"/>
                </w:tcPr>
                <w:p w14:paraId="6089C580">
                  <w:pPr>
                    <w:widowControl/>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小计</w:t>
                  </w:r>
                </w:p>
              </w:tc>
              <w:tc>
                <w:tcPr>
                  <w:tcW w:w="682" w:type="pct"/>
                  <w:tcBorders>
                    <w:top w:val="nil"/>
                    <w:left w:val="nil"/>
                    <w:bottom w:val="single" w:color="auto" w:sz="4" w:space="0"/>
                    <w:right w:val="single" w:color="auto" w:sz="4" w:space="0"/>
                  </w:tcBorders>
                  <w:vAlign w:val="center"/>
                </w:tcPr>
                <w:p w14:paraId="206AAB19">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877</w:t>
                  </w:r>
                </w:p>
              </w:tc>
              <w:tc>
                <w:tcPr>
                  <w:tcW w:w="646" w:type="pct"/>
                  <w:tcBorders>
                    <w:top w:val="nil"/>
                    <w:left w:val="nil"/>
                    <w:bottom w:val="single" w:color="auto" w:sz="4" w:space="0"/>
                    <w:right w:val="single" w:color="auto" w:sz="4" w:space="0"/>
                  </w:tcBorders>
                  <w:vAlign w:val="center"/>
                </w:tcPr>
                <w:p w14:paraId="3732B1A1">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116.78</w:t>
                  </w:r>
                </w:p>
              </w:tc>
              <w:tc>
                <w:tcPr>
                  <w:tcW w:w="644" w:type="pct"/>
                  <w:tcBorders>
                    <w:top w:val="nil"/>
                    <w:left w:val="nil"/>
                    <w:bottom w:val="single" w:color="auto" w:sz="4" w:space="0"/>
                    <w:right w:val="single" w:color="auto" w:sz="4" w:space="0"/>
                  </w:tcBorders>
                  <w:noWrap/>
                  <w:vAlign w:val="center"/>
                </w:tcPr>
                <w:p w14:paraId="2ED53545">
                  <w:pPr>
                    <w:widowControl/>
                    <w:spacing w:line="240" w:lineRule="auto"/>
                    <w:ind w:firstLine="0" w:firstLineChars="0"/>
                    <w:jc w:val="center"/>
                    <w:rPr>
                      <w:rFonts w:eastAsia="等线" w:cs="Times New Roman"/>
                      <w:color w:val="auto"/>
                      <w:kern w:val="0"/>
                      <w:sz w:val="22"/>
                    </w:rPr>
                  </w:pPr>
                  <w:r>
                    <w:rPr>
                      <w:rFonts w:eastAsia="等线" w:cs="Times New Roman"/>
                      <w:color w:val="auto"/>
                      <w:kern w:val="0"/>
                      <w:sz w:val="22"/>
                    </w:rPr>
                    <w:t>0.28</w:t>
                  </w:r>
                </w:p>
              </w:tc>
            </w:tr>
            <w:tr w14:paraId="2A97EAE8">
              <w:tblPrEx>
                <w:tblCellMar>
                  <w:top w:w="0" w:type="dxa"/>
                  <w:left w:w="108" w:type="dxa"/>
                  <w:bottom w:w="0" w:type="dxa"/>
                  <w:right w:w="108" w:type="dxa"/>
                </w:tblCellMar>
              </w:tblPrEx>
              <w:trPr>
                <w:trHeight w:val="454" w:hRule="atLeast"/>
              </w:trPr>
              <w:tc>
                <w:tcPr>
                  <w:tcW w:w="3028" w:type="pct"/>
                  <w:gridSpan w:val="4"/>
                  <w:tcBorders>
                    <w:top w:val="single" w:color="auto" w:sz="4" w:space="0"/>
                    <w:left w:val="single" w:color="auto" w:sz="4" w:space="0"/>
                    <w:bottom w:val="single" w:color="auto" w:sz="4" w:space="0"/>
                    <w:right w:val="single" w:color="auto" w:sz="4" w:space="0"/>
                  </w:tcBorders>
                  <w:vAlign w:val="center"/>
                </w:tcPr>
                <w:p w14:paraId="64FCAB24">
                  <w:pPr>
                    <w:widowControl/>
                    <w:spacing w:line="240" w:lineRule="auto"/>
                    <w:ind w:firstLine="0" w:firstLineChars="0"/>
                    <w:jc w:val="center"/>
                    <w:rPr>
                      <w:rFonts w:cs="Times New Roman"/>
                      <w:color w:val="auto"/>
                      <w:kern w:val="0"/>
                      <w:sz w:val="21"/>
                      <w:szCs w:val="21"/>
                    </w:rPr>
                  </w:pPr>
                  <w:r>
                    <w:rPr>
                      <w:rFonts w:hint="eastAsia" w:cs="Times New Roman"/>
                      <w:color w:val="auto"/>
                      <w:kern w:val="0"/>
                      <w:sz w:val="21"/>
                      <w:szCs w:val="21"/>
                    </w:rPr>
                    <w:t>合计</w:t>
                  </w:r>
                </w:p>
              </w:tc>
              <w:tc>
                <w:tcPr>
                  <w:tcW w:w="682" w:type="pct"/>
                  <w:tcBorders>
                    <w:top w:val="single" w:color="auto" w:sz="4" w:space="0"/>
                    <w:left w:val="nil"/>
                    <w:bottom w:val="single" w:color="auto" w:sz="4" w:space="0"/>
                    <w:right w:val="single" w:color="auto" w:sz="4" w:space="0"/>
                  </w:tcBorders>
                  <w:vAlign w:val="center"/>
                </w:tcPr>
                <w:p w14:paraId="4C3E7C1D">
                  <w:pPr>
                    <w:widowControl/>
                    <w:spacing w:line="240" w:lineRule="auto"/>
                    <w:ind w:firstLine="0" w:firstLineChars="0"/>
                    <w:jc w:val="center"/>
                    <w:rPr>
                      <w:rFonts w:eastAsia="等线" w:cs="Times New Roman"/>
                      <w:color w:val="auto"/>
                      <w:kern w:val="0"/>
                      <w:sz w:val="21"/>
                      <w:szCs w:val="21"/>
                    </w:rPr>
                  </w:pPr>
                  <w:r>
                    <w:rPr>
                      <w:rFonts w:eastAsia="等线" w:cs="Times New Roman"/>
                      <w:color w:val="auto"/>
                      <w:kern w:val="0"/>
                      <w:sz w:val="21"/>
                      <w:szCs w:val="21"/>
                    </w:rPr>
                    <w:t>877</w:t>
                  </w:r>
                </w:p>
              </w:tc>
              <w:tc>
                <w:tcPr>
                  <w:tcW w:w="1290" w:type="pct"/>
                  <w:gridSpan w:val="2"/>
                  <w:tcBorders>
                    <w:top w:val="single" w:color="auto" w:sz="4" w:space="0"/>
                    <w:left w:val="nil"/>
                    <w:bottom w:val="single" w:color="auto" w:sz="4" w:space="0"/>
                    <w:right w:val="single" w:color="auto" w:sz="4" w:space="0"/>
                  </w:tcBorders>
                  <w:vAlign w:val="center"/>
                </w:tcPr>
                <w:p w14:paraId="00507B54">
                  <w:pPr>
                    <w:widowControl/>
                    <w:spacing w:line="240" w:lineRule="auto"/>
                    <w:ind w:firstLine="0" w:firstLineChars="0"/>
                    <w:jc w:val="center"/>
                    <w:rPr>
                      <w:rFonts w:eastAsia="等线" w:cs="Times New Roman"/>
                      <w:color w:val="auto"/>
                      <w:kern w:val="0"/>
                      <w:sz w:val="22"/>
                    </w:rPr>
                  </w:pPr>
                  <w:r>
                    <w:rPr>
                      <w:rFonts w:eastAsia="等线" w:cs="Times New Roman"/>
                      <w:color w:val="auto"/>
                      <w:kern w:val="0"/>
                      <w:sz w:val="22"/>
                    </w:rPr>
                    <w:t>117.06</w:t>
                  </w:r>
                </w:p>
              </w:tc>
            </w:tr>
          </w:tbl>
          <w:p w14:paraId="2AFD83C8">
            <w:pPr>
              <w:pStyle w:val="40"/>
              <w:spacing w:after="0"/>
              <w:ind w:left="0" w:leftChars="0" w:firstLine="0" w:firstLineChars="0"/>
              <w:rPr>
                <w:color w:val="auto"/>
              </w:rPr>
            </w:pPr>
            <w:r>
              <w:rPr>
                <w:color w:val="auto"/>
              </w:rPr>
              <w:t>注：</w:t>
            </w:r>
            <w:r>
              <w:rPr>
                <w:rFonts w:hint="eastAsia"/>
                <w:color w:val="auto"/>
              </w:rPr>
              <w:t>“</w:t>
            </w:r>
            <w:r>
              <w:rPr>
                <w:color w:val="auto"/>
              </w:rPr>
              <w:t>Ⅰ</w:t>
            </w:r>
            <w:r>
              <w:rPr>
                <w:rFonts w:hint="eastAsia"/>
                <w:color w:val="auto"/>
              </w:rPr>
              <w:t>”</w:t>
            </w:r>
            <w:r>
              <w:rPr>
                <w:color w:val="auto"/>
              </w:rPr>
              <w:t>表示植被型，</w:t>
            </w:r>
            <w:r>
              <w:rPr>
                <w:rFonts w:hint="eastAsia"/>
                <w:color w:val="auto"/>
              </w:rPr>
              <w:t>“（</w:t>
            </w:r>
            <w:r>
              <w:rPr>
                <w:color w:val="auto"/>
              </w:rPr>
              <w:t>Ⅰ</w:t>
            </w:r>
            <w:r>
              <w:rPr>
                <w:rFonts w:hint="eastAsia"/>
                <w:color w:val="auto"/>
              </w:rPr>
              <w:t>）”</w:t>
            </w:r>
            <w:r>
              <w:rPr>
                <w:color w:val="auto"/>
              </w:rPr>
              <w:t>表示植被亚型，</w:t>
            </w:r>
            <w:r>
              <w:rPr>
                <w:rFonts w:hint="eastAsia"/>
                <w:color w:val="auto"/>
              </w:rPr>
              <w:t>“</w:t>
            </w:r>
            <w:r>
              <w:rPr>
                <w:color w:val="auto"/>
              </w:rPr>
              <w:t>（</w:t>
            </w:r>
            <w:r>
              <w:rPr>
                <w:rFonts w:hint="eastAsia"/>
                <w:color w:val="auto"/>
              </w:rPr>
              <w:t>1</w:t>
            </w:r>
            <w:r>
              <w:rPr>
                <w:color w:val="auto"/>
              </w:rPr>
              <w:t>）</w:t>
            </w:r>
            <w:r>
              <w:rPr>
                <w:rFonts w:hint="eastAsia"/>
                <w:color w:val="auto"/>
              </w:rPr>
              <w:t>”</w:t>
            </w:r>
            <w:r>
              <w:rPr>
                <w:color w:val="auto"/>
              </w:rPr>
              <w:t>表示群系</w:t>
            </w:r>
          </w:p>
          <w:p w14:paraId="5AB55E7B">
            <w:pPr>
              <w:ind w:firstLine="482"/>
              <w:rPr>
                <w:b/>
                <w:color w:val="auto"/>
              </w:rPr>
            </w:pPr>
            <w:r>
              <w:rPr>
                <w:b/>
                <w:color w:val="auto"/>
              </w:rPr>
              <w:t>A自然植被</w:t>
            </w:r>
          </w:p>
          <w:p w14:paraId="7AF671D1">
            <w:pPr>
              <w:ind w:firstLine="480"/>
              <w:rPr>
                <w:color w:val="auto"/>
              </w:rPr>
            </w:pPr>
            <w:r>
              <w:rPr>
                <w:rFonts w:hint="eastAsia"/>
                <w:color w:val="auto"/>
              </w:rPr>
              <w:fldChar w:fldCharType="begin"/>
            </w:r>
            <w:r>
              <w:rPr>
                <w:rFonts w:hint="eastAsia"/>
                <w:color w:val="auto"/>
              </w:rPr>
              <w:instrText xml:space="preserve"> = 1 \* ROMAN \* MERGEFORMAT </w:instrText>
            </w:r>
            <w:r>
              <w:rPr>
                <w:rFonts w:hint="eastAsia"/>
                <w:color w:val="auto"/>
              </w:rPr>
              <w:fldChar w:fldCharType="separate"/>
            </w:r>
            <w:r>
              <w:rPr>
                <w:rFonts w:eastAsia="仿宋_GB2312"/>
                <w:color w:val="auto"/>
                <w:szCs w:val="20"/>
              </w:rPr>
              <w:t>I</w:t>
            </w:r>
            <w:r>
              <w:rPr>
                <w:rFonts w:hint="eastAsia"/>
                <w:color w:val="auto"/>
              </w:rPr>
              <w:fldChar w:fldCharType="end"/>
            </w:r>
            <w:r>
              <w:rPr>
                <w:rFonts w:hint="eastAsia"/>
                <w:color w:val="auto"/>
              </w:rPr>
              <w:t xml:space="preserve"> 暖性针叶林</w:t>
            </w:r>
          </w:p>
          <w:p w14:paraId="5B7956A9">
            <w:pPr>
              <w:ind w:firstLine="480"/>
              <w:rPr>
                <w:color w:val="auto"/>
              </w:rPr>
            </w:pPr>
            <w:r>
              <w:rPr>
                <w:color w:val="auto"/>
              </w:rPr>
              <w:t>（Ⅰ）</w:t>
            </w:r>
            <w:r>
              <w:rPr>
                <w:rFonts w:hint="eastAsia"/>
                <w:color w:val="auto"/>
              </w:rPr>
              <w:t>暖温性针叶林</w:t>
            </w:r>
          </w:p>
          <w:p w14:paraId="58FE756C">
            <w:pPr>
              <w:ind w:firstLine="424" w:firstLineChars="177"/>
              <w:rPr>
                <w:color w:val="auto"/>
                <w:highlight w:val="yellow"/>
              </w:rPr>
            </w:pPr>
            <w:r>
              <w:rPr>
                <w:rFonts w:hint="eastAsia"/>
                <w:color w:val="auto"/>
              </w:rPr>
              <w:t>暖温性针叶林是以用亚热带的针叶树种为优势的森林植被类型。在云南，主要包括云南松林、杉木林、滇油杉林、华山松林、翠柏林等。云南松是云南目前植被类型中分布面积最广的一种类型。评价区的暖温性针叶林分布较广，主要为以云南松为优势的云南松林。</w:t>
            </w:r>
          </w:p>
          <w:p w14:paraId="34EB9CE2">
            <w:pPr>
              <w:ind w:firstLine="424" w:firstLineChars="177"/>
              <w:rPr>
                <w:color w:val="auto"/>
              </w:rPr>
            </w:pPr>
            <w:r>
              <w:rPr>
                <w:color w:val="auto"/>
                <w:kern w:val="0"/>
              </w:rPr>
              <w:t>（</w:t>
            </w:r>
            <w:r>
              <w:rPr>
                <w:rFonts w:hint="eastAsia"/>
                <w:color w:val="auto"/>
                <w:kern w:val="0"/>
              </w:rPr>
              <w:t>1</w:t>
            </w:r>
            <w:r>
              <w:rPr>
                <w:color w:val="auto"/>
                <w:kern w:val="0"/>
              </w:rPr>
              <w:t>）</w:t>
            </w:r>
            <w:r>
              <w:rPr>
                <w:rFonts w:hint="eastAsia"/>
                <w:color w:val="auto"/>
              </w:rPr>
              <w:t>云南松林</w:t>
            </w:r>
          </w:p>
          <w:p w14:paraId="4DEE4C1D">
            <w:pPr>
              <w:ind w:firstLine="480"/>
              <w:rPr>
                <w:color w:val="auto"/>
              </w:rPr>
            </w:pPr>
            <w:r>
              <w:rPr>
                <w:color w:val="auto"/>
                <w:kern w:val="0"/>
              </w:rPr>
              <w:t>评价区内的云南松林群落高约</w:t>
            </w:r>
            <w:r>
              <w:rPr>
                <w:rFonts w:hint="eastAsia"/>
                <w:color w:val="auto"/>
                <w:kern w:val="0"/>
              </w:rPr>
              <w:t>5</w:t>
            </w:r>
            <w:r>
              <w:rPr>
                <w:color w:val="auto"/>
                <w:kern w:val="0"/>
              </w:rPr>
              <w:t>~</w:t>
            </w:r>
            <w:r>
              <w:rPr>
                <w:rFonts w:hint="eastAsia"/>
                <w:color w:val="auto"/>
                <w:kern w:val="0"/>
              </w:rPr>
              <w:t>10</w:t>
            </w:r>
            <w:r>
              <w:rPr>
                <w:color w:val="auto"/>
                <w:kern w:val="0"/>
              </w:rPr>
              <w:t>m，盖度约</w:t>
            </w:r>
            <w:r>
              <w:rPr>
                <w:rFonts w:hint="eastAsia"/>
                <w:color w:val="auto"/>
                <w:kern w:val="0"/>
              </w:rPr>
              <w:t>75</w:t>
            </w:r>
            <w:r>
              <w:rPr>
                <w:color w:val="auto"/>
                <w:kern w:val="0"/>
              </w:rPr>
              <w:t>％，群落可以分为乔木层、灌木层和草本层三层。乔木层高</w:t>
            </w:r>
            <w:r>
              <w:rPr>
                <w:rFonts w:hint="eastAsia"/>
                <w:color w:val="auto"/>
                <w:kern w:val="0"/>
              </w:rPr>
              <w:t>5</w:t>
            </w:r>
            <w:r>
              <w:rPr>
                <w:color w:val="auto"/>
                <w:kern w:val="0"/>
              </w:rPr>
              <w:t>~</w:t>
            </w:r>
            <w:r>
              <w:rPr>
                <w:rFonts w:hint="eastAsia"/>
                <w:color w:val="auto"/>
                <w:kern w:val="0"/>
              </w:rPr>
              <w:t>10</w:t>
            </w:r>
            <w:r>
              <w:rPr>
                <w:color w:val="auto"/>
                <w:kern w:val="0"/>
              </w:rPr>
              <w:t>m，层盖度在60%，以云南松</w:t>
            </w:r>
            <w:r>
              <w:rPr>
                <w:i/>
                <w:iCs/>
                <w:color w:val="auto"/>
                <w:kern w:val="0"/>
              </w:rPr>
              <w:t>Pinus yunnanensis</w:t>
            </w:r>
            <w:r>
              <w:rPr>
                <w:color w:val="auto"/>
                <w:kern w:val="0"/>
              </w:rPr>
              <w:t>为建群种和标志种，其它偶见有银木荷</w:t>
            </w:r>
            <w:r>
              <w:rPr>
                <w:i/>
                <w:iCs/>
                <w:color w:val="auto"/>
                <w:kern w:val="0"/>
              </w:rPr>
              <w:t>Schima argentea</w:t>
            </w:r>
            <w:r>
              <w:rPr>
                <w:color w:val="auto"/>
                <w:kern w:val="0"/>
              </w:rPr>
              <w:t>、华山松</w:t>
            </w:r>
            <w:r>
              <w:rPr>
                <w:i/>
                <w:iCs/>
                <w:color w:val="auto"/>
                <w:kern w:val="0"/>
              </w:rPr>
              <w:t>Pinus armandi</w:t>
            </w:r>
            <w:r>
              <w:rPr>
                <w:color w:val="auto"/>
                <w:kern w:val="0"/>
              </w:rPr>
              <w:t>等；灌木层高约1~</w:t>
            </w:r>
            <w:r>
              <w:rPr>
                <w:rFonts w:hint="eastAsia"/>
                <w:color w:val="auto"/>
                <w:kern w:val="0"/>
              </w:rPr>
              <w:t>3</w:t>
            </w:r>
            <w:r>
              <w:rPr>
                <w:color w:val="auto"/>
                <w:kern w:val="0"/>
              </w:rPr>
              <w:t>m，极稀疏，层盖度在15%。灌木层主要树种为云南松的幼树，其他灌木有华西小石积</w:t>
            </w:r>
            <w:r>
              <w:rPr>
                <w:i/>
                <w:color w:val="auto"/>
                <w:kern w:val="0"/>
              </w:rPr>
              <w:t>Osteomeles schwerinae</w:t>
            </w:r>
            <w:r>
              <w:rPr>
                <w:color w:val="auto"/>
                <w:kern w:val="0"/>
              </w:rPr>
              <w:t>、马桑</w:t>
            </w:r>
            <w:r>
              <w:rPr>
                <w:i/>
                <w:iCs/>
                <w:color w:val="auto"/>
                <w:kern w:val="0"/>
              </w:rPr>
              <w:t>Coriaria nepalensis</w:t>
            </w:r>
            <w:r>
              <w:rPr>
                <w:color w:val="auto"/>
                <w:kern w:val="0"/>
              </w:rPr>
              <w:t>、铁仔</w:t>
            </w:r>
            <w:r>
              <w:rPr>
                <w:i/>
                <w:iCs/>
                <w:color w:val="auto"/>
                <w:kern w:val="0"/>
              </w:rPr>
              <w:t>Myrsine africana</w:t>
            </w:r>
            <w:r>
              <w:rPr>
                <w:color w:val="auto"/>
                <w:kern w:val="0"/>
              </w:rPr>
              <w:t>、地檀香</w:t>
            </w:r>
            <w:r>
              <w:rPr>
                <w:i/>
                <w:iCs/>
                <w:color w:val="auto"/>
                <w:kern w:val="0"/>
              </w:rPr>
              <w:t>Gaultheria forrestii</w:t>
            </w:r>
            <w:r>
              <w:rPr>
                <w:color w:val="auto"/>
                <w:kern w:val="0"/>
              </w:rPr>
              <w:t>、</w:t>
            </w:r>
            <w:r>
              <w:rPr>
                <w:iCs/>
                <w:color w:val="auto"/>
                <w:kern w:val="0"/>
              </w:rPr>
              <w:t>厚皮香</w:t>
            </w:r>
            <w:r>
              <w:rPr>
                <w:i/>
                <w:color w:val="auto"/>
                <w:kern w:val="0"/>
              </w:rPr>
              <w:t xml:space="preserve"> Ternstroemia gymnanthera 、</w:t>
            </w:r>
            <w:r>
              <w:rPr>
                <w:color w:val="auto"/>
                <w:kern w:val="0"/>
              </w:rPr>
              <w:t>西南杭子梢</w:t>
            </w:r>
            <w:r>
              <w:rPr>
                <w:i/>
                <w:color w:val="auto"/>
                <w:kern w:val="0"/>
              </w:rPr>
              <w:t>Campylotropis delavayi</w:t>
            </w:r>
            <w:r>
              <w:rPr>
                <w:color w:val="auto"/>
                <w:kern w:val="0"/>
              </w:rPr>
              <w:t>、车桑子</w:t>
            </w:r>
            <w:r>
              <w:rPr>
                <w:i/>
                <w:color w:val="auto"/>
                <w:kern w:val="0"/>
              </w:rPr>
              <w:t>Osteomeles schwerinae</w:t>
            </w:r>
            <w:r>
              <w:rPr>
                <w:color w:val="auto"/>
                <w:kern w:val="0"/>
              </w:rPr>
              <w:t>、网叶木蓝</w:t>
            </w:r>
            <w:r>
              <w:rPr>
                <w:i/>
                <w:iCs/>
                <w:color w:val="auto"/>
                <w:kern w:val="0"/>
              </w:rPr>
              <w:t>Indigofera reticulata</w:t>
            </w:r>
            <w:r>
              <w:rPr>
                <w:color w:val="auto"/>
                <w:kern w:val="0"/>
              </w:rPr>
              <w:t>、</w:t>
            </w:r>
            <w:r>
              <w:rPr>
                <w:iCs/>
                <w:color w:val="auto"/>
                <w:kern w:val="0"/>
              </w:rPr>
              <w:t>地果</w:t>
            </w:r>
            <w:r>
              <w:rPr>
                <w:i/>
                <w:color w:val="auto"/>
                <w:kern w:val="0"/>
              </w:rPr>
              <w:t>Ficus tikoua</w:t>
            </w:r>
            <w:r>
              <w:rPr>
                <w:color w:val="auto"/>
                <w:kern w:val="0"/>
              </w:rPr>
              <w:t>等；草本层高多在1m以下，层盖度约15%，主要物种有</w:t>
            </w:r>
            <w:r>
              <w:rPr>
                <w:color w:val="auto"/>
                <w:kern w:val="0"/>
                <w:lang w:val="fr-FR"/>
              </w:rPr>
              <w:t>刺芒野古草</w:t>
            </w:r>
            <w:r>
              <w:rPr>
                <w:i/>
                <w:iCs/>
                <w:color w:val="auto"/>
                <w:kern w:val="0"/>
                <w:lang w:val="fr-FR"/>
              </w:rPr>
              <w:t>Arundinella setosa</w:t>
            </w:r>
            <w:r>
              <w:rPr>
                <w:color w:val="auto"/>
                <w:kern w:val="0"/>
              </w:rPr>
              <w:t>、</w:t>
            </w:r>
            <w:r>
              <w:rPr>
                <w:color w:val="auto"/>
                <w:kern w:val="0"/>
                <w:lang w:val="fr-FR"/>
              </w:rPr>
              <w:t>野拔子</w:t>
            </w:r>
            <w:r>
              <w:rPr>
                <w:i/>
                <w:iCs/>
                <w:color w:val="auto"/>
                <w:kern w:val="0"/>
                <w:lang w:val="fr-FR"/>
              </w:rPr>
              <w:t>Elsholtzia rugulosa</w:t>
            </w:r>
            <w:r>
              <w:rPr>
                <w:color w:val="auto"/>
                <w:kern w:val="0"/>
              </w:rPr>
              <w:t>、碎米莎草</w:t>
            </w:r>
            <w:r>
              <w:rPr>
                <w:i/>
                <w:iCs/>
                <w:color w:val="auto"/>
                <w:kern w:val="0"/>
              </w:rPr>
              <w:t>Cyperus iria</w:t>
            </w:r>
            <w:r>
              <w:rPr>
                <w:color w:val="auto"/>
                <w:kern w:val="0"/>
              </w:rPr>
              <w:t>、黄茅</w:t>
            </w:r>
            <w:r>
              <w:rPr>
                <w:i/>
                <w:iCs/>
                <w:color w:val="auto"/>
                <w:kern w:val="0"/>
              </w:rPr>
              <w:t>Heteropogon contortus、</w:t>
            </w:r>
            <w:r>
              <w:rPr>
                <w:color w:val="auto"/>
                <w:kern w:val="0"/>
              </w:rPr>
              <w:t>蕨</w:t>
            </w:r>
            <w:r>
              <w:rPr>
                <w:i/>
                <w:iCs/>
                <w:color w:val="auto"/>
                <w:kern w:val="0"/>
              </w:rPr>
              <w:t>Pteridium aquilinum var. latiusculum</w:t>
            </w:r>
            <w:r>
              <w:rPr>
                <w:color w:val="auto"/>
                <w:kern w:val="0"/>
              </w:rPr>
              <w:t>、艾蒿</w:t>
            </w:r>
            <w:r>
              <w:rPr>
                <w:i/>
                <w:iCs/>
                <w:color w:val="auto"/>
                <w:kern w:val="0"/>
              </w:rPr>
              <w:t>Artemisia japonica、</w:t>
            </w:r>
            <w:r>
              <w:rPr>
                <w:color w:val="auto"/>
                <w:kern w:val="0"/>
              </w:rPr>
              <w:t>华火绒草</w:t>
            </w:r>
            <w:r>
              <w:rPr>
                <w:i/>
                <w:iCs/>
                <w:color w:val="auto"/>
                <w:kern w:val="0"/>
              </w:rPr>
              <w:t>Leontopodium sinense、</w:t>
            </w:r>
            <w:r>
              <w:rPr>
                <w:color w:val="auto"/>
                <w:kern w:val="0"/>
              </w:rPr>
              <w:t>画眉草</w:t>
            </w:r>
            <w:r>
              <w:rPr>
                <w:i/>
                <w:iCs/>
                <w:color w:val="auto"/>
                <w:kern w:val="0"/>
              </w:rPr>
              <w:t>Eragrosyis pilose</w:t>
            </w:r>
            <w:r>
              <w:rPr>
                <w:color w:val="auto"/>
                <w:kern w:val="0"/>
              </w:rPr>
              <w:t>、五节芒</w:t>
            </w:r>
            <w:r>
              <w:rPr>
                <w:i/>
                <w:iCs/>
                <w:color w:val="auto"/>
                <w:kern w:val="0"/>
              </w:rPr>
              <w:t>Miscanthus floridulus</w:t>
            </w:r>
            <w:r>
              <w:rPr>
                <w:color w:val="auto"/>
                <w:kern w:val="0"/>
              </w:rPr>
              <w:t>、知风草</w:t>
            </w:r>
            <w:r>
              <w:rPr>
                <w:i/>
                <w:iCs/>
                <w:color w:val="auto"/>
                <w:kern w:val="0"/>
              </w:rPr>
              <w:t>Eragrostis ferruginea</w:t>
            </w:r>
            <w:r>
              <w:rPr>
                <w:color w:val="auto"/>
                <w:kern w:val="0"/>
              </w:rPr>
              <w:t>、荩草</w:t>
            </w:r>
            <w:r>
              <w:rPr>
                <w:i/>
                <w:iCs/>
                <w:color w:val="auto"/>
                <w:kern w:val="0"/>
              </w:rPr>
              <w:t>Arthraxon hispidus</w:t>
            </w:r>
            <w:r>
              <w:rPr>
                <w:color w:val="auto"/>
                <w:kern w:val="0"/>
              </w:rPr>
              <w:t>等组成。</w:t>
            </w:r>
          </w:p>
          <w:p w14:paraId="49EACF59">
            <w:pPr>
              <w:widowControl/>
              <w:ind w:firstLine="480"/>
              <w:rPr>
                <w:color w:val="auto"/>
                <w:kern w:val="0"/>
              </w:rPr>
            </w:pPr>
            <w:r>
              <w:rPr>
                <w:color w:val="auto"/>
                <w:kern w:val="0"/>
              </w:rPr>
              <w:t>Ⅱ</w:t>
            </w:r>
            <w:r>
              <w:rPr>
                <w:rFonts w:hint="eastAsia"/>
                <w:color w:val="auto"/>
                <w:kern w:val="0"/>
              </w:rPr>
              <w:t xml:space="preserve"> 灌丛</w:t>
            </w:r>
          </w:p>
          <w:p w14:paraId="502168DD">
            <w:pPr>
              <w:widowControl/>
              <w:ind w:firstLine="480"/>
              <w:rPr>
                <w:color w:val="auto"/>
                <w:kern w:val="0"/>
              </w:rPr>
            </w:pPr>
            <w:r>
              <w:rPr>
                <w:rFonts w:hint="eastAsia"/>
                <w:color w:val="auto"/>
                <w:kern w:val="0"/>
              </w:rPr>
              <w:t>（</w:t>
            </w:r>
            <w:r>
              <w:rPr>
                <w:color w:val="auto"/>
                <w:kern w:val="0"/>
              </w:rPr>
              <w:t>Ⅰ</w:t>
            </w:r>
            <w:r>
              <w:rPr>
                <w:rFonts w:hint="eastAsia"/>
                <w:color w:val="auto"/>
                <w:kern w:val="0"/>
              </w:rPr>
              <w:t>）暖性石灰岩灌丛</w:t>
            </w:r>
          </w:p>
          <w:p w14:paraId="2CC0D6D4">
            <w:pPr>
              <w:widowControl/>
              <w:ind w:firstLine="480"/>
              <w:rPr>
                <w:color w:val="auto"/>
                <w:kern w:val="0"/>
                <w:highlight w:val="yellow"/>
              </w:rPr>
            </w:pPr>
            <w:r>
              <w:rPr>
                <w:rFonts w:hint="eastAsia"/>
                <w:color w:val="auto"/>
                <w:kern w:val="0"/>
              </w:rPr>
              <w:t>（1）</w:t>
            </w:r>
            <w:r>
              <w:rPr>
                <w:color w:val="auto"/>
                <w:kern w:val="0"/>
              </w:rPr>
              <w:t>云南松</w:t>
            </w:r>
            <w:r>
              <w:rPr>
                <w:rFonts w:hint="eastAsia"/>
                <w:color w:val="auto"/>
                <w:kern w:val="0"/>
              </w:rPr>
              <w:t>萌生</w:t>
            </w:r>
            <w:r>
              <w:rPr>
                <w:color w:val="auto"/>
                <w:kern w:val="0"/>
              </w:rPr>
              <w:t>灌丛</w:t>
            </w:r>
          </w:p>
          <w:p w14:paraId="7CFE561C">
            <w:pPr>
              <w:widowControl/>
              <w:adjustRightInd w:val="0"/>
              <w:snapToGrid w:val="0"/>
              <w:ind w:firstLine="480"/>
              <w:rPr>
                <w:color w:val="auto"/>
                <w:kern w:val="0"/>
              </w:rPr>
            </w:pPr>
            <w:r>
              <w:rPr>
                <w:color w:val="auto"/>
                <w:kern w:val="0"/>
              </w:rPr>
              <w:t>该群落评价区常见，群落高1.5m左右。群落总盖度约</w:t>
            </w:r>
            <w:r>
              <w:rPr>
                <w:rFonts w:hint="eastAsia"/>
                <w:color w:val="auto"/>
                <w:kern w:val="0"/>
              </w:rPr>
              <w:t>40~65</w:t>
            </w:r>
            <w:r>
              <w:rPr>
                <w:color w:val="auto"/>
                <w:kern w:val="0"/>
              </w:rPr>
              <w:t>%，可分为灌木层和草本层。灌木层高约2m，层盖度50%左右，以云南松</w:t>
            </w:r>
            <w:r>
              <w:rPr>
                <w:i/>
                <w:iCs/>
                <w:color w:val="auto"/>
                <w:kern w:val="0"/>
              </w:rPr>
              <w:t>Pinus yunnanensis</w:t>
            </w:r>
            <w:r>
              <w:rPr>
                <w:color w:val="auto"/>
                <w:kern w:val="0"/>
              </w:rPr>
              <w:t>为优势，伴有珍珠花</w:t>
            </w:r>
            <w:r>
              <w:rPr>
                <w:i/>
                <w:iCs/>
                <w:color w:val="auto"/>
                <w:kern w:val="0"/>
              </w:rPr>
              <w:t>Lyonia ovalifolia</w:t>
            </w:r>
            <w:r>
              <w:rPr>
                <w:i/>
                <w:color w:val="auto"/>
                <w:kern w:val="0"/>
              </w:rPr>
              <w:t>、</w:t>
            </w:r>
            <w:r>
              <w:rPr>
                <w:color w:val="auto"/>
                <w:kern w:val="0"/>
              </w:rPr>
              <w:t>华西小石积</w:t>
            </w:r>
            <w:r>
              <w:rPr>
                <w:i/>
                <w:color w:val="auto"/>
                <w:kern w:val="0"/>
              </w:rPr>
              <w:t>Osteomeles</w:t>
            </w:r>
            <w:r>
              <w:rPr>
                <w:color w:val="auto"/>
                <w:kern w:val="0"/>
              </w:rPr>
              <w:t xml:space="preserve"> </w:t>
            </w:r>
            <w:r>
              <w:rPr>
                <w:i/>
                <w:color w:val="auto"/>
                <w:kern w:val="0"/>
              </w:rPr>
              <w:t>schwerinae、</w:t>
            </w:r>
            <w:r>
              <w:rPr>
                <w:color w:val="auto"/>
                <w:kern w:val="0"/>
              </w:rPr>
              <w:t>车桑子</w:t>
            </w:r>
            <w:r>
              <w:rPr>
                <w:i/>
                <w:color w:val="auto"/>
                <w:kern w:val="0"/>
              </w:rPr>
              <w:t>Osteomeles schwerinae、</w:t>
            </w:r>
            <w:r>
              <w:rPr>
                <w:iCs/>
                <w:color w:val="auto"/>
                <w:kern w:val="0"/>
              </w:rPr>
              <w:t>厚皮香</w:t>
            </w:r>
            <w:r>
              <w:rPr>
                <w:i/>
                <w:color w:val="auto"/>
                <w:kern w:val="0"/>
              </w:rPr>
              <w:t>Ternstroemia gymnanthera 、</w:t>
            </w:r>
            <w:r>
              <w:rPr>
                <w:color w:val="auto"/>
                <w:kern w:val="0"/>
              </w:rPr>
              <w:t>芒种花</w:t>
            </w:r>
            <w:r>
              <w:rPr>
                <w:i/>
                <w:iCs/>
                <w:color w:val="auto"/>
                <w:kern w:val="0"/>
              </w:rPr>
              <w:t>Hypericum</w:t>
            </w:r>
            <w:r>
              <w:rPr>
                <w:iCs/>
                <w:color w:val="auto"/>
                <w:kern w:val="0"/>
              </w:rPr>
              <w:t xml:space="preserve"> </w:t>
            </w:r>
            <w:r>
              <w:rPr>
                <w:i/>
                <w:iCs/>
                <w:color w:val="auto"/>
                <w:kern w:val="0"/>
              </w:rPr>
              <w:t>uralum、</w:t>
            </w:r>
            <w:r>
              <w:rPr>
                <w:color w:val="auto"/>
                <w:kern w:val="0"/>
              </w:rPr>
              <w:t>铁仔</w:t>
            </w:r>
            <w:r>
              <w:rPr>
                <w:i/>
                <w:iCs/>
                <w:color w:val="auto"/>
                <w:kern w:val="0"/>
              </w:rPr>
              <w:t>Myrsine africana</w:t>
            </w:r>
            <w:r>
              <w:rPr>
                <w:color w:val="auto"/>
                <w:kern w:val="0"/>
              </w:rPr>
              <w:t>等种类。</w:t>
            </w:r>
          </w:p>
          <w:p w14:paraId="443A5ADF">
            <w:pPr>
              <w:widowControl/>
              <w:adjustRightInd w:val="0"/>
              <w:snapToGrid w:val="0"/>
              <w:ind w:firstLine="480"/>
              <w:rPr>
                <w:color w:val="auto"/>
                <w:kern w:val="0"/>
              </w:rPr>
            </w:pPr>
            <w:r>
              <w:rPr>
                <w:color w:val="auto"/>
                <w:kern w:val="0"/>
              </w:rPr>
              <w:t>草本层高度0.1~0.8m、因坡向等生境及受人为干扰的程度不同，层盖度30~40%不等，常见的有</w:t>
            </w:r>
            <w:r>
              <w:rPr>
                <w:color w:val="auto"/>
                <w:kern w:val="0"/>
                <w:lang w:val="fr-FR"/>
              </w:rPr>
              <w:t>刺芒野古草</w:t>
            </w:r>
            <w:r>
              <w:rPr>
                <w:i/>
                <w:iCs/>
                <w:color w:val="auto"/>
                <w:kern w:val="0"/>
                <w:lang w:val="fr-FR"/>
              </w:rPr>
              <w:t>Arundinella setosa</w:t>
            </w:r>
            <w:r>
              <w:rPr>
                <w:color w:val="auto"/>
                <w:kern w:val="0"/>
              </w:rPr>
              <w:t>、</w:t>
            </w:r>
            <w:r>
              <w:rPr>
                <w:color w:val="auto"/>
                <w:kern w:val="0"/>
                <w:lang w:val="fr-FR"/>
              </w:rPr>
              <w:t>紫茎泽兰</w:t>
            </w:r>
            <w:r>
              <w:rPr>
                <w:i/>
                <w:iCs/>
                <w:color w:val="auto"/>
                <w:kern w:val="0"/>
                <w:lang w:val="fr-FR"/>
              </w:rPr>
              <w:t>Ageratina adenophora</w:t>
            </w:r>
            <w:r>
              <w:rPr>
                <w:color w:val="auto"/>
                <w:kern w:val="0"/>
              </w:rPr>
              <w:t>、黄茅</w:t>
            </w:r>
            <w:r>
              <w:rPr>
                <w:i/>
                <w:iCs/>
                <w:color w:val="auto"/>
                <w:kern w:val="0"/>
              </w:rPr>
              <w:t>Heteropogon contortus、</w:t>
            </w:r>
            <w:r>
              <w:rPr>
                <w:color w:val="auto"/>
                <w:kern w:val="0"/>
              </w:rPr>
              <w:t>狗牙根</w:t>
            </w:r>
            <w:r>
              <w:rPr>
                <w:i/>
                <w:color w:val="auto"/>
                <w:kern w:val="0"/>
              </w:rPr>
              <w:t>Cynodon dactylon</w:t>
            </w:r>
            <w:r>
              <w:rPr>
                <w:color w:val="auto"/>
                <w:kern w:val="0"/>
              </w:rPr>
              <w:t>、白茅</w:t>
            </w:r>
            <w:r>
              <w:rPr>
                <w:i/>
                <w:iCs/>
                <w:color w:val="auto"/>
                <w:kern w:val="0"/>
              </w:rPr>
              <w:t>Imperata cylindica</w:t>
            </w:r>
            <w:r>
              <w:rPr>
                <w:color w:val="auto"/>
                <w:kern w:val="0"/>
              </w:rPr>
              <w:t>、细知风草</w:t>
            </w:r>
            <w:r>
              <w:rPr>
                <w:i/>
                <w:iCs/>
                <w:color w:val="auto"/>
                <w:kern w:val="0"/>
              </w:rPr>
              <w:t>Eragrostis ferruginea</w:t>
            </w:r>
            <w:r>
              <w:rPr>
                <w:color w:val="auto"/>
                <w:kern w:val="0"/>
              </w:rPr>
              <w:t>、硬杆子草</w:t>
            </w:r>
            <w:r>
              <w:rPr>
                <w:i/>
                <w:color w:val="auto"/>
                <w:kern w:val="0"/>
              </w:rPr>
              <w:t>Capillipedium assimile</w:t>
            </w:r>
            <w:r>
              <w:rPr>
                <w:color w:val="auto"/>
                <w:kern w:val="0"/>
              </w:rPr>
              <w:t>、荩草</w:t>
            </w:r>
            <w:r>
              <w:rPr>
                <w:i/>
                <w:iCs/>
                <w:color w:val="auto"/>
                <w:kern w:val="0"/>
              </w:rPr>
              <w:t>Arthraxon hispidus</w:t>
            </w:r>
            <w:r>
              <w:rPr>
                <w:color w:val="auto"/>
                <w:kern w:val="0"/>
              </w:rPr>
              <w:t>、三芒草</w:t>
            </w:r>
            <w:r>
              <w:rPr>
                <w:i/>
                <w:iCs/>
                <w:color w:val="auto"/>
                <w:kern w:val="0"/>
              </w:rPr>
              <w:t>Aristida adscensionis</w:t>
            </w:r>
            <w:r>
              <w:rPr>
                <w:iCs/>
                <w:color w:val="auto"/>
                <w:kern w:val="0"/>
              </w:rPr>
              <w:t>等</w:t>
            </w:r>
            <w:r>
              <w:rPr>
                <w:color w:val="auto"/>
                <w:kern w:val="0"/>
              </w:rPr>
              <w:t>。</w:t>
            </w:r>
          </w:p>
          <w:p w14:paraId="0DBCE9AB">
            <w:pPr>
              <w:widowControl/>
              <w:ind w:firstLine="480"/>
              <w:rPr>
                <w:color w:val="auto"/>
                <w:kern w:val="0"/>
              </w:rPr>
            </w:pPr>
            <w:r>
              <w:rPr>
                <w:rFonts w:hint="eastAsia"/>
                <w:color w:val="auto"/>
                <w:kern w:val="0"/>
              </w:rPr>
              <w:t>III 稀树灌木草丛</w:t>
            </w:r>
          </w:p>
          <w:p w14:paraId="235CF1A1">
            <w:pPr>
              <w:widowControl/>
              <w:ind w:firstLine="480"/>
              <w:rPr>
                <w:color w:val="auto"/>
                <w:kern w:val="0"/>
              </w:rPr>
            </w:pPr>
            <w:r>
              <w:rPr>
                <w:rFonts w:hint="eastAsia"/>
                <w:color w:val="auto"/>
                <w:kern w:val="0"/>
              </w:rPr>
              <w:t>（</w:t>
            </w:r>
            <w:r>
              <w:rPr>
                <w:color w:val="auto"/>
                <w:kern w:val="0"/>
              </w:rPr>
              <w:t>Ⅰ</w:t>
            </w:r>
            <w:r>
              <w:rPr>
                <w:rFonts w:hint="eastAsia"/>
                <w:color w:val="auto"/>
                <w:kern w:val="0"/>
              </w:rPr>
              <w:t>）暖温性稀树灌木草丛</w:t>
            </w:r>
          </w:p>
          <w:p w14:paraId="3FAE8348">
            <w:pPr>
              <w:widowControl/>
              <w:ind w:firstLine="480" w:firstLineChars="0"/>
              <w:rPr>
                <w:color w:val="auto"/>
                <w:kern w:val="0"/>
              </w:rPr>
            </w:pPr>
            <w:r>
              <w:rPr>
                <w:rFonts w:hint="eastAsia"/>
                <w:color w:val="auto"/>
                <w:kern w:val="0"/>
              </w:rPr>
              <w:t>（1）</w:t>
            </w:r>
            <w:r>
              <w:rPr>
                <w:color w:val="auto"/>
                <w:kern w:val="0"/>
              </w:rPr>
              <w:t>含云南松、野古草草丛</w:t>
            </w:r>
          </w:p>
          <w:p w14:paraId="24EF3A2C">
            <w:pPr>
              <w:widowControl/>
              <w:adjustRightInd w:val="0"/>
              <w:snapToGrid w:val="0"/>
              <w:ind w:firstLine="480"/>
              <w:rPr>
                <w:color w:val="auto"/>
                <w:kern w:val="0"/>
              </w:rPr>
            </w:pPr>
            <w:r>
              <w:rPr>
                <w:snapToGrid w:val="0"/>
                <w:color w:val="auto"/>
                <w:kern w:val="0"/>
              </w:rPr>
              <w:t>评价区的稀树灌木草丛属暖温性稀树灌木草丛。暖温性稀树灌木草丛广泛分布于云南的中部、北部、西北部、东北部及东南部的广大山地上，是云南高原500m～2500m的海拔地段上广布的植被，分布区域的气候一般为暖温性山地气候。</w:t>
            </w:r>
          </w:p>
          <w:p w14:paraId="08977BBC">
            <w:pPr>
              <w:widowControl/>
              <w:adjustRightInd w:val="0"/>
              <w:snapToGrid w:val="0"/>
              <w:ind w:firstLine="480"/>
              <w:rPr>
                <w:color w:val="auto"/>
                <w:kern w:val="0"/>
              </w:rPr>
            </w:pPr>
            <w:r>
              <w:rPr>
                <w:color w:val="auto"/>
                <w:kern w:val="0"/>
              </w:rPr>
              <w:t>该群系是在评价区内较为常见，群落组成变化很大，过渡性较强，常与灌丛混生。群落高度通常在2~5m，</w:t>
            </w:r>
            <w:r>
              <w:rPr>
                <w:iCs/>
                <w:color w:val="auto"/>
                <w:kern w:val="0"/>
              </w:rPr>
              <w:t>总</w:t>
            </w:r>
            <w:r>
              <w:rPr>
                <w:color w:val="auto"/>
                <w:kern w:val="0"/>
              </w:rPr>
              <w:t>盖度大约</w:t>
            </w:r>
            <w:r>
              <w:rPr>
                <w:rFonts w:hint="eastAsia"/>
                <w:color w:val="auto"/>
                <w:kern w:val="0"/>
              </w:rPr>
              <w:t>50</w:t>
            </w:r>
            <w:r>
              <w:rPr>
                <w:color w:val="auto"/>
                <w:kern w:val="0"/>
              </w:rPr>
              <w:t>%。乔木层高度3-5m，盖度为10%左右。</w:t>
            </w:r>
            <w:r>
              <w:rPr>
                <w:rFonts w:hint="eastAsia"/>
                <w:color w:val="auto"/>
                <w:kern w:val="0"/>
              </w:rPr>
              <w:t>主要为</w:t>
            </w:r>
            <w:r>
              <w:rPr>
                <w:color w:val="auto"/>
                <w:kern w:val="0"/>
              </w:rPr>
              <w:t>云南松</w:t>
            </w:r>
            <w:r>
              <w:rPr>
                <w:i/>
                <w:iCs/>
                <w:color w:val="auto"/>
                <w:kern w:val="0"/>
              </w:rPr>
              <w:t>Pinus yunnanensis</w:t>
            </w:r>
            <w:r>
              <w:rPr>
                <w:rFonts w:hint="eastAsia"/>
                <w:color w:val="auto"/>
                <w:kern w:val="0"/>
              </w:rPr>
              <w:t>和</w:t>
            </w:r>
            <w:r>
              <w:rPr>
                <w:color w:val="auto"/>
                <w:kern w:val="0"/>
              </w:rPr>
              <w:t>华山松</w:t>
            </w:r>
            <w:r>
              <w:rPr>
                <w:i/>
                <w:iCs/>
                <w:color w:val="auto"/>
                <w:kern w:val="0"/>
              </w:rPr>
              <w:t>Pinus armandi</w:t>
            </w:r>
            <w:r>
              <w:rPr>
                <w:color w:val="auto"/>
                <w:kern w:val="0"/>
              </w:rPr>
              <w:t>。</w:t>
            </w:r>
          </w:p>
          <w:p w14:paraId="3672954B">
            <w:pPr>
              <w:widowControl/>
              <w:adjustRightInd w:val="0"/>
              <w:snapToGrid w:val="0"/>
              <w:ind w:firstLine="480"/>
              <w:rPr>
                <w:color w:val="auto"/>
                <w:kern w:val="0"/>
                <w:lang w:val="fr-FR"/>
              </w:rPr>
            </w:pPr>
            <w:r>
              <w:rPr>
                <w:iCs/>
                <w:color w:val="auto"/>
                <w:kern w:val="0"/>
              </w:rPr>
              <w:t>灌木层高在1-</w:t>
            </w:r>
            <w:r>
              <w:rPr>
                <w:rFonts w:hint="eastAsia"/>
                <w:iCs/>
                <w:color w:val="auto"/>
                <w:kern w:val="0"/>
              </w:rPr>
              <w:t>3</w:t>
            </w:r>
            <w:r>
              <w:rPr>
                <w:iCs/>
                <w:color w:val="auto"/>
                <w:kern w:val="0"/>
              </w:rPr>
              <w:t>m左右，盖度在30%左右。常见种类有</w:t>
            </w:r>
            <w:r>
              <w:rPr>
                <w:color w:val="auto"/>
                <w:kern w:val="0"/>
              </w:rPr>
              <w:t>马桑</w:t>
            </w:r>
            <w:r>
              <w:rPr>
                <w:i/>
                <w:color w:val="auto"/>
                <w:kern w:val="0"/>
              </w:rPr>
              <w:t>Coriaria nepalensis</w:t>
            </w:r>
            <w:r>
              <w:rPr>
                <w:color w:val="auto"/>
                <w:kern w:val="0"/>
              </w:rPr>
              <w:t>、车桑子</w:t>
            </w:r>
            <w:r>
              <w:rPr>
                <w:i/>
                <w:color w:val="auto"/>
                <w:kern w:val="0"/>
              </w:rPr>
              <w:t>Osteomeles schwerinae、</w:t>
            </w:r>
            <w:r>
              <w:rPr>
                <w:color w:val="auto"/>
                <w:kern w:val="0"/>
              </w:rPr>
              <w:t>华西小石积</w:t>
            </w:r>
            <w:r>
              <w:rPr>
                <w:i/>
                <w:color w:val="auto"/>
                <w:kern w:val="0"/>
                <w:lang w:val="fr-FR"/>
              </w:rPr>
              <w:t>Osteomeles schwerinae</w:t>
            </w:r>
            <w:r>
              <w:rPr>
                <w:color w:val="auto"/>
                <w:kern w:val="0"/>
              </w:rPr>
              <w:t>、西南杭子梢</w:t>
            </w:r>
            <w:r>
              <w:rPr>
                <w:i/>
                <w:color w:val="auto"/>
                <w:kern w:val="0"/>
              </w:rPr>
              <w:t>Campylotropis delavayi</w:t>
            </w:r>
            <w:r>
              <w:rPr>
                <w:color w:val="auto"/>
                <w:kern w:val="0"/>
              </w:rPr>
              <w:t>、地檀香</w:t>
            </w:r>
            <w:r>
              <w:rPr>
                <w:i/>
                <w:iCs/>
                <w:color w:val="auto"/>
                <w:kern w:val="0"/>
              </w:rPr>
              <w:t>Gaultheria forrestii</w:t>
            </w:r>
            <w:r>
              <w:rPr>
                <w:color w:val="auto"/>
                <w:kern w:val="0"/>
              </w:rPr>
              <w:t>等。</w:t>
            </w:r>
          </w:p>
          <w:p w14:paraId="64D62859">
            <w:pPr>
              <w:widowControl/>
              <w:adjustRightInd w:val="0"/>
              <w:snapToGrid w:val="0"/>
              <w:ind w:firstLine="480"/>
              <w:rPr>
                <w:color w:val="auto"/>
                <w:kern w:val="0"/>
                <w:lang w:val="fr-FR"/>
              </w:rPr>
            </w:pPr>
            <w:r>
              <w:rPr>
                <w:color w:val="auto"/>
                <w:kern w:val="0"/>
              </w:rPr>
              <w:t>草本层高</w:t>
            </w:r>
            <w:r>
              <w:rPr>
                <w:color w:val="auto"/>
                <w:kern w:val="0"/>
                <w:lang w:val="fr-FR"/>
              </w:rPr>
              <w:t>0.4</w:t>
            </w:r>
            <w:r>
              <w:rPr>
                <w:color w:val="auto"/>
                <w:kern w:val="0"/>
              </w:rPr>
              <w:t>米左右</w:t>
            </w:r>
            <w:r>
              <w:rPr>
                <w:color w:val="auto"/>
                <w:kern w:val="0"/>
                <w:lang w:val="fr-FR"/>
              </w:rPr>
              <w:t>，</w:t>
            </w:r>
            <w:r>
              <w:rPr>
                <w:color w:val="auto"/>
                <w:kern w:val="0"/>
              </w:rPr>
              <w:t>盖度在</w:t>
            </w:r>
            <w:r>
              <w:rPr>
                <w:color w:val="auto"/>
                <w:kern w:val="0"/>
                <w:lang w:val="fr-FR"/>
              </w:rPr>
              <w:t>50%</w:t>
            </w:r>
            <w:r>
              <w:rPr>
                <w:color w:val="auto"/>
                <w:kern w:val="0"/>
              </w:rPr>
              <w:t>左右</w:t>
            </w:r>
            <w:r>
              <w:rPr>
                <w:color w:val="auto"/>
                <w:kern w:val="0"/>
                <w:lang w:val="fr-FR"/>
              </w:rPr>
              <w:t>，</w:t>
            </w:r>
            <w:r>
              <w:rPr>
                <w:color w:val="auto"/>
                <w:kern w:val="0"/>
              </w:rPr>
              <w:t>主要物种有</w:t>
            </w:r>
            <w:r>
              <w:rPr>
                <w:color w:val="auto"/>
                <w:kern w:val="0"/>
                <w:lang w:val="fr-FR"/>
              </w:rPr>
              <w:t>：刺芒野古草</w:t>
            </w:r>
            <w:r>
              <w:rPr>
                <w:i/>
                <w:iCs/>
                <w:color w:val="auto"/>
                <w:kern w:val="0"/>
                <w:lang w:val="fr-FR"/>
              </w:rPr>
              <w:t>Arundinella setosa</w:t>
            </w:r>
            <w:r>
              <w:rPr>
                <w:color w:val="auto"/>
                <w:kern w:val="0"/>
              </w:rPr>
              <w:t>、</w:t>
            </w:r>
            <w:r>
              <w:rPr>
                <w:color w:val="auto"/>
                <w:kern w:val="0"/>
                <w:lang w:val="fr-FR"/>
              </w:rPr>
              <w:t>野拔子</w:t>
            </w:r>
            <w:r>
              <w:rPr>
                <w:i/>
                <w:iCs/>
                <w:color w:val="auto"/>
                <w:kern w:val="0"/>
                <w:lang w:val="fr-FR"/>
              </w:rPr>
              <w:t>Elsholtzia rugulosa</w:t>
            </w:r>
            <w:r>
              <w:rPr>
                <w:color w:val="auto"/>
                <w:kern w:val="0"/>
              </w:rPr>
              <w:t>、碎米莎草</w:t>
            </w:r>
            <w:r>
              <w:rPr>
                <w:i/>
                <w:iCs/>
                <w:color w:val="auto"/>
                <w:kern w:val="0"/>
                <w:lang w:val="fr-FR"/>
              </w:rPr>
              <w:t>Cyperus iria</w:t>
            </w:r>
            <w:r>
              <w:rPr>
                <w:color w:val="auto"/>
                <w:kern w:val="0"/>
              </w:rPr>
              <w:t>、黄茅</w:t>
            </w:r>
            <w:r>
              <w:rPr>
                <w:bCs/>
                <w:i/>
                <w:color w:val="auto"/>
                <w:kern w:val="0"/>
                <w:lang w:val="fr-FR"/>
              </w:rPr>
              <w:t>Heteropogon contortus</w:t>
            </w:r>
            <w:r>
              <w:rPr>
                <w:color w:val="auto"/>
                <w:kern w:val="0"/>
              </w:rPr>
              <w:t>、黄背草</w:t>
            </w:r>
            <w:r>
              <w:rPr>
                <w:i/>
                <w:iCs/>
                <w:color w:val="auto"/>
                <w:kern w:val="0"/>
                <w:lang w:val="fr-FR"/>
              </w:rPr>
              <w:t>Themeda japonica</w:t>
            </w:r>
            <w:r>
              <w:rPr>
                <w:color w:val="auto"/>
                <w:kern w:val="0"/>
              </w:rPr>
              <w:t>、硬杆子草</w:t>
            </w:r>
            <w:r>
              <w:rPr>
                <w:i/>
                <w:color w:val="auto"/>
                <w:kern w:val="0"/>
                <w:lang w:val="fr-FR"/>
              </w:rPr>
              <w:t>Capillipedium assimile</w:t>
            </w:r>
            <w:r>
              <w:rPr>
                <w:color w:val="auto"/>
                <w:kern w:val="0"/>
              </w:rPr>
              <w:t>、</w:t>
            </w:r>
            <w:r>
              <w:rPr>
                <w:iCs/>
                <w:color w:val="auto"/>
                <w:kern w:val="0"/>
              </w:rPr>
              <w:t>戟叶酸模</w:t>
            </w:r>
            <w:r>
              <w:rPr>
                <w:i/>
                <w:iCs/>
                <w:color w:val="auto"/>
                <w:kern w:val="0"/>
                <w:lang w:val="fr-FR"/>
              </w:rPr>
              <w:t>Rumex acetosa</w:t>
            </w:r>
            <w:r>
              <w:rPr>
                <w:color w:val="auto"/>
                <w:kern w:val="0"/>
              </w:rPr>
              <w:t>、五月艾</w:t>
            </w:r>
            <w:r>
              <w:rPr>
                <w:bCs/>
                <w:i/>
                <w:color w:val="auto"/>
                <w:kern w:val="0"/>
                <w:lang w:val="fr-FR"/>
              </w:rPr>
              <w:t>Artemisia indica</w:t>
            </w:r>
            <w:r>
              <w:rPr>
                <w:color w:val="auto"/>
                <w:kern w:val="0"/>
              </w:rPr>
              <w:t>、荩草</w:t>
            </w:r>
            <w:r>
              <w:rPr>
                <w:i/>
                <w:iCs/>
                <w:color w:val="auto"/>
                <w:kern w:val="0"/>
                <w:lang w:val="fr-FR"/>
              </w:rPr>
              <w:t>Arthraxon hispidus</w:t>
            </w:r>
            <w:r>
              <w:rPr>
                <w:color w:val="auto"/>
                <w:kern w:val="0"/>
              </w:rPr>
              <w:t>、三芒草</w:t>
            </w:r>
            <w:r>
              <w:rPr>
                <w:i/>
                <w:iCs/>
                <w:color w:val="auto"/>
                <w:kern w:val="0"/>
                <w:lang w:val="fr-FR"/>
              </w:rPr>
              <w:t>Aristida adscensionis</w:t>
            </w:r>
            <w:r>
              <w:rPr>
                <w:i/>
                <w:iCs/>
                <w:color w:val="auto"/>
                <w:kern w:val="0"/>
              </w:rPr>
              <w:t>、</w:t>
            </w:r>
            <w:r>
              <w:rPr>
                <w:iCs/>
                <w:color w:val="auto"/>
                <w:kern w:val="0"/>
              </w:rPr>
              <w:t>虎尾草</w:t>
            </w:r>
            <w:r>
              <w:rPr>
                <w:i/>
                <w:iCs/>
                <w:color w:val="auto"/>
                <w:kern w:val="0"/>
                <w:lang w:val="fr-FR"/>
              </w:rPr>
              <w:t>Chloris virgata</w:t>
            </w:r>
            <w:r>
              <w:rPr>
                <w:iCs/>
                <w:color w:val="auto"/>
                <w:kern w:val="0"/>
              </w:rPr>
              <w:t>。</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6"/>
              <w:gridCol w:w="3876"/>
            </w:tblGrid>
            <w:tr w14:paraId="37B5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26" w:type="dxa"/>
                </w:tcPr>
                <w:p w14:paraId="06D6D0D4">
                  <w:pPr>
                    <w:ind w:firstLine="0" w:firstLineChars="0"/>
                    <w:rPr>
                      <w:rFonts w:cs="Times New Roman"/>
                      <w:color w:val="auto"/>
                      <w:kern w:val="0"/>
                      <w:szCs w:val="20"/>
                      <w:lang w:val="fr-FR"/>
                    </w:rPr>
                  </w:pPr>
                  <w:r>
                    <w:rPr>
                      <w:rFonts w:cs="Times New Roman"/>
                      <w:color w:val="auto"/>
                      <w:kern w:val="0"/>
                      <w:szCs w:val="20"/>
                      <w:lang w:val="fr-FR"/>
                    </w:rPr>
                    <w:drawing>
                      <wp:inline distT="0" distB="0" distL="0" distR="0">
                        <wp:extent cx="2299335" cy="1424940"/>
                        <wp:effectExtent l="0" t="0" r="5715" b="3810"/>
                        <wp:docPr id="676002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02442" name="图片 1"/>
                                <pic:cNvPicPr>
                                  <a:picLocks noChangeAspect="1" noChangeArrowheads="1"/>
                                </pic:cNvPicPr>
                              </pic:nvPicPr>
                              <pic:blipFill>
                                <a:blip r:embed="rId41"/>
                                <a:srcRect/>
                                <a:stretch>
                                  <a:fillRect/>
                                </a:stretch>
                              </pic:blipFill>
                              <pic:spPr>
                                <a:xfrm>
                                  <a:off x="0" y="0"/>
                                  <a:ext cx="2299335" cy="1428087"/>
                                </a:xfrm>
                                <a:prstGeom prst="rect">
                                  <a:avLst/>
                                </a:prstGeom>
                                <a:noFill/>
                              </pic:spPr>
                            </pic:pic>
                          </a:graphicData>
                        </a:graphic>
                      </wp:inline>
                    </w:drawing>
                  </w:r>
                </w:p>
              </w:tc>
              <w:tc>
                <w:tcPr>
                  <w:tcW w:w="3826" w:type="dxa"/>
                </w:tcPr>
                <w:p w14:paraId="7A15F71B">
                  <w:pPr>
                    <w:ind w:firstLine="0" w:firstLineChars="0"/>
                    <w:rPr>
                      <w:rFonts w:cs="Times New Roman"/>
                      <w:color w:val="auto"/>
                      <w:kern w:val="0"/>
                      <w:szCs w:val="20"/>
                      <w:lang w:val="fr-FR"/>
                    </w:rPr>
                  </w:pPr>
                  <w:r>
                    <w:rPr>
                      <w:rFonts w:cs="Times New Roman"/>
                      <w:color w:val="auto"/>
                      <w:kern w:val="0"/>
                      <w:szCs w:val="20"/>
                      <w:lang w:val="fr-FR"/>
                    </w:rPr>
                    <w:drawing>
                      <wp:inline distT="0" distB="0" distL="0" distR="0">
                        <wp:extent cx="2306955" cy="1432560"/>
                        <wp:effectExtent l="0" t="0" r="17145" b="15240"/>
                        <wp:docPr id="14615560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56061" name="图片 2"/>
                                <pic:cNvPicPr>
                                  <a:picLocks noChangeAspect="1" noChangeArrowheads="1"/>
                                </pic:cNvPicPr>
                              </pic:nvPicPr>
                              <pic:blipFill>
                                <a:blip r:embed="rId42"/>
                                <a:srcRect/>
                                <a:stretch>
                                  <a:fillRect/>
                                </a:stretch>
                              </pic:blipFill>
                              <pic:spPr>
                                <a:xfrm>
                                  <a:off x="0" y="0"/>
                                  <a:ext cx="2306955" cy="1437421"/>
                                </a:xfrm>
                                <a:prstGeom prst="rect">
                                  <a:avLst/>
                                </a:prstGeom>
                                <a:noFill/>
                              </pic:spPr>
                            </pic:pic>
                          </a:graphicData>
                        </a:graphic>
                      </wp:inline>
                    </w:drawing>
                  </w:r>
                </w:p>
              </w:tc>
            </w:tr>
          </w:tbl>
          <w:p w14:paraId="51984752">
            <w:pPr>
              <w:pStyle w:val="63"/>
              <w:rPr>
                <w:color w:val="auto"/>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rPr>
              <w:t xml:space="preserve">  </w:t>
            </w:r>
            <w:r>
              <w:rPr>
                <w:color w:val="auto"/>
              </w:rPr>
              <w:t xml:space="preserve"> 项目区及周边主要</w:t>
            </w:r>
            <w:r>
              <w:rPr>
                <w:rFonts w:hint="eastAsia"/>
                <w:color w:val="auto"/>
              </w:rPr>
              <w:t>自然</w:t>
            </w:r>
            <w:r>
              <w:rPr>
                <w:color w:val="auto"/>
              </w:rPr>
              <w:t>植被</w:t>
            </w:r>
          </w:p>
          <w:p w14:paraId="59F4E6C2">
            <w:pPr>
              <w:ind w:firstLine="426" w:firstLineChars="177"/>
              <w:rPr>
                <w:b/>
                <w:color w:val="auto"/>
              </w:rPr>
            </w:pPr>
            <w:r>
              <w:rPr>
                <w:rFonts w:hint="eastAsia" w:ascii="宋体" w:hAnsi="宋体" w:cs="宋体"/>
                <w:b/>
                <w:color w:val="auto"/>
              </w:rPr>
              <w:t>B</w:t>
            </w:r>
            <w:r>
              <w:rPr>
                <w:b/>
                <w:color w:val="auto"/>
              </w:rPr>
              <w:t>人工植被</w:t>
            </w:r>
          </w:p>
          <w:p w14:paraId="234595BE">
            <w:pPr>
              <w:ind w:firstLine="480"/>
              <w:rPr>
                <w:color w:val="auto"/>
              </w:rPr>
            </w:pPr>
            <w:r>
              <w:rPr>
                <w:rFonts w:hint="eastAsia"/>
                <w:color w:val="auto"/>
              </w:rPr>
              <w:t>评价区人工植被面积较大，人工植被主要为核桃、小麦、豌豆、茶园。评价区核桃面积较小，零星分布于评价区的村庄、耕地和园地周边。茶园面积较大，广布于评价区有一定坡度的坡地和平地。耕地主要是旱地，主要种植玉米</w:t>
            </w:r>
            <w:r>
              <w:rPr>
                <w:color w:val="auto"/>
              </w:rPr>
              <w:t>。除了以上植被类型外，也有一些人工种植的用材或绿化树种分布。</w:t>
            </w:r>
          </w:p>
          <w:p w14:paraId="3F8E57C4">
            <w:pPr>
              <w:ind w:firstLine="480"/>
              <w:rPr>
                <w:color w:val="auto"/>
                <w:sz w:val="21"/>
              </w:rPr>
            </w:pPr>
            <w:r>
              <w:rPr>
                <w:color w:val="auto"/>
              </w:rPr>
              <w:t>从整个</w:t>
            </w:r>
            <w:r>
              <w:rPr>
                <w:rFonts w:hint="eastAsia"/>
                <w:color w:val="auto"/>
              </w:rPr>
              <w:t>评价</w:t>
            </w:r>
            <w:r>
              <w:rPr>
                <w:color w:val="auto"/>
              </w:rPr>
              <w:t>区域内占地面积看，</w:t>
            </w:r>
            <w:r>
              <w:rPr>
                <w:rFonts w:hint="eastAsia"/>
                <w:color w:val="auto"/>
              </w:rPr>
              <w:t>人工植被中园地</w:t>
            </w:r>
            <w:r>
              <w:rPr>
                <w:color w:val="auto"/>
              </w:rPr>
              <w:t>所占的面积最大</w:t>
            </w:r>
            <w:r>
              <w:rPr>
                <w:rFonts w:hint="eastAsia"/>
                <w:color w:val="auto"/>
              </w:rPr>
              <w:t>。</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3846"/>
            </w:tblGrid>
            <w:tr w14:paraId="64D7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26" w:type="dxa"/>
                  <w:vAlign w:val="center"/>
                </w:tcPr>
                <w:p w14:paraId="52C9C774">
                  <w:pPr>
                    <w:pStyle w:val="65"/>
                    <w:rPr>
                      <w:rFonts w:cs="Times New Roman"/>
                      <w:color w:val="auto"/>
                      <w:kern w:val="0"/>
                      <w:szCs w:val="20"/>
                      <w:lang w:val="fr-FR"/>
                    </w:rPr>
                  </w:pPr>
                  <w:r>
                    <w:rPr>
                      <w:rFonts w:cs="Times New Roman"/>
                      <w:color w:val="auto"/>
                      <w:kern w:val="0"/>
                      <w:szCs w:val="20"/>
                      <w:lang w:val="fr-FR"/>
                    </w:rPr>
                    <w:drawing>
                      <wp:inline distT="0" distB="0" distL="0" distR="0">
                        <wp:extent cx="2355215" cy="1464945"/>
                        <wp:effectExtent l="0" t="0" r="6985" b="1905"/>
                        <wp:docPr id="330593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9341" name="图片 3"/>
                                <pic:cNvPicPr>
                                  <a:picLocks noChangeAspect="1" noChangeArrowheads="1"/>
                                </pic:cNvPicPr>
                              </pic:nvPicPr>
                              <pic:blipFill>
                                <a:blip r:embed="rId43"/>
                                <a:srcRect/>
                                <a:stretch>
                                  <a:fillRect/>
                                </a:stretch>
                              </pic:blipFill>
                              <pic:spPr>
                                <a:xfrm>
                                  <a:off x="0" y="0"/>
                                  <a:ext cx="2374377" cy="1464945"/>
                                </a:xfrm>
                                <a:prstGeom prst="rect">
                                  <a:avLst/>
                                </a:prstGeom>
                                <a:noFill/>
                              </pic:spPr>
                            </pic:pic>
                          </a:graphicData>
                        </a:graphic>
                      </wp:inline>
                    </w:drawing>
                  </w:r>
                </w:p>
              </w:tc>
              <w:tc>
                <w:tcPr>
                  <w:tcW w:w="3826" w:type="dxa"/>
                  <w:vAlign w:val="center"/>
                </w:tcPr>
                <w:p w14:paraId="21F59166">
                  <w:pPr>
                    <w:pStyle w:val="65"/>
                    <w:rPr>
                      <w:rFonts w:cs="Times New Roman"/>
                      <w:color w:val="auto"/>
                      <w:kern w:val="0"/>
                      <w:szCs w:val="20"/>
                      <w:lang w:val="fr-FR"/>
                    </w:rPr>
                  </w:pPr>
                  <w:r>
                    <w:rPr>
                      <w:rFonts w:cs="Times New Roman"/>
                      <w:color w:val="auto"/>
                      <w:kern w:val="0"/>
                      <w:szCs w:val="20"/>
                    </w:rPr>
                    <w:drawing>
                      <wp:inline distT="0" distB="0" distL="0" distR="0">
                        <wp:extent cx="2292350" cy="1719580"/>
                        <wp:effectExtent l="0" t="0" r="12700" b="13970"/>
                        <wp:docPr id="91258871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88713" name="图片 40"/>
                                <pic:cNvPicPr>
                                  <a:picLocks noChangeAspect="1" noChangeArrowheads="1"/>
                                </pic:cNvPicPr>
                              </pic:nvPicPr>
                              <pic:blipFill>
                                <a:blip r:embed="rId44"/>
                                <a:srcRect/>
                                <a:stretch>
                                  <a:fillRect/>
                                </a:stretch>
                              </pic:blipFill>
                              <pic:spPr>
                                <a:xfrm>
                                  <a:off x="0" y="0"/>
                                  <a:ext cx="2292350" cy="1719580"/>
                                </a:xfrm>
                                <a:prstGeom prst="rect">
                                  <a:avLst/>
                                </a:prstGeom>
                                <a:noFill/>
                                <a:ln>
                                  <a:noFill/>
                                </a:ln>
                              </pic:spPr>
                            </pic:pic>
                          </a:graphicData>
                        </a:graphic>
                      </wp:inline>
                    </w:drawing>
                  </w:r>
                </w:p>
              </w:tc>
            </w:tr>
            <w:tr w14:paraId="214B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26" w:type="dxa"/>
                  <w:vAlign w:val="center"/>
                </w:tcPr>
                <w:p w14:paraId="40C355C0">
                  <w:pPr>
                    <w:pStyle w:val="65"/>
                    <w:rPr>
                      <w:rFonts w:cs="Times New Roman"/>
                      <w:color w:val="auto"/>
                      <w:kern w:val="0"/>
                      <w:szCs w:val="20"/>
                      <w:lang w:val="fr-FR"/>
                    </w:rPr>
                  </w:pPr>
                  <w:r>
                    <w:rPr>
                      <w:rFonts w:hint="eastAsia" w:cs="Times New Roman"/>
                      <w:color w:val="auto"/>
                      <w:kern w:val="0"/>
                      <w:szCs w:val="20"/>
                      <w:lang w:val="fr-FR"/>
                    </w:rPr>
                    <w:t>茶园</w:t>
                  </w:r>
                </w:p>
              </w:tc>
              <w:tc>
                <w:tcPr>
                  <w:tcW w:w="3826" w:type="dxa"/>
                  <w:vAlign w:val="center"/>
                </w:tcPr>
                <w:p w14:paraId="20BD82B0">
                  <w:pPr>
                    <w:pStyle w:val="65"/>
                    <w:rPr>
                      <w:rFonts w:cs="Times New Roman"/>
                      <w:color w:val="auto"/>
                      <w:kern w:val="0"/>
                      <w:szCs w:val="20"/>
                      <w:lang w:val="fr-FR"/>
                    </w:rPr>
                  </w:pPr>
                  <w:r>
                    <w:rPr>
                      <w:rFonts w:hint="eastAsia" w:cs="Times New Roman"/>
                      <w:color w:val="auto"/>
                      <w:kern w:val="0"/>
                      <w:szCs w:val="20"/>
                      <w:lang w:val="fr-FR"/>
                    </w:rPr>
                    <w:t>小麦</w:t>
                  </w:r>
                </w:p>
              </w:tc>
            </w:tr>
            <w:tr w14:paraId="59BE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26" w:type="dxa"/>
                  <w:vAlign w:val="center"/>
                </w:tcPr>
                <w:p w14:paraId="65EA935E">
                  <w:pPr>
                    <w:pStyle w:val="65"/>
                    <w:rPr>
                      <w:rFonts w:cs="Times New Roman"/>
                      <w:color w:val="auto"/>
                      <w:kern w:val="0"/>
                      <w:szCs w:val="20"/>
                      <w:lang w:val="fr-FR"/>
                    </w:rPr>
                  </w:pPr>
                  <w:r>
                    <w:rPr>
                      <w:rFonts w:cs="Times New Roman"/>
                      <w:color w:val="auto"/>
                      <w:kern w:val="0"/>
                      <w:szCs w:val="20"/>
                    </w:rPr>
                    <w:drawing>
                      <wp:inline distT="0" distB="0" distL="0" distR="0">
                        <wp:extent cx="2292350" cy="1719580"/>
                        <wp:effectExtent l="0" t="0" r="12700" b="13970"/>
                        <wp:docPr id="703905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0511" name="图片 39"/>
                                <pic:cNvPicPr>
                                  <a:picLocks noChangeAspect="1" noChangeArrowheads="1"/>
                                </pic:cNvPicPr>
                              </pic:nvPicPr>
                              <pic:blipFill>
                                <a:blip r:embed="rId45"/>
                                <a:srcRect/>
                                <a:stretch>
                                  <a:fillRect/>
                                </a:stretch>
                              </pic:blipFill>
                              <pic:spPr>
                                <a:xfrm>
                                  <a:off x="0" y="0"/>
                                  <a:ext cx="2292350" cy="1719580"/>
                                </a:xfrm>
                                <a:prstGeom prst="rect">
                                  <a:avLst/>
                                </a:prstGeom>
                                <a:noFill/>
                                <a:ln>
                                  <a:noFill/>
                                </a:ln>
                              </pic:spPr>
                            </pic:pic>
                          </a:graphicData>
                        </a:graphic>
                      </wp:inline>
                    </w:drawing>
                  </w:r>
                </w:p>
              </w:tc>
              <w:tc>
                <w:tcPr>
                  <w:tcW w:w="3826" w:type="dxa"/>
                  <w:vAlign w:val="center"/>
                </w:tcPr>
                <w:p w14:paraId="73247C39">
                  <w:pPr>
                    <w:pStyle w:val="65"/>
                    <w:rPr>
                      <w:rFonts w:cs="Times New Roman"/>
                      <w:color w:val="auto"/>
                      <w:kern w:val="0"/>
                      <w:szCs w:val="20"/>
                      <w:lang w:val="fr-FR"/>
                    </w:rPr>
                  </w:pPr>
                  <w:r>
                    <w:rPr>
                      <w:rFonts w:cs="Times New Roman"/>
                      <w:color w:val="auto"/>
                      <w:kern w:val="0"/>
                      <w:szCs w:val="20"/>
                    </w:rPr>
                    <w:drawing>
                      <wp:inline distT="0" distB="0" distL="0" distR="0">
                        <wp:extent cx="2292350" cy="1719580"/>
                        <wp:effectExtent l="0" t="0" r="12700" b="13970"/>
                        <wp:docPr id="116992937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29373" name="图片 41"/>
                                <pic:cNvPicPr>
                                  <a:picLocks noChangeAspect="1" noChangeArrowheads="1"/>
                                </pic:cNvPicPr>
                              </pic:nvPicPr>
                              <pic:blipFill>
                                <a:blip r:embed="rId46"/>
                                <a:srcRect/>
                                <a:stretch>
                                  <a:fillRect/>
                                </a:stretch>
                              </pic:blipFill>
                              <pic:spPr>
                                <a:xfrm>
                                  <a:off x="0" y="0"/>
                                  <a:ext cx="2292350" cy="1719580"/>
                                </a:xfrm>
                                <a:prstGeom prst="rect">
                                  <a:avLst/>
                                </a:prstGeom>
                                <a:noFill/>
                                <a:ln>
                                  <a:noFill/>
                                </a:ln>
                              </pic:spPr>
                            </pic:pic>
                          </a:graphicData>
                        </a:graphic>
                      </wp:inline>
                    </w:drawing>
                  </w:r>
                </w:p>
              </w:tc>
            </w:tr>
            <w:tr w14:paraId="22A7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26" w:type="dxa"/>
                  <w:vAlign w:val="center"/>
                </w:tcPr>
                <w:p w14:paraId="000C3642">
                  <w:pPr>
                    <w:pStyle w:val="65"/>
                    <w:rPr>
                      <w:rFonts w:cs="Times New Roman"/>
                      <w:color w:val="auto"/>
                      <w:kern w:val="0"/>
                      <w:szCs w:val="20"/>
                      <w:lang w:val="fr-FR"/>
                    </w:rPr>
                  </w:pPr>
                  <w:r>
                    <w:rPr>
                      <w:rFonts w:hint="eastAsia" w:cs="Times New Roman"/>
                      <w:color w:val="auto"/>
                      <w:kern w:val="0"/>
                      <w:szCs w:val="20"/>
                      <w:lang w:val="fr-FR"/>
                    </w:rPr>
                    <w:t>豌豆</w:t>
                  </w:r>
                </w:p>
              </w:tc>
              <w:tc>
                <w:tcPr>
                  <w:tcW w:w="3826" w:type="dxa"/>
                  <w:vAlign w:val="center"/>
                </w:tcPr>
                <w:p w14:paraId="6F8A2B2F">
                  <w:pPr>
                    <w:pStyle w:val="65"/>
                    <w:rPr>
                      <w:rFonts w:cs="Times New Roman"/>
                      <w:color w:val="auto"/>
                      <w:kern w:val="0"/>
                      <w:szCs w:val="20"/>
                      <w:lang w:val="fr-FR"/>
                    </w:rPr>
                  </w:pPr>
                  <w:r>
                    <w:rPr>
                      <w:rFonts w:hint="eastAsia" w:cs="Times New Roman"/>
                      <w:color w:val="auto"/>
                      <w:kern w:val="0"/>
                      <w:szCs w:val="20"/>
                      <w:lang w:val="fr-FR"/>
                    </w:rPr>
                    <w:t>核桃</w:t>
                  </w:r>
                </w:p>
              </w:tc>
            </w:tr>
          </w:tbl>
          <w:p w14:paraId="14AC8BA5">
            <w:pPr>
              <w:pStyle w:val="63"/>
              <w:rPr>
                <w:color w:val="auto"/>
                <w:lang w:val="fr-FR"/>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rPr>
              <w:t xml:space="preserve">  </w:t>
            </w:r>
            <w:r>
              <w:rPr>
                <w:color w:val="auto"/>
              </w:rPr>
              <w:t>项目区及周边主要</w:t>
            </w:r>
            <w:r>
              <w:rPr>
                <w:rFonts w:hint="eastAsia"/>
                <w:color w:val="auto"/>
              </w:rPr>
              <w:t>人工</w:t>
            </w:r>
            <w:r>
              <w:rPr>
                <w:color w:val="auto"/>
              </w:rPr>
              <w:t>植被</w:t>
            </w:r>
          </w:p>
          <w:p w14:paraId="3A76036C">
            <w:pPr>
              <w:autoSpaceDE w:val="0"/>
              <w:autoSpaceDN w:val="0"/>
              <w:ind w:firstLine="482"/>
              <w:rPr>
                <w:color w:val="auto"/>
              </w:rPr>
            </w:pPr>
            <w:r>
              <w:rPr>
                <w:rFonts w:hint="eastAsia" w:ascii="宋体" w:hAnsi="宋体" w:cs="宋体"/>
                <w:b/>
                <w:color w:val="auto"/>
              </w:rPr>
              <w:t>③</w:t>
            </w:r>
            <w:r>
              <w:rPr>
                <w:b/>
                <w:color w:val="auto"/>
              </w:rPr>
              <w:t>珍稀保护植物</w:t>
            </w:r>
          </w:p>
          <w:p w14:paraId="5C6E0ED7">
            <w:pPr>
              <w:autoSpaceDE w:val="0"/>
              <w:autoSpaceDN w:val="0"/>
              <w:ind w:firstLine="480"/>
              <w:rPr>
                <w:color w:val="auto"/>
                <w:highlight w:val="yellow"/>
              </w:rPr>
            </w:pPr>
            <w:r>
              <w:rPr>
                <w:rFonts w:hint="eastAsia"/>
                <w:color w:val="auto"/>
              </w:rPr>
              <w:t>根据《国家重点保护野生植物名录》（2021版）、《云南省各州市分布的国家重点保护野生动植物名录》（2021）和《云南省重点保护野生植物名录》（2023），本项目评价区未发现云南省省级重点保护植物和国家级重点保护植物。</w:t>
            </w:r>
          </w:p>
          <w:p w14:paraId="053C2853">
            <w:pPr>
              <w:autoSpaceDE w:val="0"/>
              <w:autoSpaceDN w:val="0"/>
              <w:ind w:firstLine="482"/>
              <w:rPr>
                <w:b/>
                <w:bCs/>
                <w:color w:val="auto"/>
              </w:rPr>
            </w:pPr>
            <w:r>
              <w:rPr>
                <w:rFonts w:hint="eastAsia"/>
                <w:b/>
                <w:bCs/>
                <w:color w:val="auto"/>
              </w:rPr>
              <w:t>④古树名木</w:t>
            </w:r>
          </w:p>
          <w:p w14:paraId="6FE39FF0">
            <w:pPr>
              <w:autoSpaceDE w:val="0"/>
              <w:autoSpaceDN w:val="0"/>
              <w:ind w:firstLine="480"/>
              <w:rPr>
                <w:color w:val="auto"/>
              </w:rPr>
            </w:pPr>
            <w:r>
              <w:rPr>
                <w:rFonts w:hint="eastAsia"/>
                <w:color w:val="auto"/>
              </w:rPr>
              <w:t>根据《古树名木保护条例》（华人民共和国国务院令第</w:t>
            </w:r>
            <w:r>
              <w:rPr>
                <w:color w:val="auto"/>
              </w:rPr>
              <w:t>800</w:t>
            </w:r>
            <w:r>
              <w:rPr>
                <w:rFonts w:hint="eastAsia"/>
                <w:color w:val="auto"/>
              </w:rPr>
              <w:t>号）、《关于印发云南省古树名木名录的通知》（云南省林业厅文件云林保护字〔</w:t>
            </w:r>
            <w:r>
              <w:rPr>
                <w:color w:val="auto"/>
              </w:rPr>
              <w:t>1996</w:t>
            </w:r>
            <w:r>
              <w:rPr>
                <w:rFonts w:hint="eastAsia"/>
                <w:color w:val="auto"/>
              </w:rPr>
              <w:t>〕第</w:t>
            </w:r>
            <w:r>
              <w:rPr>
                <w:color w:val="auto"/>
              </w:rPr>
              <w:t>65</w:t>
            </w:r>
            <w:r>
              <w:rPr>
                <w:rFonts w:hint="eastAsia"/>
                <w:color w:val="auto"/>
              </w:rPr>
              <w:t>号）及实地踏勘，在评价范围内未发现古树名木。</w:t>
            </w:r>
          </w:p>
          <w:p w14:paraId="0A7BA557">
            <w:pPr>
              <w:autoSpaceDE w:val="0"/>
              <w:autoSpaceDN w:val="0"/>
              <w:ind w:firstLine="482"/>
              <w:rPr>
                <w:b/>
                <w:bCs/>
                <w:color w:val="auto"/>
              </w:rPr>
            </w:pPr>
            <w:r>
              <w:rPr>
                <w:rFonts w:hint="eastAsia"/>
                <w:b/>
                <w:bCs/>
                <w:color w:val="auto"/>
              </w:rPr>
              <w:t>⑤入侵植物</w:t>
            </w:r>
          </w:p>
          <w:p w14:paraId="4482A47E">
            <w:pPr>
              <w:widowControl/>
              <w:ind w:firstLine="480"/>
              <w:rPr>
                <w:color w:val="auto"/>
                <w:kern w:val="0"/>
                <w:lang w:bidi="ar"/>
              </w:rPr>
            </w:pPr>
            <w:r>
              <w:rPr>
                <w:rFonts w:hint="eastAsia"/>
                <w:color w:val="auto"/>
              </w:rPr>
              <w:t>根据现场调查及环保部公布的《中国外来入侵种名单》第一批（2003）、《中国外来入侵种名单》第二批（2010）、《中国外来入侵种名单》第三批（2014年）和《中国外来入侵种名单》第四批（2016年），评价区涉及外来入侵植物主要为</w:t>
            </w:r>
            <w:r>
              <w:rPr>
                <w:color w:val="auto"/>
                <w:kern w:val="0"/>
                <w:lang w:bidi="ar"/>
              </w:rPr>
              <w:t>紫茎泽兰</w:t>
            </w:r>
            <w:r>
              <w:rPr>
                <w:i/>
                <w:iCs/>
                <w:color w:val="auto"/>
                <w:kern w:val="0"/>
                <w:lang w:bidi="ar"/>
              </w:rPr>
              <w:t>Ageratina adenophora</w:t>
            </w:r>
            <w:r>
              <w:rPr>
                <w:rFonts w:hint="eastAsia" w:ascii="宋体" w:hAnsi="宋体" w:cs="宋体"/>
                <w:color w:val="auto"/>
                <w:kern w:val="0"/>
                <w:lang w:bidi="ar"/>
              </w:rPr>
              <w:t>、藿香蓟</w:t>
            </w:r>
            <w:r>
              <w:rPr>
                <w:i/>
                <w:iCs/>
                <w:color w:val="auto"/>
                <w:kern w:val="0"/>
                <w:lang w:bidi="ar"/>
              </w:rPr>
              <w:t>Ageratum conyzoides</w:t>
            </w:r>
            <w:r>
              <w:rPr>
                <w:rFonts w:hint="eastAsia" w:ascii="宋体" w:hAnsi="宋体" w:cs="宋体"/>
                <w:color w:val="auto"/>
                <w:kern w:val="0"/>
                <w:lang w:bidi="ar"/>
              </w:rPr>
              <w:t>、鬼针草</w:t>
            </w:r>
            <w:r>
              <w:rPr>
                <w:i/>
                <w:iCs/>
                <w:color w:val="auto"/>
                <w:kern w:val="0"/>
                <w:lang w:bidi="ar"/>
              </w:rPr>
              <w:t>Bidens pilosa</w:t>
            </w:r>
            <w:r>
              <w:rPr>
                <w:rFonts w:hint="eastAsia"/>
                <w:color w:val="auto"/>
                <w:kern w:val="0"/>
                <w:lang w:bidi="ar"/>
              </w:rPr>
              <w:t>等。</w:t>
            </w:r>
            <w:r>
              <w:rPr>
                <w:color w:val="auto"/>
                <w:kern w:val="0"/>
                <w:lang w:bidi="ar"/>
              </w:rPr>
              <w:t>在评价区多见于道路边。</w:t>
            </w:r>
          </w:p>
          <w:p w14:paraId="62ED3DDA">
            <w:pPr>
              <w:autoSpaceDE w:val="0"/>
              <w:autoSpaceDN w:val="0"/>
              <w:ind w:firstLine="482"/>
              <w:rPr>
                <w:b/>
                <w:bCs/>
                <w:color w:val="auto"/>
              </w:rPr>
            </w:pPr>
            <w:r>
              <w:rPr>
                <w:rFonts w:hint="eastAsia"/>
                <w:b/>
                <w:bCs/>
                <w:color w:val="auto"/>
              </w:rPr>
              <w:t>⑥重要生境</w:t>
            </w:r>
          </w:p>
          <w:p w14:paraId="426ACA5B">
            <w:pPr>
              <w:autoSpaceDE w:val="0"/>
              <w:autoSpaceDN w:val="0"/>
              <w:ind w:firstLine="480"/>
              <w:rPr>
                <w:color w:val="auto"/>
              </w:rPr>
            </w:pPr>
            <w:r>
              <w:rPr>
                <w:rFonts w:hint="eastAsia"/>
                <w:color w:val="auto"/>
              </w:rPr>
              <w:t>根据相关资料和现场调查，项目不涉及重要野生动物的栖息地、繁殖地、停歇地、越冬地，不涉及南涧凤凰山候鸟迁徙通道重要保护范围。</w:t>
            </w:r>
          </w:p>
          <w:p w14:paraId="15E1F00F">
            <w:pPr>
              <w:autoSpaceDE w:val="0"/>
              <w:autoSpaceDN w:val="0"/>
              <w:ind w:firstLine="482"/>
              <w:rPr>
                <w:b/>
                <w:bCs/>
                <w:color w:val="auto"/>
              </w:rPr>
            </w:pPr>
            <w:r>
              <w:rPr>
                <w:rFonts w:hint="eastAsia"/>
                <w:b/>
                <w:bCs/>
                <w:color w:val="auto"/>
              </w:rPr>
              <w:t>⑦重点保护植物</w:t>
            </w:r>
          </w:p>
          <w:p w14:paraId="17C3319D">
            <w:pPr>
              <w:autoSpaceDE w:val="0"/>
              <w:autoSpaceDN w:val="0"/>
              <w:ind w:firstLine="480"/>
              <w:rPr>
                <w:rFonts w:cs="Times New Roman"/>
                <w:color w:val="auto"/>
                <w:szCs w:val="24"/>
              </w:rPr>
            </w:pPr>
            <w:r>
              <w:rPr>
                <w:rFonts w:cs="Times New Roman"/>
                <w:color w:val="auto"/>
                <w:szCs w:val="24"/>
              </w:rPr>
              <w:t>根据《国家重点保护野生植物名录（2021版）》</w:t>
            </w:r>
            <w:r>
              <w:rPr>
                <w:rFonts w:hint="eastAsia" w:cs="Times New Roman"/>
                <w:color w:val="auto"/>
                <w:szCs w:val="24"/>
              </w:rPr>
              <w:t>、</w:t>
            </w:r>
            <w:r>
              <w:rPr>
                <w:rFonts w:cs="Times New Roman"/>
                <w:color w:val="auto"/>
                <w:szCs w:val="24"/>
              </w:rPr>
              <w:t>《中国生物多样性红色名录—高等植物卷》</w:t>
            </w:r>
            <w:r>
              <w:rPr>
                <w:rFonts w:hint="eastAsia" w:cs="Times New Roman"/>
                <w:color w:val="auto"/>
                <w:szCs w:val="24"/>
              </w:rPr>
              <w:t>中列为极危、濒危和易危的植物、</w:t>
            </w:r>
            <w:r>
              <w:rPr>
                <w:rFonts w:cs="Times New Roman"/>
                <w:color w:val="auto"/>
                <w:szCs w:val="24"/>
              </w:rPr>
              <w:t>《云南省各州市分布的国家重点保护野生动植物名录（2021）》</w:t>
            </w:r>
            <w:r>
              <w:rPr>
                <w:rFonts w:hint="eastAsia" w:cs="Times New Roman"/>
                <w:color w:val="auto"/>
                <w:szCs w:val="24"/>
              </w:rPr>
              <w:t>及《云南省重点保护野生植物名录（2023）》等资料，评价区无国家级、云南省省级重点保护野生植物分布；根据《中华人民共和国林业行业标准极小种群野生植物保护原则与方法》（LY/T 2938-201</w:t>
            </w:r>
            <w:r>
              <w:rPr>
                <w:rFonts w:cs="Times New Roman"/>
                <w:color w:val="auto"/>
                <w:szCs w:val="24"/>
              </w:rPr>
              <w:t>8</w:t>
            </w:r>
            <w:r>
              <w:rPr>
                <w:rFonts w:hint="eastAsia" w:cs="Times New Roman"/>
                <w:color w:val="auto"/>
                <w:szCs w:val="24"/>
              </w:rPr>
              <w:t>）、《云南省极小种群野生植物保护名录（</w:t>
            </w:r>
            <w:r>
              <w:rPr>
                <w:rFonts w:cs="Times New Roman"/>
                <w:color w:val="auto"/>
                <w:szCs w:val="24"/>
              </w:rPr>
              <w:t>2022</w:t>
            </w:r>
            <w:r>
              <w:rPr>
                <w:rFonts w:hint="eastAsia" w:cs="Times New Roman"/>
                <w:color w:val="auto"/>
                <w:szCs w:val="24"/>
              </w:rPr>
              <w:t>版）》、云南省极小种群野生植物拯救保护规划（</w:t>
            </w:r>
            <w:r>
              <w:rPr>
                <w:rFonts w:cs="Times New Roman"/>
                <w:color w:val="auto"/>
                <w:szCs w:val="24"/>
              </w:rPr>
              <w:t>2021-2030</w:t>
            </w:r>
            <w:r>
              <w:rPr>
                <w:rFonts w:hint="eastAsia" w:cs="Times New Roman"/>
                <w:color w:val="auto"/>
                <w:szCs w:val="24"/>
              </w:rPr>
              <w:t>年）等资料，结合实地调查，评价区未发现极小种群野生植物物种分布；评价区内分布植物物种均为云南省常见种类，未发现自然分布区域仅限于南涧县或项目评价区的狭域特有植物分布，</w:t>
            </w:r>
            <w:r>
              <w:rPr>
                <w:rFonts w:cs="Times New Roman"/>
                <w:color w:val="auto"/>
                <w:szCs w:val="24"/>
              </w:rPr>
              <w:t>无国家和云南省列入拯救保护的极小种群物种，狭域特有种以及古树名木</w:t>
            </w:r>
            <w:r>
              <w:rPr>
                <w:rFonts w:hint="eastAsia" w:cs="Times New Roman"/>
                <w:color w:val="auto"/>
                <w:szCs w:val="24"/>
              </w:rPr>
              <w:t>。</w:t>
            </w:r>
          </w:p>
          <w:p w14:paraId="795BFE21">
            <w:pPr>
              <w:pStyle w:val="5"/>
              <w:rPr>
                <w:color w:val="auto"/>
              </w:rPr>
            </w:pPr>
            <w:r>
              <w:rPr>
                <w:rFonts w:hint="eastAsia"/>
                <w:color w:val="auto"/>
              </w:rPr>
              <w:t>野生动物现状调查</w:t>
            </w:r>
          </w:p>
          <w:p w14:paraId="59312D7A">
            <w:pPr>
              <w:autoSpaceDE w:val="0"/>
              <w:autoSpaceDN w:val="0"/>
              <w:ind w:firstLine="0" w:firstLineChars="0"/>
              <w:rPr>
                <w:b/>
                <w:bCs/>
                <w:color w:val="auto"/>
              </w:rPr>
            </w:pPr>
            <w:r>
              <w:rPr>
                <w:rFonts w:hint="eastAsia"/>
                <w:b/>
                <w:bCs/>
                <w:color w:val="auto"/>
              </w:rPr>
              <w:t>一、调查方法、范围及内容</w:t>
            </w:r>
          </w:p>
          <w:p w14:paraId="4EAA73F7">
            <w:pPr>
              <w:autoSpaceDE w:val="0"/>
              <w:autoSpaceDN w:val="0"/>
              <w:ind w:firstLine="482"/>
              <w:rPr>
                <w:b/>
                <w:bCs/>
                <w:color w:val="auto"/>
              </w:rPr>
            </w:pPr>
            <w:r>
              <w:rPr>
                <w:rFonts w:hint="eastAsia"/>
                <w:b/>
                <w:bCs/>
                <w:color w:val="auto"/>
              </w:rPr>
              <w:t>（1）调查方法</w:t>
            </w:r>
          </w:p>
          <w:p w14:paraId="7C2FB1FA">
            <w:pPr>
              <w:autoSpaceDE w:val="0"/>
              <w:autoSpaceDN w:val="0"/>
              <w:ind w:firstLine="480"/>
              <w:rPr>
                <w:color w:val="auto"/>
              </w:rPr>
            </w:pPr>
            <w:r>
              <w:rPr>
                <w:rFonts w:hint="eastAsia"/>
                <w:color w:val="auto"/>
              </w:rPr>
              <w:t>评价单位于202</w:t>
            </w:r>
            <w:r>
              <w:rPr>
                <w:color w:val="auto"/>
              </w:rPr>
              <w:t>5</w:t>
            </w:r>
            <w:r>
              <w:rPr>
                <w:rFonts w:hint="eastAsia"/>
                <w:color w:val="auto"/>
              </w:rPr>
              <w:t>年12月23日~12月25日</w:t>
            </w:r>
            <w:r>
              <w:rPr>
                <w:color w:val="auto"/>
              </w:rPr>
              <w:t>，</w:t>
            </w:r>
            <w:r>
              <w:rPr>
                <w:rFonts w:hint="eastAsia"/>
                <w:color w:val="auto"/>
              </w:rPr>
              <w:t>对本项目评价区及邻近地区的陆栖脊椎动物进行了专业调查。野外调查中，主要观察记录了陆栖脊椎动物的生境状况；鸟类调查主要使用双筒望远镜观察记录；询问有关野生脊椎动物的情况；调阅了收集的相关资料；并查阅和收集了已发表的相关文献资料。</w:t>
            </w:r>
          </w:p>
          <w:p w14:paraId="4CCBCF90">
            <w:pPr>
              <w:autoSpaceDE w:val="0"/>
              <w:autoSpaceDN w:val="0"/>
              <w:ind w:firstLine="482"/>
              <w:rPr>
                <w:b/>
                <w:bCs/>
                <w:color w:val="auto"/>
              </w:rPr>
            </w:pPr>
            <w:r>
              <w:rPr>
                <w:rFonts w:hint="eastAsia"/>
                <w:b/>
                <w:bCs/>
                <w:color w:val="auto"/>
              </w:rPr>
              <w:t>（2）调查范围</w:t>
            </w:r>
          </w:p>
          <w:p w14:paraId="41E69803">
            <w:pPr>
              <w:autoSpaceDE w:val="0"/>
              <w:autoSpaceDN w:val="0"/>
              <w:ind w:firstLine="480"/>
              <w:rPr>
                <w:color w:val="auto"/>
              </w:rPr>
            </w:pPr>
            <w:r>
              <w:rPr>
                <w:rFonts w:hint="eastAsia"/>
                <w:color w:val="auto"/>
              </w:rPr>
              <w:t>野外调查工作的重点为光伏场区及进场道路沿线，其次是与评价区相邻的地区；调查范围主要是项目区周边300m范围。</w:t>
            </w:r>
          </w:p>
          <w:p w14:paraId="4662769E">
            <w:pPr>
              <w:autoSpaceDE w:val="0"/>
              <w:autoSpaceDN w:val="0"/>
              <w:ind w:firstLine="482"/>
              <w:rPr>
                <w:b/>
                <w:bCs/>
                <w:color w:val="auto"/>
              </w:rPr>
            </w:pPr>
            <w:r>
              <w:rPr>
                <w:rFonts w:hint="eastAsia"/>
                <w:b/>
                <w:bCs/>
                <w:color w:val="auto"/>
              </w:rPr>
              <w:t>（3）调查内容</w:t>
            </w:r>
          </w:p>
          <w:p w14:paraId="4A6D68D5">
            <w:pPr>
              <w:autoSpaceDE w:val="0"/>
              <w:autoSpaceDN w:val="0"/>
              <w:ind w:firstLine="480"/>
              <w:rPr>
                <w:color w:val="auto"/>
                <w:highlight w:val="yellow"/>
              </w:rPr>
            </w:pPr>
            <w:r>
              <w:rPr>
                <w:rFonts w:hint="eastAsia"/>
                <w:color w:val="auto"/>
              </w:rPr>
              <w:t>主要调查评价区内的两栖类、爬行类、鸟类、哺乳类的种类，国家重点保护野生动物分布，云南省级重点保护野生动物分布情况。</w:t>
            </w:r>
          </w:p>
          <w:p w14:paraId="625BA09F">
            <w:pPr>
              <w:autoSpaceDE w:val="0"/>
              <w:autoSpaceDN w:val="0"/>
              <w:ind w:firstLine="0" w:firstLineChars="0"/>
              <w:rPr>
                <w:b/>
                <w:bCs/>
                <w:color w:val="auto"/>
              </w:rPr>
            </w:pPr>
            <w:r>
              <w:rPr>
                <w:rFonts w:hint="eastAsia"/>
                <w:b/>
                <w:bCs/>
                <w:color w:val="auto"/>
              </w:rPr>
              <w:t>二、陆生动物现状</w:t>
            </w:r>
          </w:p>
          <w:p w14:paraId="702DED84">
            <w:pPr>
              <w:ind w:firstLine="480"/>
              <w:rPr>
                <w:color w:val="auto"/>
              </w:rPr>
            </w:pPr>
            <w:r>
              <w:rPr>
                <w:rFonts w:hint="eastAsia"/>
                <w:color w:val="auto"/>
              </w:rPr>
              <w:t>为了对评价区内陆栖脊椎动物种类有更全面了解认识，查阅了相关文献。兽类方面，主要查阅了《中国兽类野外手册》、《中国哺乳动物彩色图鉴》、《中国哺乳动物分布》等文献；鸟类方面，主要查阅了《中国鸟类野外手册》、《云南鸟类志》等文献及相关网站观察记录；两栖爬行方面，主要查阅了《中国动物志 两栖纲》、《中国动物志 爬行纲》、《云南两栖爬行动物》等文献。</w:t>
            </w:r>
          </w:p>
          <w:p w14:paraId="2CFDE787">
            <w:pPr>
              <w:ind w:firstLine="480"/>
              <w:rPr>
                <w:color w:val="auto"/>
              </w:rPr>
            </w:pPr>
            <w:r>
              <w:rPr>
                <w:color w:val="auto"/>
              </w:rPr>
              <w:t>调查中未发现国家和省级重点保护物种，也未发现仅在当地分布的特有种。区域体型较大的</w:t>
            </w:r>
            <w:r>
              <w:rPr>
                <w:rFonts w:hint="eastAsia"/>
                <w:color w:val="auto"/>
              </w:rPr>
              <w:t>大型哺乳</w:t>
            </w:r>
            <w:r>
              <w:rPr>
                <w:color w:val="auto"/>
              </w:rPr>
              <w:t>类少见，分布的动物绝大多数为小型动物。此次实地调查仅发现有少量哺乳动物实体及粪便、活动痕迹</w:t>
            </w:r>
            <w:r>
              <w:rPr>
                <w:rFonts w:hint="eastAsia"/>
                <w:color w:val="auto"/>
              </w:rPr>
              <w:t>，</w:t>
            </w:r>
            <w:r>
              <w:rPr>
                <w:color w:val="auto"/>
              </w:rPr>
              <w:t>据当地居民介绍，多年来他们在日常生活中未曾见到个体较大的兽类。评价区</w:t>
            </w:r>
            <w:r>
              <w:rPr>
                <w:rFonts w:hint="eastAsia"/>
                <w:color w:val="auto"/>
              </w:rPr>
              <w:t>常见哺乳动物主要有赤腹松鼠</w:t>
            </w:r>
            <w:r>
              <w:rPr>
                <w:rFonts w:hint="eastAsia"/>
                <w:i/>
                <w:iCs/>
                <w:color w:val="auto"/>
              </w:rPr>
              <w:t>Callosciurus erythaeus</w:t>
            </w:r>
            <w:r>
              <w:rPr>
                <w:rFonts w:hint="eastAsia"/>
                <w:color w:val="auto"/>
              </w:rPr>
              <w:t>、云南兔</w:t>
            </w:r>
            <w:r>
              <w:rPr>
                <w:rFonts w:hint="eastAsia"/>
                <w:i/>
                <w:iCs/>
                <w:color w:val="auto"/>
              </w:rPr>
              <w:t>Lepus comus</w:t>
            </w:r>
            <w:r>
              <w:rPr>
                <w:rFonts w:hint="eastAsia"/>
                <w:color w:val="auto"/>
              </w:rPr>
              <w:t>、小家鼠</w:t>
            </w:r>
            <w:r>
              <w:rPr>
                <w:rFonts w:hint="eastAsia"/>
                <w:i/>
                <w:iCs/>
                <w:color w:val="auto"/>
              </w:rPr>
              <w:t>Mus musculus</w:t>
            </w:r>
            <w:r>
              <w:rPr>
                <w:rFonts w:hint="eastAsia"/>
                <w:color w:val="auto"/>
              </w:rPr>
              <w:t>、黄胸鼠</w:t>
            </w:r>
            <w:r>
              <w:rPr>
                <w:rFonts w:hint="eastAsia"/>
                <w:i/>
                <w:iCs/>
                <w:color w:val="auto"/>
              </w:rPr>
              <w:t>Rattus flavipectus</w:t>
            </w:r>
            <w:r>
              <w:rPr>
                <w:rFonts w:hint="eastAsia"/>
                <w:color w:val="auto"/>
              </w:rPr>
              <w:t>、黄鼬</w:t>
            </w:r>
            <w:r>
              <w:rPr>
                <w:rFonts w:hint="eastAsia"/>
                <w:i/>
                <w:iCs/>
                <w:color w:val="auto"/>
              </w:rPr>
              <w:t>Mustela sibirica</w:t>
            </w:r>
            <w:r>
              <w:rPr>
                <w:rFonts w:hint="eastAsia"/>
                <w:color w:val="auto"/>
              </w:rPr>
              <w:t>。在工程影响评价区及邻近地区分布的哺乳动物中，无国家级重点保护野生动物；也无云南省级重点保护野生动物；也无《中国生物多样性红色名录-脊椎动物卷（2020）》列入的珍稀动物。调查未发现该地区特有种类分布。项目用地基本上不占据动物的栖息地，占用植被有限且非区域原生植被，大大降低了对该区哺乳动物的影响；受影响的主要是适生于灌丛、草丛等的小型兽类，将迁移至附近受干扰小的区域，在施工区附近区域上述兽类栖息适宜度降低，种类和数量将相应减少，而伴随人类生活的一些啮齿目、食虫目动物（如小家鼠等），其种群数量会有所增加，与之相适应，主要以鼠类为食的黄鼬等种群数量将也会有所增加。工程建成后，随着植被的逐渐恢复，生态环境的好转，人为干扰减少，许多外迁的兽类会陆续回到原来的栖息地。</w:t>
            </w:r>
          </w:p>
          <w:p w14:paraId="23A7E236">
            <w:pPr>
              <w:ind w:firstLine="482"/>
              <w:rPr>
                <w:b/>
                <w:bCs/>
                <w:color w:val="auto"/>
              </w:rPr>
            </w:pPr>
            <w:r>
              <w:rPr>
                <w:rFonts w:hint="eastAsia"/>
                <w:b/>
                <w:bCs/>
                <w:color w:val="auto"/>
              </w:rPr>
              <w:t>②</w:t>
            </w:r>
            <w:r>
              <w:rPr>
                <w:b/>
                <w:bCs/>
                <w:color w:val="auto"/>
              </w:rPr>
              <w:t>鸟类</w:t>
            </w:r>
          </w:p>
          <w:p w14:paraId="7A9E05FC">
            <w:pPr>
              <w:widowControl/>
              <w:ind w:firstLine="480"/>
              <w:jc w:val="left"/>
              <w:rPr>
                <w:color w:val="auto"/>
              </w:rPr>
            </w:pPr>
            <w:r>
              <w:rPr>
                <w:color w:val="auto"/>
              </w:rPr>
              <w:t>评价区分布的鸟类均为当地常见的鸟类，主要为</w:t>
            </w:r>
            <w:r>
              <w:rPr>
                <w:rFonts w:hint="eastAsia"/>
                <w:color w:val="auto"/>
              </w:rPr>
              <w:t>以雀形目</w:t>
            </w:r>
            <w:r>
              <w:rPr>
                <w:color w:val="auto"/>
              </w:rPr>
              <w:t>的广布种</w:t>
            </w:r>
            <w:r>
              <w:rPr>
                <w:rFonts w:hint="eastAsia"/>
                <w:color w:val="auto"/>
              </w:rPr>
              <w:t>为主，常见有家燕</w:t>
            </w:r>
            <w:r>
              <w:rPr>
                <w:rFonts w:hint="eastAsia"/>
                <w:i/>
                <w:iCs/>
                <w:color w:val="auto"/>
              </w:rPr>
              <w:t>Hirundo rustica</w:t>
            </w:r>
            <w:r>
              <w:rPr>
                <w:rFonts w:hint="eastAsia"/>
                <w:color w:val="auto"/>
              </w:rPr>
              <w:t>、黄臀鹎</w:t>
            </w:r>
            <w:r>
              <w:rPr>
                <w:rFonts w:hint="eastAsia"/>
                <w:i/>
                <w:iCs/>
                <w:color w:val="auto"/>
              </w:rPr>
              <w:t>Pycnonotus xanthorrhous</w:t>
            </w:r>
            <w:r>
              <w:rPr>
                <w:rFonts w:hint="eastAsia"/>
                <w:color w:val="auto"/>
              </w:rPr>
              <w:t>、树麻雀</w:t>
            </w:r>
            <w:r>
              <w:rPr>
                <w:rFonts w:hint="eastAsia"/>
                <w:i/>
                <w:iCs/>
                <w:color w:val="auto"/>
              </w:rPr>
              <w:t>Passer montanus</w:t>
            </w:r>
            <w:r>
              <w:rPr>
                <w:color w:val="auto"/>
                <w:lang w:bidi="ar"/>
              </w:rPr>
              <w:t>。</w:t>
            </w:r>
            <w:r>
              <w:rPr>
                <w:color w:val="auto"/>
              </w:rPr>
              <w:t>均为</w:t>
            </w:r>
            <w:r>
              <w:rPr>
                <w:rFonts w:hint="eastAsia"/>
                <w:color w:val="auto"/>
              </w:rPr>
              <w:t>云南地区</w:t>
            </w:r>
            <w:r>
              <w:rPr>
                <w:color w:val="auto"/>
              </w:rPr>
              <w:t>常见的鸟类，未发现有发现国家和省级重点保护的物种，也未发现仅在当地分布的特有种</w:t>
            </w:r>
            <w:r>
              <w:rPr>
                <w:rFonts w:hint="eastAsia"/>
                <w:color w:val="auto"/>
              </w:rPr>
              <w:t>。总体来看，评价区施工区没有鸟类集中的栖息或繁殖地，更没有重点保护野生鸟类的固定繁殖地；而施工期由于人为活动、施工噪声等会惊吓干扰的鸟类会暂时避绕到影响区外觅食，但由于大部分鸟类活动能力与范围较广，受影响施工影响十分有限。</w:t>
            </w:r>
          </w:p>
          <w:p w14:paraId="1B58829E">
            <w:pPr>
              <w:ind w:firstLine="482"/>
              <w:rPr>
                <w:b/>
                <w:bCs/>
                <w:color w:val="auto"/>
              </w:rPr>
            </w:pPr>
            <w:r>
              <w:rPr>
                <w:rFonts w:hint="eastAsia"/>
                <w:b/>
                <w:bCs/>
                <w:color w:val="auto"/>
              </w:rPr>
              <w:t>③两栖</w:t>
            </w:r>
            <w:r>
              <w:rPr>
                <w:b/>
                <w:bCs/>
                <w:color w:val="auto"/>
              </w:rPr>
              <w:t>爬行类</w:t>
            </w:r>
          </w:p>
          <w:p w14:paraId="2D97BACC">
            <w:pPr>
              <w:ind w:firstLine="480"/>
              <w:rPr>
                <w:color w:val="auto"/>
              </w:rPr>
            </w:pPr>
            <w:r>
              <w:rPr>
                <w:rFonts w:hint="eastAsia"/>
                <w:bCs/>
                <w:color w:val="auto"/>
                <w:kern w:val="0"/>
              </w:rPr>
              <w:t>区域分布两栖</w:t>
            </w:r>
            <w:r>
              <w:rPr>
                <w:bCs/>
                <w:color w:val="auto"/>
                <w:kern w:val="0"/>
              </w:rPr>
              <w:t>爬行类有</w:t>
            </w:r>
            <w:r>
              <w:rPr>
                <w:rFonts w:hint="eastAsia"/>
                <w:bCs/>
                <w:color w:val="auto"/>
                <w:kern w:val="0"/>
              </w:rPr>
              <w:t>蟾蜍科Bufonidae</w:t>
            </w:r>
            <w:r>
              <w:rPr>
                <w:bCs/>
                <w:color w:val="auto"/>
                <w:kern w:val="0"/>
              </w:rPr>
              <w:t>、</w:t>
            </w:r>
            <w:r>
              <w:rPr>
                <w:rFonts w:hint="eastAsia"/>
                <w:bCs/>
                <w:color w:val="auto"/>
                <w:kern w:val="0"/>
              </w:rPr>
              <w:t>蛙科Ranidae</w:t>
            </w:r>
            <w:r>
              <w:rPr>
                <w:bCs/>
                <w:color w:val="auto"/>
                <w:kern w:val="0"/>
              </w:rPr>
              <w:t>、鬣蜥科Gamidae、壁虎科Gekkonidae、游蛇科Colubridae等。调查中未发现国家</w:t>
            </w:r>
            <w:r>
              <w:rPr>
                <w:color w:val="auto"/>
              </w:rPr>
              <w:t>和省级重点保护的物种，也未发现仅在当地分布的特有种</w:t>
            </w:r>
            <w:r>
              <w:rPr>
                <w:rFonts w:hint="eastAsia"/>
                <w:color w:val="auto"/>
              </w:rPr>
              <w:t>。项目周边缺乏自然水体，两栖爬行类少见。工程可能会影响个别爬行类动物生境，但由于它们可迁移到非施工区，且评价区范围内替代生境较多，工程占用的面积相对较小，其对动物的影响较小，不会对其生存造成较大威胁。</w:t>
            </w:r>
          </w:p>
          <w:p w14:paraId="30E5DDF5">
            <w:pPr>
              <w:ind w:firstLine="480"/>
              <w:rPr>
                <w:rFonts w:cs="Times New Roman"/>
                <w:color w:val="auto"/>
              </w:rPr>
            </w:pPr>
            <w:r>
              <w:rPr>
                <w:rFonts w:hint="eastAsia" w:cs="Times New Roman"/>
                <w:color w:val="auto"/>
              </w:rPr>
              <w:t>综上所述，根据《中国生物多样性红色名录--脊椎动物卷（2020）》、《国家重点保护野生动物名录》（2021）和《云南省各州市分布的国家重点保护野生动植物名录》（2021年第3号）结合现场调查明确没有受保护的野生动物种类。</w:t>
            </w:r>
          </w:p>
          <w:p w14:paraId="7D80BC2B">
            <w:pPr>
              <w:autoSpaceDE w:val="0"/>
              <w:autoSpaceDN w:val="0"/>
              <w:ind w:firstLine="482"/>
              <w:rPr>
                <w:b/>
                <w:bCs/>
                <w:color w:val="auto"/>
              </w:rPr>
            </w:pPr>
            <w:r>
              <w:rPr>
                <w:rFonts w:hint="eastAsia"/>
                <w:b/>
                <w:bCs/>
                <w:color w:val="auto"/>
              </w:rPr>
              <w:t>④重要生境</w:t>
            </w:r>
          </w:p>
          <w:p w14:paraId="4EBFB85A">
            <w:pPr>
              <w:autoSpaceDE w:val="0"/>
              <w:autoSpaceDN w:val="0"/>
              <w:ind w:firstLine="480"/>
              <w:rPr>
                <w:color w:val="auto"/>
              </w:rPr>
            </w:pPr>
            <w:r>
              <w:rPr>
                <w:rFonts w:hint="eastAsia"/>
                <w:color w:val="auto"/>
              </w:rPr>
              <w:t>根据相关资料和现场调查，项目不涉及重要野生动物的栖息地、繁殖地、停歇地、越冬地，不涉及南涧凤凰山候鸟迁徙通道重要保护范围。</w:t>
            </w:r>
          </w:p>
          <w:p w14:paraId="2C1042EB">
            <w:pPr>
              <w:autoSpaceDE w:val="0"/>
              <w:autoSpaceDN w:val="0"/>
              <w:ind w:firstLine="482"/>
              <w:rPr>
                <w:b/>
                <w:bCs/>
                <w:color w:val="auto"/>
              </w:rPr>
            </w:pPr>
            <w:r>
              <w:rPr>
                <w:rFonts w:hint="eastAsia"/>
                <w:b/>
                <w:bCs/>
                <w:color w:val="auto"/>
              </w:rPr>
              <w:t>⑤</w:t>
            </w:r>
            <w:r>
              <w:rPr>
                <w:b/>
                <w:bCs/>
                <w:color w:val="auto"/>
              </w:rPr>
              <w:t>重要野生动物</w:t>
            </w:r>
          </w:p>
          <w:p w14:paraId="06E3EC45">
            <w:pPr>
              <w:autoSpaceDE w:val="0"/>
              <w:autoSpaceDN w:val="0"/>
              <w:ind w:firstLine="480"/>
              <w:rPr>
                <w:color w:val="auto"/>
              </w:rPr>
            </w:pPr>
            <w:r>
              <w:rPr>
                <w:rFonts w:hint="eastAsia"/>
                <w:color w:val="auto"/>
              </w:rPr>
              <w:t>对照《国家重点保护野生动物名录》（国家林业和草原农业农村部公告2021年第3号）和《云南省重点保护陆生野生动物名录（2023）》（云南省林业和草原局公告 2023年第9号）并结合实地调查，评价区未发现国家级、云南省省级重点保护野生动物分布；经调查，评价区未发现局限分布于南涧县或项目评价区范围区的狭域特有野生动物属、种；未发现《云南省极小种群物种拯救保护规划纲要》（2010~2020年）中附表2所列的野生动物极小种群物种分布；未发现《中国生物多样性红色名录-脊椎动物卷》中列为极危（Critically Endangered）、濒危（Endangered）和易危（Vulnerable）的动物物种分布。</w:t>
            </w:r>
          </w:p>
          <w:p w14:paraId="70EBBDB3">
            <w:pPr>
              <w:pStyle w:val="4"/>
              <w:spacing w:before="48" w:after="48"/>
              <w:rPr>
                <w:color w:val="auto"/>
              </w:rPr>
            </w:pPr>
            <w:r>
              <w:rPr>
                <w:rFonts w:hint="eastAsia"/>
                <w:color w:val="auto"/>
              </w:rPr>
              <w:t>项目周边生态敏感区</w:t>
            </w:r>
          </w:p>
          <w:p w14:paraId="1C68DFC5">
            <w:pPr>
              <w:ind w:firstLine="480"/>
              <w:rPr>
                <w:color w:val="auto"/>
              </w:rPr>
            </w:pPr>
            <w:r>
              <w:rPr>
                <w:rFonts w:hint="eastAsia"/>
                <w:color w:val="auto"/>
              </w:rPr>
              <w:t>根据《环境影响评价技术导则 生态影响》（HJ 19-2022），生态敏感区包括法定生态保护区域、重要生境以及其他具有重要生态功能、对保护生物多样性具有重要意义的区域。本项目影响范围不涉及占用依法设立的国家公园、自然保护区、自然公园、世界自然遗产、生态保护红线、重要生境、基本草原等生态敏感区，不在云南省生物多样性保护优先区域内，本项目周边距离较近的生态敏感区有：</w:t>
            </w:r>
          </w:p>
          <w:p w14:paraId="35104FB2">
            <w:pPr>
              <w:ind w:firstLine="482"/>
              <w:rPr>
                <w:b/>
                <w:bCs/>
                <w:color w:val="auto"/>
              </w:rPr>
            </w:pPr>
            <w:r>
              <w:rPr>
                <w:rFonts w:hint="eastAsia"/>
                <w:b/>
                <w:bCs/>
                <w:color w:val="auto"/>
              </w:rPr>
              <w:t>（1）云南无量山国家级自然保护区</w:t>
            </w:r>
          </w:p>
          <w:p w14:paraId="371A94CF">
            <w:pPr>
              <w:ind w:firstLine="480"/>
              <w:rPr>
                <w:color w:val="auto"/>
              </w:rPr>
            </w:pPr>
            <w:r>
              <w:rPr>
                <w:color w:val="auto"/>
              </w:rPr>
              <w:t>云南无量山国家级自然保护区属野生动物类型自然保护区，位于普洱市景东彝族自治县和大理白族自治州南涧彝族自治县结合部，地理坐标东经100°19′24”～100°44′39”、北纬24°16′37”～24°55′09”，总面积31585公顷。2000年4月经国务院批准晋升为国家级自然保护区，2023年11月入选首批陆生野生动物重要栖息地名录。</w:t>
            </w:r>
          </w:p>
          <w:p w14:paraId="11CB9614">
            <w:pPr>
              <w:ind w:firstLine="480"/>
              <w:rPr>
                <w:color w:val="auto"/>
              </w:rPr>
            </w:pPr>
            <w:r>
              <w:rPr>
                <w:color w:val="auto"/>
              </w:rPr>
              <w:t>保护区地处横断山脉南端中山峡谷地带，主峰猫头山海拔3306米，与澜沧江河谷相对高差达2300米。气候垂直分布显著，涵盖南亚热带至温带气候类型，分布有云南铁杉林等14个植被群系，记录维管束植物2574种、陆生脊椎动物600种，包含西黑冠长臂猿、印支灰叶猴等国家一级重点保护野生动物。森林覆盖率达98%，保存有云南中南部面积最大的云南铁杉林和元江栲林。</w:t>
            </w:r>
          </w:p>
          <w:p w14:paraId="21FA39B2">
            <w:pPr>
              <w:ind w:firstLine="480"/>
              <w:rPr>
                <w:color w:val="auto"/>
              </w:rPr>
            </w:pPr>
            <w:r>
              <w:rPr>
                <w:color w:val="auto"/>
              </w:rPr>
              <w:t>根据202</w:t>
            </w:r>
            <w:r>
              <w:rPr>
                <w:rFonts w:hint="eastAsia"/>
                <w:color w:val="auto"/>
              </w:rPr>
              <w:t>5</w:t>
            </w:r>
            <w:r>
              <w:rPr>
                <w:color w:val="auto"/>
              </w:rPr>
              <w:t>年</w:t>
            </w:r>
            <w:r>
              <w:rPr>
                <w:rFonts w:hint="eastAsia"/>
                <w:color w:val="auto"/>
              </w:rPr>
              <w:t>12</w:t>
            </w:r>
            <w:r>
              <w:rPr>
                <w:color w:val="auto"/>
              </w:rPr>
              <w:t>月</w:t>
            </w:r>
            <w:r>
              <w:rPr>
                <w:rFonts w:hint="eastAsia"/>
                <w:color w:val="auto"/>
              </w:rPr>
              <w:t>26</w:t>
            </w:r>
            <w:r>
              <w:rPr>
                <w:color w:val="auto"/>
              </w:rPr>
              <w:t>日，</w:t>
            </w:r>
            <w:r>
              <w:rPr>
                <w:rFonts w:hint="eastAsia"/>
                <w:color w:val="auto"/>
              </w:rPr>
              <w:t>云南无量山国家级自然保护区南涧管护局</w:t>
            </w:r>
            <w:r>
              <w:rPr>
                <w:color w:val="auto"/>
              </w:rPr>
              <w:t>出具的查询文件，项目不在</w:t>
            </w:r>
            <w:r>
              <w:rPr>
                <w:rFonts w:hint="eastAsia"/>
                <w:color w:val="auto"/>
              </w:rPr>
              <w:t>云南无量山国家级自然保护区</w:t>
            </w:r>
            <w:r>
              <w:rPr>
                <w:color w:val="auto"/>
              </w:rPr>
              <w:t>范围内</w:t>
            </w:r>
            <w:r>
              <w:rPr>
                <w:rFonts w:hint="eastAsia"/>
                <w:color w:val="auto"/>
              </w:rPr>
              <w:t>，S18</w:t>
            </w:r>
            <w:r>
              <w:rPr>
                <w:color w:val="auto"/>
              </w:rPr>
              <w:t>光伏方阵用地红线与</w:t>
            </w:r>
            <w:r>
              <w:rPr>
                <w:rFonts w:hint="eastAsia"/>
                <w:color w:val="auto"/>
              </w:rPr>
              <w:t>“云南无量山国家级自然保护区距离约307m，见</w:t>
            </w:r>
            <w:r>
              <w:rPr>
                <w:color w:val="auto"/>
              </w:rPr>
              <w:fldChar w:fldCharType="begin"/>
            </w:r>
            <w:r>
              <w:rPr>
                <w:color w:val="auto"/>
              </w:rPr>
              <w:instrText xml:space="preserve"> </w:instrText>
            </w:r>
            <w:r>
              <w:rPr>
                <w:rFonts w:hint="eastAsia"/>
                <w:color w:val="auto"/>
              </w:rPr>
              <w:instrText xml:space="preserve">REF _Ref218541429 \h</w:instrText>
            </w:r>
            <w:r>
              <w:rPr>
                <w:color w:val="auto"/>
              </w:rPr>
              <w:instrText xml:space="preserve"> </w:instrText>
            </w:r>
            <w:r>
              <w:rPr>
                <w:color w:val="auto"/>
              </w:rPr>
              <w:fldChar w:fldCharType="separate"/>
            </w:r>
            <w:r>
              <w:rPr>
                <w:rFonts w:hint="eastAsia"/>
                <w:color w:val="auto"/>
                <w:szCs w:val="28"/>
              </w:rPr>
              <w:t>附件</w:t>
            </w:r>
            <w:r>
              <w:rPr>
                <w:color w:val="auto"/>
                <w:szCs w:val="28"/>
              </w:rPr>
              <w:t xml:space="preserve"> 7</w:t>
            </w:r>
            <w:r>
              <w:rPr>
                <w:color w:val="auto"/>
              </w:rPr>
              <w:fldChar w:fldCharType="end"/>
            </w:r>
            <w:r>
              <w:rPr>
                <w:rFonts w:hint="eastAsia"/>
                <w:color w:val="auto"/>
              </w:rPr>
              <w:t>和</w:t>
            </w:r>
            <w:r>
              <w:rPr>
                <w:color w:val="auto"/>
              </w:rPr>
              <w:fldChar w:fldCharType="begin"/>
            </w:r>
            <w:r>
              <w:rPr>
                <w:color w:val="auto"/>
              </w:rPr>
              <w:instrText xml:space="preserve"> </w:instrText>
            </w:r>
            <w:r>
              <w:rPr>
                <w:rFonts w:hint="eastAsia"/>
                <w:color w:val="auto"/>
              </w:rPr>
              <w:instrText xml:space="preserve">REF _Ref218541438 \h</w:instrText>
            </w:r>
            <w:r>
              <w:rPr>
                <w:color w:val="auto"/>
              </w:rPr>
              <w:instrText xml:space="preserve"> </w:instrText>
            </w:r>
            <w:r>
              <w:rPr>
                <w:color w:val="auto"/>
              </w:rPr>
              <w:fldChar w:fldCharType="separate"/>
            </w:r>
            <w:r>
              <w:rPr>
                <w:rFonts w:hint="eastAsia"/>
                <w:color w:val="auto"/>
                <w:szCs w:val="24"/>
              </w:rPr>
              <w:t xml:space="preserve">附图 </w:t>
            </w:r>
            <w:r>
              <w:rPr>
                <w:color w:val="auto"/>
                <w:szCs w:val="24"/>
              </w:rPr>
              <w:t>16</w:t>
            </w:r>
            <w:r>
              <w:rPr>
                <w:color w:val="auto"/>
              </w:rPr>
              <w:fldChar w:fldCharType="end"/>
            </w:r>
            <w:r>
              <w:rPr>
                <w:color w:val="auto"/>
              </w:rPr>
              <w:t>。</w:t>
            </w:r>
          </w:p>
          <w:p w14:paraId="4A2C05E1">
            <w:pPr>
              <w:ind w:firstLine="482"/>
              <w:rPr>
                <w:b/>
                <w:bCs/>
                <w:color w:val="auto"/>
              </w:rPr>
            </w:pPr>
            <w:r>
              <w:rPr>
                <w:rFonts w:hint="eastAsia"/>
                <w:b/>
                <w:bCs/>
                <w:color w:val="auto"/>
              </w:rPr>
              <w:t>（2）云南灵宝山国家级森林公园</w:t>
            </w:r>
          </w:p>
          <w:p w14:paraId="00C34B19">
            <w:pPr>
              <w:ind w:firstLine="480"/>
              <w:rPr>
                <w:color w:val="auto"/>
              </w:rPr>
            </w:pPr>
            <w:r>
              <w:rPr>
                <w:color w:val="auto"/>
              </w:rPr>
              <w:t>1997年12月，原林业部批准设立云南灵宝山国家森林公园。云南灵宝山国家森林公园位于</w:t>
            </w:r>
            <w:r>
              <w:rPr>
                <w:color w:val="auto"/>
              </w:rPr>
              <w:fldChar w:fldCharType="begin"/>
            </w:r>
            <w:r>
              <w:rPr>
                <w:color w:val="auto"/>
              </w:rPr>
              <w:instrText xml:space="preserve">HYPERLINK "https://baike.baidu.com/item/%E4%BA%91%E5%8D%97%E7%9C%81/18664752?fromModule=lemma_inlink" \t "_blank"</w:instrText>
            </w:r>
            <w:r>
              <w:rPr>
                <w:color w:val="auto"/>
              </w:rPr>
              <w:fldChar w:fldCharType="separate"/>
            </w:r>
            <w:r>
              <w:rPr>
                <w:rStyle w:val="46"/>
                <w:color w:val="auto"/>
                <w:u w:val="none"/>
              </w:rPr>
              <w:t>云南省</w:t>
            </w:r>
            <w:r>
              <w:rPr>
                <w:color w:val="auto"/>
              </w:rPr>
              <w:fldChar w:fldCharType="end"/>
            </w:r>
            <w:r>
              <w:rPr>
                <w:color w:val="auto"/>
              </w:rPr>
              <w:t>大理白族自治州南涧彝族自治县南部，地理坐标在东经100°29′00″</w:t>
            </w:r>
            <w:r>
              <w:rPr>
                <w:rFonts w:hint="eastAsia"/>
                <w:color w:val="auto"/>
              </w:rPr>
              <w:t>~</w:t>
            </w:r>
            <w:r>
              <w:rPr>
                <w:color w:val="auto"/>
              </w:rPr>
              <w:t>100°31′20″，北纬24°44′20″</w:t>
            </w:r>
            <w:r>
              <w:rPr>
                <w:rFonts w:hint="eastAsia"/>
                <w:color w:val="auto"/>
              </w:rPr>
              <w:t>~</w:t>
            </w:r>
            <w:r>
              <w:rPr>
                <w:color w:val="auto"/>
              </w:rPr>
              <w:t>24°47′10″之间，规划总面积为811.2公顷。</w:t>
            </w:r>
          </w:p>
          <w:p w14:paraId="5F24A3D8">
            <w:pPr>
              <w:ind w:firstLine="480"/>
              <w:rPr>
                <w:color w:val="auto"/>
              </w:rPr>
            </w:pPr>
            <w:r>
              <w:rPr>
                <w:color w:val="auto"/>
              </w:rPr>
              <w:t>云南灵宝山国家森林公园地处无量山北段，多中山山地地貌，土壤主要为红壤、黄棕壤、棕壤三类，海拔2528米，属低纬山地季风气候区，森林覆盖率达96.2%，有常绿阔叶林、落叶阔叶林、暖性针叶林、灌丛等植被类型，有植物185科792种，有兽类22科74种，有鸟类29科117种，有两栖爬行类56种。</w:t>
            </w:r>
          </w:p>
          <w:p w14:paraId="6FE88436">
            <w:pPr>
              <w:ind w:firstLine="480"/>
              <w:rPr>
                <w:color w:val="auto"/>
              </w:rPr>
            </w:pPr>
            <w:r>
              <w:rPr>
                <w:color w:val="auto"/>
              </w:rPr>
              <w:t>根据</w:t>
            </w:r>
            <w:r>
              <w:rPr>
                <w:color w:val="auto"/>
              </w:rPr>
              <w:fldChar w:fldCharType="begin"/>
            </w:r>
            <w:r>
              <w:rPr>
                <w:color w:val="auto"/>
              </w:rPr>
              <w:instrText xml:space="preserve"> REF _Ref218541438 \h </w:instrText>
            </w:r>
            <w:r>
              <w:rPr>
                <w:color w:val="auto"/>
              </w:rPr>
              <w:fldChar w:fldCharType="separate"/>
            </w:r>
            <w:r>
              <w:rPr>
                <w:rFonts w:hint="eastAsia"/>
                <w:color w:val="auto"/>
                <w:szCs w:val="24"/>
              </w:rPr>
              <w:t xml:space="preserve">附图 </w:t>
            </w:r>
            <w:r>
              <w:rPr>
                <w:color w:val="auto"/>
                <w:szCs w:val="24"/>
              </w:rPr>
              <w:t>16</w:t>
            </w:r>
            <w:r>
              <w:rPr>
                <w:color w:val="auto"/>
              </w:rPr>
              <w:fldChar w:fldCharType="end"/>
            </w:r>
            <w:r>
              <w:rPr>
                <w:rFonts w:hint="eastAsia"/>
                <w:color w:val="auto"/>
              </w:rPr>
              <w:t>，S22</w:t>
            </w:r>
            <w:r>
              <w:rPr>
                <w:color w:val="auto"/>
              </w:rPr>
              <w:t>光伏方阵用地红线与</w:t>
            </w:r>
            <w:r>
              <w:rPr>
                <w:rFonts w:hint="eastAsia"/>
                <w:color w:val="auto"/>
              </w:rPr>
              <w:t>云南灵宝山国家级森林公园距离约506m</w:t>
            </w:r>
            <w:r>
              <w:rPr>
                <w:color w:val="auto"/>
              </w:rPr>
              <w:t>。</w:t>
            </w:r>
          </w:p>
          <w:p w14:paraId="28909FA0">
            <w:pPr>
              <w:ind w:firstLine="482"/>
              <w:rPr>
                <w:color w:val="auto"/>
              </w:rPr>
            </w:pPr>
            <w:r>
              <w:rPr>
                <w:rFonts w:hint="eastAsia"/>
                <w:b/>
                <w:bCs/>
                <w:color w:val="auto"/>
              </w:rPr>
              <w:t>（3）</w:t>
            </w:r>
            <w:r>
              <w:rPr>
                <w:b/>
                <w:bCs/>
                <w:color w:val="auto"/>
              </w:rPr>
              <w:t>生态保护红线</w:t>
            </w:r>
          </w:p>
          <w:p w14:paraId="4F487A6A">
            <w:pPr>
              <w:ind w:firstLine="480"/>
              <w:rPr>
                <w:color w:val="auto"/>
              </w:rPr>
            </w:pPr>
            <w:r>
              <w:rPr>
                <w:rFonts w:hint="eastAsia" w:ascii="Cambria Math" w:hAnsi="Cambria Math" w:cs="Cambria Math"/>
                <w:color w:val="auto"/>
              </w:rPr>
              <w:t>①</w:t>
            </w:r>
            <w:r>
              <w:rPr>
                <w:color w:val="auto"/>
              </w:rPr>
              <w:t>生态保护红线简介</w:t>
            </w:r>
          </w:p>
          <w:p w14:paraId="2A8D24AD">
            <w:pPr>
              <w:ind w:firstLine="480"/>
              <w:rPr>
                <w:color w:val="auto"/>
              </w:rPr>
            </w:pPr>
            <w:r>
              <w:rPr>
                <w:color w:val="auto"/>
              </w:rPr>
              <w:t>云南省全省生态保护红线面积11.84万平方千米，占国土面积的30.90%。</w:t>
            </w:r>
            <w:r>
              <w:rPr>
                <w:color w:val="auto"/>
                <w:spacing w:val="4"/>
              </w:rPr>
              <w:t>基本格局呈“三屏两带”。“三屏”</w:t>
            </w:r>
            <w:r>
              <w:rPr>
                <w:rFonts w:hint="eastAsia"/>
                <w:color w:val="auto"/>
                <w:spacing w:val="4"/>
              </w:rPr>
              <w:t>：</w:t>
            </w:r>
            <w:r>
              <w:rPr>
                <w:color w:val="auto"/>
                <w:spacing w:val="4"/>
              </w:rPr>
              <w:t>青藏高原南缘滇西北高山峡谷生态屏</w:t>
            </w:r>
            <w:r>
              <w:rPr>
                <w:color w:val="auto"/>
              </w:rPr>
              <w:t>障、哀牢山</w:t>
            </w:r>
            <w:r>
              <w:rPr>
                <w:rFonts w:hint="eastAsia"/>
                <w:color w:val="auto"/>
              </w:rPr>
              <w:t>-</w:t>
            </w:r>
            <w:r>
              <w:rPr>
                <w:color w:val="auto"/>
              </w:rPr>
              <w:t>无量山山地生态屏障、南部边境热带森林生态屏障。“两带”</w:t>
            </w:r>
            <w:r>
              <w:rPr>
                <w:rFonts w:hint="eastAsia"/>
                <w:color w:val="auto"/>
              </w:rPr>
              <w:t>：</w:t>
            </w:r>
            <w:r>
              <w:rPr>
                <w:color w:val="auto"/>
              </w:rPr>
              <w:t>金沙江、澜沧江、红河干热河谷地带，东南部喀斯特地带。</w:t>
            </w:r>
          </w:p>
          <w:p w14:paraId="03C4D778">
            <w:pPr>
              <w:ind w:firstLine="480"/>
              <w:rPr>
                <w:color w:val="auto"/>
              </w:rPr>
            </w:pPr>
            <w:r>
              <w:rPr>
                <w:color w:val="auto"/>
              </w:rPr>
              <w:t>项目所在区域生态保护红线为滇西北高山峡谷生物多样性维护与水源涵</w:t>
            </w:r>
            <w:r>
              <w:rPr>
                <w:color w:val="auto"/>
                <w:spacing w:val="2"/>
              </w:rPr>
              <w:t>养生态保护红线。该区域位于我省西北部，涉及保山、大理、丽江、怒江、</w:t>
            </w:r>
            <w:r>
              <w:rPr>
                <w:color w:val="auto"/>
              </w:rPr>
              <w:t>迪庆等5个州、市，面积3.54万平方千米，占全省生态保护红线面积的29.90%</w:t>
            </w:r>
            <w:r>
              <w:rPr>
                <w:rFonts w:hint="eastAsia"/>
                <w:color w:val="auto"/>
              </w:rPr>
              <w:t>，</w:t>
            </w:r>
            <w:r>
              <w:rPr>
                <w:color w:val="auto"/>
              </w:rPr>
              <w:t>是全省海拔最高的地区，为典型的高山峡谷地貌分布区。受季风和地形影响，</w:t>
            </w:r>
            <w:r>
              <w:rPr>
                <w:color w:val="auto"/>
                <w:spacing w:val="2"/>
              </w:rPr>
              <w:t>立体气候极为显著。植被以中山湿性常绿阔叶林、</w:t>
            </w:r>
            <w:r>
              <w:rPr>
                <w:color w:val="auto"/>
              </w:rPr>
              <w:t>暖温性针叶林、温凉性针</w:t>
            </w:r>
            <w:r>
              <w:rPr>
                <w:color w:val="auto"/>
                <w:spacing w:val="6"/>
              </w:rPr>
              <w:t>叶林、寒温性针叶林、高山寒温草甸等为代</w:t>
            </w:r>
            <w:r>
              <w:rPr>
                <w:color w:val="auto"/>
                <w:spacing w:val="5"/>
              </w:rPr>
              <w:t>表。重点保护物种有滇金丝猴、</w:t>
            </w:r>
            <w:r>
              <w:rPr>
                <w:color w:val="auto"/>
                <w:spacing w:val="2"/>
              </w:rPr>
              <w:t>白眉长臂猿、云豹、雪豹、金雕、云南红豆杉、珙桐、澜沧黄杉</w:t>
            </w:r>
            <w:r>
              <w:rPr>
                <w:color w:val="auto"/>
              </w:rPr>
              <w:t>、大果红杉、</w:t>
            </w:r>
            <w:r>
              <w:rPr>
                <w:color w:val="auto"/>
                <w:spacing w:val="2"/>
              </w:rPr>
              <w:t>油麦吊云杉等珍稀动植物。已建有云南白马雪山国家级自然保护区、云南高黎贡山国家级自然保护区、香格里拉哈巴雪山省级</w:t>
            </w:r>
            <w:r>
              <w:rPr>
                <w:color w:val="auto"/>
              </w:rPr>
              <w:t>自然保护区、三江并流世</w:t>
            </w:r>
            <w:r>
              <w:rPr>
                <w:color w:val="auto"/>
                <w:spacing w:val="6"/>
              </w:rPr>
              <w:t>界自然遗产地等保护地。</w:t>
            </w:r>
          </w:p>
          <w:p w14:paraId="318AC92C">
            <w:pPr>
              <w:ind w:firstLine="480"/>
              <w:rPr>
                <w:color w:val="auto"/>
              </w:rPr>
            </w:pPr>
            <w:r>
              <w:rPr>
                <w:rFonts w:hint="eastAsia" w:ascii="Cambria Math" w:hAnsi="Cambria Math" w:cs="Cambria Math"/>
                <w:color w:val="auto"/>
              </w:rPr>
              <w:t>②</w:t>
            </w:r>
            <w:r>
              <w:rPr>
                <w:color w:val="auto"/>
              </w:rPr>
              <w:t>本项目与生态红线的位置关系</w:t>
            </w:r>
          </w:p>
          <w:p w14:paraId="345467C4">
            <w:pPr>
              <w:ind w:firstLine="480"/>
              <w:rPr>
                <w:color w:val="auto"/>
                <w:spacing w:val="-1"/>
              </w:rPr>
            </w:pPr>
            <w:r>
              <w:rPr>
                <w:color w:val="auto"/>
              </w:rPr>
              <w:t>工程永久和临时占地均不工程永久和临时占地均不占用生态保护红线。根据项目与生态红线位置关系图</w:t>
            </w:r>
            <w:r>
              <w:rPr>
                <w:rFonts w:hint="eastAsia"/>
                <w:color w:val="auto"/>
              </w:rPr>
              <w:t>，S21、S22</w:t>
            </w:r>
            <w:r>
              <w:rPr>
                <w:color w:val="auto"/>
              </w:rPr>
              <w:t>光伏方阵用地红线与生态保护红线的最近距离</w:t>
            </w:r>
            <w:r>
              <w:rPr>
                <w:rFonts w:hint="eastAsia"/>
                <w:color w:val="auto"/>
              </w:rPr>
              <w:t>5m，</w:t>
            </w:r>
            <w:r>
              <w:rPr>
                <w:color w:val="auto"/>
              </w:rPr>
              <w:fldChar w:fldCharType="begin"/>
            </w:r>
            <w:r>
              <w:rPr>
                <w:color w:val="auto"/>
              </w:rPr>
              <w:instrText xml:space="preserve"> </w:instrText>
            </w:r>
            <w:r>
              <w:rPr>
                <w:rFonts w:hint="eastAsia"/>
                <w:color w:val="auto"/>
              </w:rPr>
              <w:instrText xml:space="preserve">REF _Ref218542330 \h</w:instrText>
            </w:r>
            <w:r>
              <w:rPr>
                <w:color w:val="auto"/>
              </w:rPr>
              <w:instrText xml:space="preserve"> </w:instrText>
            </w:r>
            <w:r>
              <w:rPr>
                <w:color w:val="auto"/>
              </w:rPr>
              <w:fldChar w:fldCharType="separate"/>
            </w:r>
            <w:r>
              <w:rPr>
                <w:rFonts w:hint="eastAsia"/>
                <w:color w:val="auto"/>
                <w:szCs w:val="24"/>
              </w:rPr>
              <w:t xml:space="preserve">附图 </w:t>
            </w:r>
            <w:r>
              <w:rPr>
                <w:color w:val="auto"/>
                <w:szCs w:val="24"/>
              </w:rPr>
              <w:t>14</w:t>
            </w:r>
            <w:r>
              <w:rPr>
                <w:color w:val="auto"/>
              </w:rPr>
              <w:fldChar w:fldCharType="end"/>
            </w:r>
            <w:r>
              <w:rPr>
                <w:color w:val="auto"/>
                <w:spacing w:val="-1"/>
              </w:rPr>
              <w:t>。</w:t>
            </w:r>
          </w:p>
          <w:p w14:paraId="71C90BFD">
            <w:pPr>
              <w:ind w:firstLine="478"/>
              <w:rPr>
                <w:b/>
                <w:bCs/>
                <w:color w:val="auto"/>
                <w:spacing w:val="-1"/>
              </w:rPr>
            </w:pPr>
            <w:r>
              <w:rPr>
                <w:rFonts w:hint="eastAsia"/>
                <w:b/>
                <w:bCs/>
                <w:color w:val="auto"/>
                <w:spacing w:val="-1"/>
              </w:rPr>
              <w:t>（4）南涧凤凰山候鸟迁徙通道重要保护范围</w:t>
            </w:r>
          </w:p>
          <w:p w14:paraId="2C0E0319">
            <w:pPr>
              <w:ind w:firstLine="476"/>
              <w:rPr>
                <w:color w:val="auto"/>
              </w:rPr>
            </w:pPr>
            <w:r>
              <w:rPr>
                <w:rFonts w:hint="eastAsia"/>
                <w:color w:val="auto"/>
                <w:spacing w:val="-1"/>
              </w:rPr>
              <w:t>根据项目用地红线与云南省候鸟迁徙通道重点区域范围（第一批）叠图表明，S05光伏方阵用地红线与南涧凤凰山候鸟迁徙通道的最近距离15.9</w:t>
            </w:r>
            <w:r>
              <w:rPr>
                <w:color w:val="auto"/>
                <w:spacing w:val="-1"/>
              </w:rPr>
              <w:t>k</w:t>
            </w:r>
            <w:r>
              <w:rPr>
                <w:rFonts w:hint="eastAsia"/>
                <w:color w:val="auto"/>
                <w:spacing w:val="-1"/>
              </w:rPr>
              <w:t>m，不涉及南涧凤凰山候鸟迁徙通道重要保护范围。</w:t>
            </w:r>
          </w:p>
          <w:p w14:paraId="251D8852">
            <w:pPr>
              <w:ind w:firstLine="480"/>
              <w:rPr>
                <w:color w:val="auto"/>
              </w:rPr>
            </w:pPr>
            <w:r>
              <w:rPr>
                <w:color w:val="auto"/>
              </w:rPr>
              <w:t>本项目在选址和设计阶段进行了多次优化，已避让生态敏感区，</w:t>
            </w:r>
            <w:r>
              <w:rPr>
                <w:color w:val="auto"/>
                <w:spacing w:val="-4"/>
              </w:rPr>
              <w:t>详见下表。</w:t>
            </w:r>
          </w:p>
          <w:p w14:paraId="6148BC63">
            <w:pPr>
              <w:pStyle w:val="63"/>
              <w:ind w:firstLine="480"/>
              <w:rPr>
                <w:bCs/>
                <w:color w:val="auto"/>
                <w:spacing w:val="-2"/>
              </w:rPr>
            </w:pPr>
            <w:bookmarkStart w:id="633" w:name="_Ref218708934"/>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3</w:t>
            </w:r>
            <w:r>
              <w:rPr>
                <w:color w:val="auto"/>
              </w:rPr>
              <w:fldChar w:fldCharType="end"/>
            </w:r>
            <w:bookmarkEnd w:id="633"/>
            <w:r>
              <w:rPr>
                <w:color w:val="auto"/>
              </w:rPr>
              <w:t xml:space="preserve">  </w:t>
            </w:r>
            <w:r>
              <w:rPr>
                <w:bCs/>
                <w:color w:val="auto"/>
                <w:spacing w:val="-2"/>
              </w:rPr>
              <w:t>本项目</w:t>
            </w:r>
            <w:r>
              <w:rPr>
                <w:rFonts w:hint="eastAsia"/>
                <w:bCs/>
                <w:color w:val="auto"/>
                <w:spacing w:val="-2"/>
              </w:rPr>
              <w:t>与最近</w:t>
            </w:r>
            <w:r>
              <w:rPr>
                <w:bCs/>
                <w:color w:val="auto"/>
                <w:spacing w:val="-2"/>
              </w:rPr>
              <w:t>生态敏感区</w:t>
            </w:r>
            <w:r>
              <w:rPr>
                <w:rFonts w:hint="eastAsia"/>
                <w:bCs/>
                <w:color w:val="auto"/>
                <w:spacing w:val="-2"/>
              </w:rPr>
              <w:t>位置关系</w:t>
            </w:r>
            <w:r>
              <w:rPr>
                <w:bCs/>
                <w:color w:val="auto"/>
                <w:spacing w:val="-2"/>
              </w:rPr>
              <w:t>一览表</w:t>
            </w:r>
          </w:p>
          <w:tbl>
            <w:tblPr>
              <w:tblStyle w:val="21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67"/>
              <w:gridCol w:w="2253"/>
              <w:gridCol w:w="1501"/>
              <w:gridCol w:w="865"/>
              <w:gridCol w:w="2565"/>
            </w:tblGrid>
            <w:tr w14:paraId="1952D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425" w:type="pct"/>
                  <w:vAlign w:val="center"/>
                </w:tcPr>
                <w:p w14:paraId="3E700DA3">
                  <w:pPr>
                    <w:pStyle w:val="65"/>
                    <w:rPr>
                      <w:rFonts w:cs="Arial"/>
                      <w:b/>
                      <w:bCs/>
                      <w:color w:val="auto"/>
                      <w:kern w:val="0"/>
                      <w:szCs w:val="20"/>
                    </w:rPr>
                  </w:pPr>
                  <w:r>
                    <w:rPr>
                      <w:rFonts w:cs="Arial"/>
                      <w:b/>
                      <w:bCs/>
                      <w:color w:val="auto"/>
                      <w:kern w:val="0"/>
                      <w:szCs w:val="20"/>
                    </w:rPr>
                    <w:t>序号</w:t>
                  </w:r>
                </w:p>
              </w:tc>
              <w:tc>
                <w:tcPr>
                  <w:tcW w:w="1435" w:type="pct"/>
                  <w:vAlign w:val="center"/>
                </w:tcPr>
                <w:p w14:paraId="6BC800BA">
                  <w:pPr>
                    <w:pStyle w:val="65"/>
                    <w:rPr>
                      <w:rFonts w:cs="Arial"/>
                      <w:b/>
                      <w:bCs/>
                      <w:color w:val="auto"/>
                      <w:kern w:val="0"/>
                      <w:szCs w:val="20"/>
                    </w:rPr>
                  </w:pPr>
                  <w:r>
                    <w:rPr>
                      <w:rFonts w:cs="Arial"/>
                      <w:b/>
                      <w:bCs/>
                      <w:color w:val="auto"/>
                      <w:spacing w:val="7"/>
                      <w:kern w:val="0"/>
                      <w:szCs w:val="20"/>
                    </w:rPr>
                    <w:t>生态环境敏感区名称</w:t>
                  </w:r>
                </w:p>
              </w:tc>
              <w:tc>
                <w:tcPr>
                  <w:tcW w:w="956" w:type="pct"/>
                  <w:vAlign w:val="center"/>
                </w:tcPr>
                <w:p w14:paraId="72D0C997">
                  <w:pPr>
                    <w:pStyle w:val="65"/>
                    <w:rPr>
                      <w:rFonts w:cs="Arial"/>
                      <w:b/>
                      <w:bCs/>
                      <w:color w:val="auto"/>
                      <w:kern w:val="0"/>
                      <w:szCs w:val="20"/>
                    </w:rPr>
                  </w:pPr>
                  <w:r>
                    <w:rPr>
                      <w:rFonts w:cs="Arial"/>
                      <w:b/>
                      <w:bCs/>
                      <w:color w:val="auto"/>
                      <w:spacing w:val="5"/>
                      <w:kern w:val="0"/>
                      <w:szCs w:val="20"/>
                    </w:rPr>
                    <w:t>所属行政区域</w:t>
                  </w:r>
                </w:p>
              </w:tc>
              <w:tc>
                <w:tcPr>
                  <w:tcW w:w="551" w:type="pct"/>
                  <w:vAlign w:val="center"/>
                </w:tcPr>
                <w:p w14:paraId="4ED2A6F5">
                  <w:pPr>
                    <w:pStyle w:val="65"/>
                    <w:rPr>
                      <w:rFonts w:cs="Arial"/>
                      <w:b/>
                      <w:bCs/>
                      <w:color w:val="auto"/>
                      <w:kern w:val="0"/>
                      <w:szCs w:val="20"/>
                    </w:rPr>
                  </w:pPr>
                  <w:r>
                    <w:rPr>
                      <w:rFonts w:cs="Arial"/>
                      <w:b/>
                      <w:bCs/>
                      <w:color w:val="auto"/>
                      <w:spacing w:val="2"/>
                      <w:kern w:val="0"/>
                      <w:szCs w:val="20"/>
                    </w:rPr>
                    <w:t>级别</w:t>
                  </w:r>
                </w:p>
              </w:tc>
              <w:tc>
                <w:tcPr>
                  <w:tcW w:w="1633" w:type="pct"/>
                  <w:vAlign w:val="center"/>
                </w:tcPr>
                <w:p w14:paraId="025BDDA6">
                  <w:pPr>
                    <w:pStyle w:val="65"/>
                    <w:rPr>
                      <w:rFonts w:cs="Arial"/>
                      <w:b/>
                      <w:bCs/>
                      <w:color w:val="auto"/>
                      <w:kern w:val="0"/>
                      <w:szCs w:val="20"/>
                    </w:rPr>
                  </w:pPr>
                  <w:r>
                    <w:rPr>
                      <w:rFonts w:cs="Arial"/>
                      <w:b/>
                      <w:bCs/>
                      <w:color w:val="auto"/>
                      <w:spacing w:val="6"/>
                      <w:kern w:val="0"/>
                      <w:szCs w:val="20"/>
                    </w:rPr>
                    <w:t>与本项目位置关系</w:t>
                  </w:r>
                </w:p>
              </w:tc>
            </w:tr>
            <w:tr w14:paraId="2B259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25" w:type="pct"/>
                  <w:vAlign w:val="center"/>
                </w:tcPr>
                <w:p w14:paraId="1A3D5E39">
                  <w:pPr>
                    <w:pStyle w:val="65"/>
                    <w:rPr>
                      <w:rFonts w:eastAsia="Times New Roman" w:cs="Times New Roman"/>
                      <w:color w:val="auto"/>
                      <w:kern w:val="0"/>
                      <w:szCs w:val="20"/>
                    </w:rPr>
                  </w:pPr>
                  <w:r>
                    <w:rPr>
                      <w:rFonts w:eastAsia="Times New Roman" w:cs="Times New Roman"/>
                      <w:color w:val="auto"/>
                      <w:kern w:val="0"/>
                      <w:szCs w:val="20"/>
                    </w:rPr>
                    <w:t>1</w:t>
                  </w:r>
                </w:p>
              </w:tc>
              <w:tc>
                <w:tcPr>
                  <w:tcW w:w="1435" w:type="pct"/>
                  <w:vAlign w:val="center"/>
                </w:tcPr>
                <w:p w14:paraId="3F546994">
                  <w:pPr>
                    <w:pStyle w:val="65"/>
                    <w:rPr>
                      <w:rFonts w:cs="Arial"/>
                      <w:color w:val="auto"/>
                      <w:kern w:val="0"/>
                      <w:szCs w:val="20"/>
                    </w:rPr>
                  </w:pPr>
                  <w:r>
                    <w:rPr>
                      <w:rFonts w:hint="eastAsia" w:cs="Arial"/>
                      <w:color w:val="auto"/>
                      <w:kern w:val="0"/>
                      <w:szCs w:val="20"/>
                    </w:rPr>
                    <w:t>云南无量山国家级自然保护区</w:t>
                  </w:r>
                </w:p>
              </w:tc>
              <w:tc>
                <w:tcPr>
                  <w:tcW w:w="956" w:type="pct"/>
                  <w:vAlign w:val="center"/>
                </w:tcPr>
                <w:p w14:paraId="24632770">
                  <w:pPr>
                    <w:pStyle w:val="65"/>
                    <w:rPr>
                      <w:rFonts w:cs="Arial"/>
                      <w:color w:val="auto"/>
                      <w:kern w:val="0"/>
                      <w:szCs w:val="20"/>
                    </w:rPr>
                  </w:pPr>
                  <w:r>
                    <w:rPr>
                      <w:rFonts w:hint="eastAsia" w:cs="Arial"/>
                      <w:color w:val="auto"/>
                      <w:kern w:val="0"/>
                      <w:szCs w:val="20"/>
                    </w:rPr>
                    <w:t>南涧县</w:t>
                  </w:r>
                </w:p>
              </w:tc>
              <w:tc>
                <w:tcPr>
                  <w:tcW w:w="551" w:type="pct"/>
                  <w:vAlign w:val="center"/>
                </w:tcPr>
                <w:p w14:paraId="0AECB0E8">
                  <w:pPr>
                    <w:pStyle w:val="65"/>
                    <w:rPr>
                      <w:rFonts w:cs="Arial"/>
                      <w:color w:val="auto"/>
                      <w:kern w:val="0"/>
                      <w:szCs w:val="20"/>
                    </w:rPr>
                  </w:pPr>
                  <w:r>
                    <w:rPr>
                      <w:rFonts w:hint="eastAsia" w:cs="Arial"/>
                      <w:color w:val="auto"/>
                      <w:kern w:val="0"/>
                      <w:szCs w:val="20"/>
                    </w:rPr>
                    <w:t>国家级</w:t>
                  </w:r>
                </w:p>
              </w:tc>
              <w:tc>
                <w:tcPr>
                  <w:tcW w:w="1633" w:type="pct"/>
                  <w:vAlign w:val="center"/>
                </w:tcPr>
                <w:p w14:paraId="354B771E">
                  <w:pPr>
                    <w:pStyle w:val="65"/>
                    <w:jc w:val="both"/>
                    <w:rPr>
                      <w:rFonts w:cs="Arial"/>
                      <w:color w:val="auto"/>
                      <w:kern w:val="0"/>
                      <w:szCs w:val="20"/>
                    </w:rPr>
                  </w:pPr>
                  <w:r>
                    <w:rPr>
                      <w:rFonts w:hint="eastAsia" w:cs="Arial"/>
                      <w:color w:val="auto"/>
                      <w:spacing w:val="2"/>
                      <w:kern w:val="0"/>
                      <w:szCs w:val="20"/>
                    </w:rPr>
                    <w:t>位于光伏方阵东侧，S18光伏方阵用地红线与云南无量山国家级自然保护区距离约307m</w:t>
                  </w:r>
                </w:p>
              </w:tc>
            </w:tr>
            <w:tr w14:paraId="0CB20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25" w:type="pct"/>
                  <w:vAlign w:val="center"/>
                </w:tcPr>
                <w:p w14:paraId="5BC409C7">
                  <w:pPr>
                    <w:pStyle w:val="65"/>
                    <w:rPr>
                      <w:rFonts w:cs="Times New Roman" w:eastAsiaTheme="minorEastAsia"/>
                      <w:color w:val="auto"/>
                      <w:kern w:val="0"/>
                      <w:szCs w:val="20"/>
                    </w:rPr>
                  </w:pPr>
                  <w:r>
                    <w:rPr>
                      <w:rFonts w:hint="eastAsia" w:cs="Times New Roman" w:eastAsiaTheme="minorEastAsia"/>
                      <w:color w:val="auto"/>
                      <w:kern w:val="0"/>
                      <w:szCs w:val="20"/>
                    </w:rPr>
                    <w:t>2</w:t>
                  </w:r>
                </w:p>
              </w:tc>
              <w:tc>
                <w:tcPr>
                  <w:tcW w:w="1435" w:type="pct"/>
                  <w:vAlign w:val="center"/>
                </w:tcPr>
                <w:p w14:paraId="0AB80BF6">
                  <w:pPr>
                    <w:pStyle w:val="65"/>
                    <w:rPr>
                      <w:rFonts w:cs="Arial"/>
                      <w:color w:val="auto"/>
                      <w:kern w:val="0"/>
                      <w:szCs w:val="20"/>
                    </w:rPr>
                  </w:pPr>
                  <w:r>
                    <w:rPr>
                      <w:rFonts w:hint="eastAsia" w:cs="Arial"/>
                      <w:color w:val="auto"/>
                      <w:kern w:val="0"/>
                      <w:szCs w:val="20"/>
                    </w:rPr>
                    <w:t>云南灵宝山国家级森林公园</w:t>
                  </w:r>
                </w:p>
              </w:tc>
              <w:tc>
                <w:tcPr>
                  <w:tcW w:w="956" w:type="pct"/>
                  <w:vAlign w:val="center"/>
                </w:tcPr>
                <w:p w14:paraId="51AF88B9">
                  <w:pPr>
                    <w:pStyle w:val="65"/>
                    <w:rPr>
                      <w:rFonts w:cs="Arial"/>
                      <w:color w:val="auto"/>
                      <w:kern w:val="0"/>
                      <w:szCs w:val="20"/>
                    </w:rPr>
                  </w:pPr>
                  <w:r>
                    <w:rPr>
                      <w:rFonts w:hint="eastAsia" w:cs="Arial"/>
                      <w:color w:val="auto"/>
                      <w:kern w:val="0"/>
                      <w:szCs w:val="20"/>
                    </w:rPr>
                    <w:t>南涧县</w:t>
                  </w:r>
                </w:p>
              </w:tc>
              <w:tc>
                <w:tcPr>
                  <w:tcW w:w="551" w:type="pct"/>
                  <w:vAlign w:val="center"/>
                </w:tcPr>
                <w:p w14:paraId="561D0F6D">
                  <w:pPr>
                    <w:pStyle w:val="65"/>
                    <w:rPr>
                      <w:rFonts w:cs="Arial"/>
                      <w:color w:val="auto"/>
                      <w:kern w:val="0"/>
                      <w:szCs w:val="20"/>
                    </w:rPr>
                  </w:pPr>
                  <w:r>
                    <w:rPr>
                      <w:rFonts w:hint="eastAsia" w:cs="Arial"/>
                      <w:color w:val="auto"/>
                      <w:kern w:val="0"/>
                      <w:szCs w:val="20"/>
                    </w:rPr>
                    <w:t>国家级</w:t>
                  </w:r>
                </w:p>
              </w:tc>
              <w:tc>
                <w:tcPr>
                  <w:tcW w:w="1633" w:type="pct"/>
                  <w:vAlign w:val="center"/>
                </w:tcPr>
                <w:p w14:paraId="33E5A9DB">
                  <w:pPr>
                    <w:pStyle w:val="65"/>
                    <w:jc w:val="both"/>
                    <w:rPr>
                      <w:rFonts w:cs="Arial"/>
                      <w:color w:val="auto"/>
                      <w:spacing w:val="2"/>
                      <w:kern w:val="0"/>
                      <w:szCs w:val="20"/>
                    </w:rPr>
                  </w:pPr>
                  <w:r>
                    <w:rPr>
                      <w:rFonts w:hint="eastAsia" w:cs="Arial"/>
                      <w:color w:val="auto"/>
                      <w:spacing w:val="2"/>
                      <w:kern w:val="0"/>
                      <w:szCs w:val="20"/>
                    </w:rPr>
                    <w:t>位于光伏方阵南侧，S22</w:t>
                  </w:r>
                  <w:r>
                    <w:rPr>
                      <w:rFonts w:cs="Arial"/>
                      <w:color w:val="auto"/>
                      <w:spacing w:val="2"/>
                      <w:kern w:val="0"/>
                      <w:szCs w:val="20"/>
                    </w:rPr>
                    <w:t>光伏方阵用地红线与</w:t>
                  </w:r>
                  <w:r>
                    <w:rPr>
                      <w:rFonts w:hint="eastAsia" w:cs="Arial"/>
                      <w:color w:val="auto"/>
                      <w:spacing w:val="2"/>
                      <w:kern w:val="0"/>
                      <w:szCs w:val="20"/>
                    </w:rPr>
                    <w:t>云南灵宝山国家级森林公园距离约506m</w:t>
                  </w:r>
                  <w:r>
                    <w:rPr>
                      <w:rFonts w:cs="Arial"/>
                      <w:color w:val="auto"/>
                      <w:spacing w:val="2"/>
                      <w:kern w:val="0"/>
                      <w:szCs w:val="20"/>
                    </w:rPr>
                    <w:t>。</w:t>
                  </w:r>
                </w:p>
              </w:tc>
            </w:tr>
            <w:tr w14:paraId="27F9C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25" w:type="pct"/>
                  <w:vAlign w:val="center"/>
                </w:tcPr>
                <w:p w14:paraId="24D8B9FD">
                  <w:pPr>
                    <w:pStyle w:val="65"/>
                    <w:rPr>
                      <w:rFonts w:cs="Times New Roman" w:eastAsiaTheme="minorEastAsia"/>
                      <w:color w:val="auto"/>
                      <w:kern w:val="0"/>
                      <w:szCs w:val="20"/>
                    </w:rPr>
                  </w:pPr>
                  <w:r>
                    <w:rPr>
                      <w:rFonts w:hint="eastAsia" w:cs="Times New Roman" w:eastAsiaTheme="minorEastAsia"/>
                      <w:color w:val="auto"/>
                      <w:kern w:val="0"/>
                      <w:szCs w:val="20"/>
                    </w:rPr>
                    <w:t>3</w:t>
                  </w:r>
                </w:p>
              </w:tc>
              <w:tc>
                <w:tcPr>
                  <w:tcW w:w="1435" w:type="pct"/>
                  <w:vAlign w:val="center"/>
                </w:tcPr>
                <w:p w14:paraId="2963EBDD">
                  <w:pPr>
                    <w:pStyle w:val="65"/>
                    <w:rPr>
                      <w:rFonts w:cs="Arial"/>
                      <w:color w:val="auto"/>
                      <w:kern w:val="0"/>
                      <w:szCs w:val="20"/>
                    </w:rPr>
                  </w:pPr>
                  <w:r>
                    <w:rPr>
                      <w:rFonts w:hint="eastAsia" w:cs="Arial"/>
                      <w:color w:val="auto"/>
                      <w:kern w:val="0"/>
                      <w:szCs w:val="20"/>
                    </w:rPr>
                    <w:t>生态保护红</w:t>
                  </w:r>
                </w:p>
              </w:tc>
              <w:tc>
                <w:tcPr>
                  <w:tcW w:w="956" w:type="pct"/>
                  <w:vAlign w:val="center"/>
                </w:tcPr>
                <w:p w14:paraId="795C45AA">
                  <w:pPr>
                    <w:pStyle w:val="65"/>
                    <w:rPr>
                      <w:rFonts w:cs="Arial"/>
                      <w:color w:val="auto"/>
                      <w:kern w:val="0"/>
                      <w:szCs w:val="20"/>
                    </w:rPr>
                  </w:pPr>
                  <w:r>
                    <w:rPr>
                      <w:rFonts w:hint="eastAsia" w:cs="Arial"/>
                      <w:color w:val="auto"/>
                      <w:kern w:val="0"/>
                      <w:szCs w:val="20"/>
                    </w:rPr>
                    <w:t>南涧县</w:t>
                  </w:r>
                </w:p>
              </w:tc>
              <w:tc>
                <w:tcPr>
                  <w:tcW w:w="551" w:type="pct"/>
                  <w:vAlign w:val="center"/>
                </w:tcPr>
                <w:p w14:paraId="63E9766E">
                  <w:pPr>
                    <w:pStyle w:val="65"/>
                    <w:rPr>
                      <w:rFonts w:cs="Arial"/>
                      <w:color w:val="auto"/>
                      <w:kern w:val="0"/>
                      <w:szCs w:val="20"/>
                    </w:rPr>
                  </w:pPr>
                  <w:r>
                    <w:rPr>
                      <w:rFonts w:hint="eastAsia" w:cs="Arial"/>
                      <w:color w:val="auto"/>
                      <w:kern w:val="0"/>
                      <w:szCs w:val="20"/>
                    </w:rPr>
                    <w:t>省级</w:t>
                  </w:r>
                </w:p>
              </w:tc>
              <w:tc>
                <w:tcPr>
                  <w:tcW w:w="1633" w:type="pct"/>
                  <w:vAlign w:val="center"/>
                </w:tcPr>
                <w:p w14:paraId="0E71348D">
                  <w:pPr>
                    <w:pStyle w:val="65"/>
                    <w:jc w:val="both"/>
                    <w:rPr>
                      <w:rFonts w:cs="Arial"/>
                      <w:color w:val="auto"/>
                      <w:spacing w:val="2"/>
                      <w:kern w:val="0"/>
                      <w:szCs w:val="20"/>
                    </w:rPr>
                  </w:pPr>
                  <w:r>
                    <w:rPr>
                      <w:rFonts w:hint="eastAsia" w:cs="Arial"/>
                      <w:color w:val="auto"/>
                      <w:spacing w:val="2"/>
                      <w:kern w:val="0"/>
                      <w:szCs w:val="20"/>
                    </w:rPr>
                    <w:t>位于光伏方阵东侧、南侧和北侧，S21、S22光伏方阵用地红线与生态保护红线的最近距离5m</w:t>
                  </w:r>
                </w:p>
              </w:tc>
            </w:tr>
            <w:tr w14:paraId="5B18F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425" w:type="pct"/>
                  <w:vAlign w:val="center"/>
                </w:tcPr>
                <w:p w14:paraId="4A58C42D">
                  <w:pPr>
                    <w:pStyle w:val="65"/>
                    <w:rPr>
                      <w:rFonts w:cs="Times New Roman" w:eastAsiaTheme="minorEastAsia"/>
                      <w:color w:val="auto"/>
                      <w:kern w:val="0"/>
                      <w:szCs w:val="20"/>
                    </w:rPr>
                  </w:pPr>
                  <w:r>
                    <w:rPr>
                      <w:rFonts w:hint="eastAsia" w:cs="Times New Roman" w:eastAsiaTheme="minorEastAsia"/>
                      <w:color w:val="auto"/>
                      <w:kern w:val="0"/>
                      <w:szCs w:val="20"/>
                    </w:rPr>
                    <w:t>4</w:t>
                  </w:r>
                </w:p>
              </w:tc>
              <w:tc>
                <w:tcPr>
                  <w:tcW w:w="1435" w:type="pct"/>
                  <w:vAlign w:val="center"/>
                </w:tcPr>
                <w:p w14:paraId="4A6ACD4F">
                  <w:pPr>
                    <w:pStyle w:val="65"/>
                    <w:rPr>
                      <w:rFonts w:cs="Arial"/>
                      <w:color w:val="auto"/>
                      <w:kern w:val="0"/>
                      <w:szCs w:val="20"/>
                    </w:rPr>
                  </w:pPr>
                  <w:r>
                    <w:rPr>
                      <w:rFonts w:hint="eastAsia" w:cs="Arial"/>
                      <w:color w:val="auto"/>
                      <w:kern w:val="0"/>
                      <w:szCs w:val="20"/>
                    </w:rPr>
                    <w:t>南涧凤凰山候鸟迁徙通道重要保护范围</w:t>
                  </w:r>
                </w:p>
              </w:tc>
              <w:tc>
                <w:tcPr>
                  <w:tcW w:w="956" w:type="pct"/>
                  <w:vAlign w:val="center"/>
                </w:tcPr>
                <w:p w14:paraId="7E533D2A">
                  <w:pPr>
                    <w:pStyle w:val="65"/>
                    <w:rPr>
                      <w:rFonts w:cs="Arial"/>
                      <w:color w:val="auto"/>
                      <w:kern w:val="0"/>
                      <w:szCs w:val="20"/>
                    </w:rPr>
                  </w:pPr>
                  <w:r>
                    <w:rPr>
                      <w:rFonts w:hint="eastAsia" w:cs="Arial"/>
                      <w:color w:val="auto"/>
                      <w:kern w:val="0"/>
                      <w:szCs w:val="20"/>
                    </w:rPr>
                    <w:t>南涧县</w:t>
                  </w:r>
                </w:p>
              </w:tc>
              <w:tc>
                <w:tcPr>
                  <w:tcW w:w="551" w:type="pct"/>
                  <w:vAlign w:val="center"/>
                </w:tcPr>
                <w:p w14:paraId="5A5E82EC">
                  <w:pPr>
                    <w:pStyle w:val="65"/>
                    <w:rPr>
                      <w:rFonts w:cs="Arial"/>
                      <w:color w:val="auto"/>
                      <w:kern w:val="0"/>
                      <w:szCs w:val="20"/>
                    </w:rPr>
                  </w:pPr>
                  <w:r>
                    <w:rPr>
                      <w:rFonts w:hint="eastAsia" w:cs="Arial"/>
                      <w:color w:val="auto"/>
                      <w:kern w:val="0"/>
                      <w:szCs w:val="20"/>
                    </w:rPr>
                    <w:t>省级</w:t>
                  </w:r>
                </w:p>
              </w:tc>
              <w:tc>
                <w:tcPr>
                  <w:tcW w:w="1633" w:type="pct"/>
                  <w:vAlign w:val="center"/>
                </w:tcPr>
                <w:p w14:paraId="76D16B93">
                  <w:pPr>
                    <w:pStyle w:val="65"/>
                    <w:rPr>
                      <w:rFonts w:cs="Arial"/>
                      <w:color w:val="auto"/>
                      <w:spacing w:val="2"/>
                      <w:kern w:val="0"/>
                      <w:szCs w:val="20"/>
                    </w:rPr>
                  </w:pPr>
                  <w:r>
                    <w:rPr>
                      <w:rFonts w:hint="eastAsia" w:cs="Arial"/>
                      <w:color w:val="auto"/>
                      <w:spacing w:val="2"/>
                      <w:kern w:val="0"/>
                      <w:szCs w:val="20"/>
                    </w:rPr>
                    <w:t>位于光伏方阵西北侧，S05光伏方阵用地红线与迁徙通道的最近距离15.9km</w:t>
                  </w:r>
                </w:p>
              </w:tc>
            </w:tr>
          </w:tbl>
          <w:p w14:paraId="2CFD1974">
            <w:pPr>
              <w:pStyle w:val="4"/>
              <w:spacing w:before="48" w:after="48"/>
              <w:rPr>
                <w:color w:val="auto"/>
              </w:rPr>
            </w:pPr>
            <w:bookmarkStart w:id="634" w:name="_Toc160730879"/>
            <w:bookmarkStart w:id="635" w:name="_Toc159349030"/>
            <w:bookmarkStart w:id="636" w:name="_Toc161415557"/>
            <w:bookmarkStart w:id="637" w:name="_Toc156144155"/>
            <w:bookmarkStart w:id="638" w:name="_Toc112424265"/>
            <w:bookmarkStart w:id="639" w:name="_Toc112165628"/>
            <w:bookmarkStart w:id="640" w:name="_Toc6237"/>
            <w:bookmarkStart w:id="641" w:name="_Toc136794318"/>
            <w:bookmarkStart w:id="642" w:name="_Toc112173923"/>
            <w:bookmarkStart w:id="643" w:name="_Toc16674"/>
            <w:bookmarkStart w:id="644" w:name="_Toc158491262"/>
            <w:bookmarkStart w:id="645" w:name="_Toc160473803"/>
            <w:bookmarkStart w:id="646" w:name="_Toc136794193"/>
            <w:bookmarkStart w:id="647" w:name="_Toc156137841"/>
            <w:r>
              <w:rPr>
                <w:rFonts w:hint="eastAsia"/>
                <w:color w:val="auto"/>
              </w:rPr>
              <w:t>项目区水土流失现状</w:t>
            </w:r>
          </w:p>
          <w:p w14:paraId="04C635DC">
            <w:pPr>
              <w:ind w:firstLine="480"/>
              <w:rPr>
                <w:color w:val="auto"/>
              </w:rPr>
            </w:pPr>
            <w:r>
              <w:rPr>
                <w:color w:val="auto"/>
              </w:rPr>
              <w:t>根据《2024年云南省水土保持公报》（云南省水利厅，2025年7月），南涧县土地总面积为1802km</w:t>
            </w:r>
            <w:r>
              <w:rPr>
                <w:color w:val="auto"/>
                <w:vertAlign w:val="superscript"/>
              </w:rPr>
              <w:t>2</w:t>
            </w:r>
            <w:r>
              <w:rPr>
                <w:color w:val="auto"/>
              </w:rPr>
              <w:t>，其中微度流失面积为1415.83km</w:t>
            </w:r>
            <w:r>
              <w:rPr>
                <w:color w:val="auto"/>
                <w:vertAlign w:val="superscript"/>
              </w:rPr>
              <w:t>2</w:t>
            </w:r>
            <w:r>
              <w:rPr>
                <w:color w:val="auto"/>
              </w:rPr>
              <w:t>，占国土面积的78.57%；水土流失面积为386.17km</w:t>
            </w:r>
            <w:r>
              <w:rPr>
                <w:color w:val="auto"/>
                <w:vertAlign w:val="superscript"/>
              </w:rPr>
              <w:t>2</w:t>
            </w:r>
            <w:r>
              <w:rPr>
                <w:color w:val="auto"/>
              </w:rPr>
              <w:t>，占国土面积的21.43%。水土流失面积中，轻度流失面积326.88km</w:t>
            </w:r>
            <w:r>
              <w:rPr>
                <w:color w:val="auto"/>
                <w:vertAlign w:val="superscript"/>
              </w:rPr>
              <w:t>2</w:t>
            </w:r>
            <w:r>
              <w:rPr>
                <w:color w:val="auto"/>
              </w:rPr>
              <w:t>，占流失面积的84.64%；中度流失面积22.36km</w:t>
            </w:r>
            <w:r>
              <w:rPr>
                <w:color w:val="auto"/>
                <w:vertAlign w:val="superscript"/>
              </w:rPr>
              <w:t>2</w:t>
            </w:r>
            <w:r>
              <w:rPr>
                <w:color w:val="auto"/>
              </w:rPr>
              <w:t>，占流失面积的5.79%；强烈流失面积为12.34km</w:t>
            </w:r>
            <w:r>
              <w:rPr>
                <w:color w:val="auto"/>
                <w:vertAlign w:val="superscript"/>
              </w:rPr>
              <w:t>2</w:t>
            </w:r>
            <w:r>
              <w:rPr>
                <w:color w:val="auto"/>
              </w:rPr>
              <w:t>，占流失面积的3.20%；极强烈流失面积为17.00km</w:t>
            </w:r>
            <w:r>
              <w:rPr>
                <w:color w:val="auto"/>
                <w:vertAlign w:val="superscript"/>
              </w:rPr>
              <w:t>2</w:t>
            </w:r>
            <w:r>
              <w:rPr>
                <w:color w:val="auto"/>
              </w:rPr>
              <w:t>，占流失面积的4.40%；剧烈流失面积为7.59km</w:t>
            </w:r>
            <w:r>
              <w:rPr>
                <w:color w:val="auto"/>
                <w:vertAlign w:val="superscript"/>
              </w:rPr>
              <w:t>2</w:t>
            </w:r>
            <w:r>
              <w:rPr>
                <w:color w:val="auto"/>
              </w:rPr>
              <w:t>，占流失面积的1.97%。</w:t>
            </w:r>
          </w:p>
          <w:p w14:paraId="430CEDAC">
            <w:pPr>
              <w:ind w:firstLine="480"/>
              <w:rPr>
                <w:color w:val="auto"/>
              </w:rPr>
            </w:pPr>
            <w:r>
              <w:rPr>
                <w:rFonts w:hint="eastAsia"/>
                <w:color w:val="auto"/>
              </w:rPr>
              <w:t>根据《关于印发〈全国水土保持规划国家级水土流失重点预防区和重点治理区复核划分成果〉的通知》（办水保〔2013〕188号）和《云南省水利厅关于划分省级水土流失重点预防区和重点治理区的公告》（第49号），项目所在地南涧县公郎镇属于“西南诸河高山峡谷国家级水土流失重点治理区”、“云南省水土流失重点治理区”。</w:t>
            </w:r>
          </w:p>
          <w:p w14:paraId="6206B487">
            <w:pPr>
              <w:ind w:firstLine="480"/>
              <w:rPr>
                <w:color w:val="auto"/>
              </w:rPr>
            </w:pPr>
            <w:r>
              <w:rPr>
                <w:rFonts w:hint="eastAsia"/>
                <w:color w:val="auto"/>
              </w:rPr>
              <w:t>依据《生产建设项目水土保持技术标准》（GB50433-2018）和《生产建设项目水土流失防治标准》（GB/T50434-2018）要求及相关法律、法规，项目水土流失防治标准执行建设类西南岩溶区一级标准。</w:t>
            </w:r>
          </w:p>
          <w:p w14:paraId="36487F1A">
            <w:pPr>
              <w:ind w:firstLine="480"/>
              <w:rPr>
                <w:color w:val="auto"/>
              </w:rPr>
            </w:pPr>
            <w:r>
              <w:rPr>
                <w:rFonts w:hint="eastAsia"/>
                <w:color w:val="auto"/>
              </w:rPr>
              <w:t>工程原始占地类型为园地、交通运输用地，项目区平均土壤侵蚀模数为600t/km².a，水土流失强度为轻度。</w:t>
            </w:r>
          </w:p>
          <w:p w14:paraId="35A7B4BD">
            <w:pPr>
              <w:pStyle w:val="4"/>
              <w:spacing w:before="48" w:after="48"/>
              <w:rPr>
                <w:color w:val="auto"/>
              </w:rPr>
            </w:pPr>
            <w:r>
              <w:rPr>
                <w:rFonts w:hint="eastAsia"/>
                <w:color w:val="auto"/>
              </w:rPr>
              <w:t>地表水环境质量现状</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7DCD88A1">
            <w:pPr>
              <w:ind w:firstLine="480"/>
              <w:rPr>
                <w:color w:val="auto"/>
              </w:rPr>
            </w:pPr>
            <w:r>
              <w:rPr>
                <w:rFonts w:hint="eastAsia"/>
                <w:color w:val="auto"/>
              </w:rPr>
              <w:t>根据《</w:t>
            </w:r>
            <w:r>
              <w:rPr>
                <w:color w:val="auto"/>
              </w:rPr>
              <w:fldChar w:fldCharType="begin"/>
            </w:r>
            <w:r>
              <w:rPr>
                <w:color w:val="auto"/>
              </w:rPr>
              <w:instrText xml:space="preserve"> </w:instrText>
            </w:r>
            <w:r>
              <w:rPr>
                <w:rFonts w:hint="eastAsia"/>
                <w:color w:val="auto"/>
              </w:rPr>
              <w:instrText xml:space="preserve">REF _Ref218542484 \h</w:instrText>
            </w:r>
            <w:r>
              <w:rPr>
                <w:color w:val="auto"/>
              </w:rPr>
              <w:instrText xml:space="preserve"> </w:instrText>
            </w:r>
            <w:r>
              <w:rPr>
                <w:color w:val="auto"/>
              </w:rPr>
              <w:fldChar w:fldCharType="separate"/>
            </w:r>
            <w:r>
              <w:rPr>
                <w:rFonts w:hint="eastAsia"/>
                <w:color w:val="auto"/>
              </w:rPr>
              <w:t>大理白族自治州生态环境局南涧分局关于沙乐光伏发电项目二次选址的意见</w:t>
            </w:r>
            <w:r>
              <w:rPr>
                <w:color w:val="auto"/>
              </w:rPr>
              <w:fldChar w:fldCharType="end"/>
            </w:r>
            <w:r>
              <w:rPr>
                <w:rFonts w:hint="eastAsia"/>
                <w:color w:val="auto"/>
              </w:rPr>
              <w:t>》，项目用地红线2km范围内不涉及饮用水水源保护区。项目周边主要地表水体为沙乐河（S10方阵用地红线东南侧距离约1.24km）、磨房河（S12方阵用地红线南侧距离约43m，S18方阵用地红线南侧距离约307m）、安照河（S11方阵用地红线西南侧距离约43m）和澜沧江（S21方阵用地红线西南侧距离约4.7km），沙乐河属于银定河上游，银定河和安照河</w:t>
            </w:r>
            <w:r>
              <w:rPr>
                <w:color w:val="auto"/>
              </w:rPr>
              <w:t>最终进入澜沧江</w:t>
            </w:r>
            <w:bookmarkStart w:id="648" w:name="_Hlk195217666"/>
            <w:r>
              <w:rPr>
                <w:rFonts w:hint="eastAsia"/>
                <w:color w:val="auto"/>
              </w:rPr>
              <w:t>。</w:t>
            </w:r>
          </w:p>
          <w:p w14:paraId="71E9C30C">
            <w:pPr>
              <w:keepNext/>
              <w:ind w:firstLine="480"/>
              <w:rPr>
                <w:rFonts w:cs="Times New Roman"/>
                <w:color w:val="auto"/>
              </w:rPr>
            </w:pPr>
            <w:r>
              <w:rPr>
                <w:color w:val="auto"/>
              </w:rPr>
              <w:t>根据《云南省水功能区划（2014年修订）》，项目区水功能区划属于</w:t>
            </w:r>
            <w:r>
              <w:rPr>
                <w:rFonts w:hint="eastAsia"/>
                <w:color w:val="auto"/>
              </w:rPr>
              <w:t>“</w:t>
            </w:r>
            <w:r>
              <w:rPr>
                <w:color w:val="auto"/>
              </w:rPr>
              <w:t>黑惠江剑川-南涧保留区</w:t>
            </w:r>
            <w:r>
              <w:rPr>
                <w:rFonts w:hint="eastAsia"/>
                <w:color w:val="auto"/>
              </w:rPr>
              <w:t>”：由甸头至黑惠江入澜沧江口，全长</w:t>
            </w:r>
            <w:r>
              <w:rPr>
                <w:color w:val="auto"/>
              </w:rPr>
              <w:t>335.5</w:t>
            </w:r>
            <w:r>
              <w:rPr>
                <w:rFonts w:hint="eastAsia"/>
                <w:color w:val="auto"/>
              </w:rPr>
              <w:t>km，</w:t>
            </w:r>
            <w:r>
              <w:rPr>
                <w:color w:val="auto"/>
              </w:rPr>
              <w:t>现状水质为</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color w:val="auto"/>
              </w:rPr>
              <w:t>~Ⅲ类，规划水平年水质目标为</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color w:val="auto"/>
              </w:rPr>
              <w:t>~Ⅲ类</w:t>
            </w:r>
            <w:r>
              <w:rPr>
                <w:rFonts w:hint="eastAsia" w:cs="Times New Roman"/>
                <w:color w:val="auto"/>
              </w:rPr>
              <w:t>；</w:t>
            </w:r>
            <w:r>
              <w:rPr>
                <w:rFonts w:cs="Times New Roman"/>
                <w:color w:val="auto"/>
              </w:rPr>
              <w:t>根据《关于加强水环境功能区水质目标管理有关问题的通知》（环办函〔2003〕436号），未划定水功能区划的</w:t>
            </w:r>
            <w:r>
              <w:rPr>
                <w:rFonts w:hint="eastAsia" w:cs="Times New Roman"/>
                <w:color w:val="auto"/>
              </w:rPr>
              <w:t>沙乐河、磨房河、安照河</w:t>
            </w:r>
            <w:r>
              <w:rPr>
                <w:rFonts w:cs="Times New Roman"/>
                <w:color w:val="auto"/>
              </w:rPr>
              <w:t>执行《地表水环境质量标准》（GB3838-2002）Ⅲ类标准</w:t>
            </w:r>
            <w:r>
              <w:rPr>
                <w:rFonts w:hint="eastAsia" w:cs="Times New Roman"/>
                <w:color w:val="auto"/>
              </w:rPr>
              <w:t>。</w:t>
            </w:r>
            <w:r>
              <w:rPr>
                <w:rFonts w:cs="Times New Roman"/>
                <w:color w:val="auto"/>
              </w:rPr>
              <w:t>因此</w:t>
            </w:r>
            <w:r>
              <w:rPr>
                <w:rFonts w:hint="eastAsia" w:cs="Times New Roman"/>
                <w:color w:val="auto"/>
              </w:rPr>
              <w:t>，沙乐河、磨房河、安照河和澜沧江</w:t>
            </w:r>
            <w:r>
              <w:rPr>
                <w:rFonts w:cs="Times New Roman"/>
                <w:color w:val="auto"/>
              </w:rPr>
              <w:t>均执行《地表水环境质量标准》（GB3838-2002）Ⅲ类标准</w:t>
            </w:r>
            <w:r>
              <w:rPr>
                <w:rFonts w:hint="eastAsia" w:cs="Times New Roman"/>
                <w:color w:val="auto"/>
              </w:rPr>
              <w:t>。</w:t>
            </w:r>
          </w:p>
          <w:bookmarkEnd w:id="648"/>
          <w:p w14:paraId="748812ED">
            <w:pPr>
              <w:ind w:firstLine="480"/>
              <w:rPr>
                <w:color w:val="auto"/>
              </w:rPr>
            </w:pPr>
            <w:r>
              <w:rPr>
                <w:rFonts w:hint="eastAsia"/>
                <w:color w:val="auto"/>
              </w:rPr>
              <w:t>根据大理州生态环境局于202</w:t>
            </w:r>
            <w:r>
              <w:rPr>
                <w:color w:val="auto"/>
              </w:rPr>
              <w:t>5</w:t>
            </w:r>
            <w:r>
              <w:rPr>
                <w:rFonts w:hint="eastAsia"/>
                <w:color w:val="auto"/>
              </w:rPr>
              <w:t>年6月发布的《大理白族自治州2024年生态环境状况公报》，202</w:t>
            </w:r>
            <w:r>
              <w:rPr>
                <w:color w:val="auto"/>
              </w:rPr>
              <w:t>4</w:t>
            </w:r>
            <w:r>
              <w:rPr>
                <w:rFonts w:hint="eastAsia"/>
                <w:color w:val="auto"/>
              </w:rPr>
              <w:t>年小湾水库断面及澜沧江功果桥监测断面水质为</w:t>
            </w:r>
            <w:r>
              <w:rPr>
                <w:color w:val="auto"/>
              </w:rPr>
              <w:t>Ⅱ</w:t>
            </w:r>
            <w:r>
              <w:rPr>
                <w:rFonts w:hint="eastAsia"/>
                <w:color w:val="auto"/>
              </w:rPr>
              <w:t>类（小湾水库断面位于项目区上游约</w:t>
            </w:r>
            <w:r>
              <w:rPr>
                <w:color w:val="auto"/>
              </w:rPr>
              <w:t>3</w:t>
            </w:r>
            <w:r>
              <w:rPr>
                <w:rFonts w:hint="eastAsia"/>
                <w:color w:val="auto"/>
              </w:rPr>
              <w:t>2km，澜沧江功果桥断面位于项目区下游约145km）</w:t>
            </w:r>
            <w:r>
              <w:rPr>
                <w:color w:val="auto"/>
              </w:rPr>
              <w:t>，满足《地表水环境质量标准》（GB3838-2002）</w:t>
            </w:r>
            <w:r>
              <w:rPr>
                <w:rFonts w:hint="eastAsia"/>
                <w:color w:val="auto"/>
              </w:rPr>
              <w:t>III</w:t>
            </w:r>
            <w:r>
              <w:rPr>
                <w:color w:val="auto"/>
              </w:rPr>
              <w:t>类标准要求</w:t>
            </w:r>
            <w:r>
              <w:rPr>
                <w:rFonts w:hint="eastAsia"/>
                <w:color w:val="auto"/>
              </w:rPr>
              <w:t>。根据现场踏勘，项目所在区域内无较大的工业污染源分布，水质状况良好。</w:t>
            </w:r>
          </w:p>
          <w:p w14:paraId="234B08AF">
            <w:pPr>
              <w:ind w:firstLine="480"/>
              <w:rPr>
                <w:color w:val="auto"/>
              </w:rPr>
            </w:pPr>
            <w:r>
              <w:rPr>
                <w:rFonts w:hint="eastAsia"/>
                <w:color w:val="auto"/>
              </w:rPr>
              <w:t>综上所述，项目周边地表水环境满足《地表水环境质量标准》（</w:t>
            </w:r>
            <w:r>
              <w:rPr>
                <w:color w:val="auto"/>
              </w:rPr>
              <w:t>GB3838-2002</w:t>
            </w:r>
            <w:r>
              <w:rPr>
                <w:rFonts w:hint="eastAsia"/>
                <w:color w:val="auto"/>
              </w:rPr>
              <w:t>）</w:t>
            </w:r>
            <w:r>
              <w:rPr>
                <w:color w:val="auto"/>
              </w:rPr>
              <w:t>Ⅲ</w:t>
            </w:r>
            <w:r>
              <w:rPr>
                <w:rFonts w:hint="eastAsia"/>
                <w:color w:val="auto"/>
              </w:rPr>
              <w:t>类标准。</w:t>
            </w:r>
          </w:p>
          <w:p w14:paraId="1098DB59">
            <w:pPr>
              <w:pStyle w:val="4"/>
              <w:spacing w:before="48" w:after="48"/>
              <w:rPr>
                <w:color w:val="auto"/>
              </w:rPr>
            </w:pPr>
            <w:bookmarkStart w:id="649" w:name="_Toc159349031"/>
            <w:bookmarkStart w:id="650" w:name="_Toc161415558"/>
            <w:bookmarkStart w:id="651" w:name="_Toc160473804"/>
            <w:bookmarkStart w:id="652" w:name="_Toc160730880"/>
            <w:bookmarkStart w:id="653" w:name="_Toc23667"/>
            <w:bookmarkStart w:id="654" w:name="_Toc112165629"/>
            <w:bookmarkStart w:id="655" w:name="_Toc136794319"/>
            <w:bookmarkStart w:id="656" w:name="_Toc158491263"/>
            <w:bookmarkStart w:id="657" w:name="_Toc156144156"/>
            <w:bookmarkStart w:id="658" w:name="_Toc136794194"/>
            <w:bookmarkStart w:id="659" w:name="_Toc156137842"/>
            <w:bookmarkStart w:id="660" w:name="_Toc15280"/>
            <w:bookmarkStart w:id="661" w:name="_Toc112173924"/>
            <w:bookmarkStart w:id="662" w:name="_Toc112424266"/>
            <w:r>
              <w:rPr>
                <w:rFonts w:hint="eastAsia"/>
                <w:color w:val="auto"/>
              </w:rPr>
              <w:t>环境空气质量现状</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53239A88">
            <w:pPr>
              <w:ind w:firstLine="480"/>
              <w:rPr>
                <w:color w:val="auto"/>
              </w:rPr>
            </w:pPr>
            <w:r>
              <w:rPr>
                <w:color w:val="auto"/>
              </w:rPr>
              <w:t>根据《环境影响评价技术导则 大气环境》（HJ</w:t>
            </w:r>
            <w:r>
              <w:rPr>
                <w:rFonts w:hint="eastAsia"/>
                <w:color w:val="auto"/>
              </w:rPr>
              <w:t xml:space="preserve"> </w:t>
            </w:r>
            <w:r>
              <w:rPr>
                <w:color w:val="auto"/>
              </w:rPr>
              <w:t>2.2-2018）6.2.1.1，项目所在区域达标判定，优先采用国家或地方生态环境主管部门公开发布的评价基准年环境质量公告或者环境质量报告中的结论或数据。</w:t>
            </w:r>
          </w:p>
          <w:p w14:paraId="1ED67038">
            <w:pPr>
              <w:ind w:firstLine="480"/>
              <w:rPr>
                <w:color w:val="auto"/>
              </w:rPr>
            </w:pPr>
            <w:r>
              <w:rPr>
                <w:color w:val="auto"/>
              </w:rPr>
              <w:t>项目位于</w:t>
            </w:r>
            <w:r>
              <w:rPr>
                <w:rFonts w:hint="eastAsia"/>
                <w:color w:val="auto"/>
              </w:rPr>
              <w:t>大理</w:t>
            </w:r>
            <w:r>
              <w:rPr>
                <w:color w:val="auto"/>
              </w:rPr>
              <w:t>州</w:t>
            </w:r>
            <w:r>
              <w:rPr>
                <w:rFonts w:hint="eastAsia"/>
                <w:color w:val="auto"/>
              </w:rPr>
              <w:t>南涧</w:t>
            </w:r>
            <w:r>
              <w:rPr>
                <w:color w:val="auto"/>
              </w:rPr>
              <w:t>县，环境空气质量执行《环境空气质量标准》（GB3095-2012）及其修改单二级标准</w:t>
            </w:r>
            <w:r>
              <w:rPr>
                <w:rFonts w:hint="eastAsia"/>
                <w:color w:val="auto"/>
              </w:rPr>
              <w:t>；对于项目用地红线周边500m范围内的云南无量山国家级自然保护区执行</w:t>
            </w:r>
            <w:r>
              <w:rPr>
                <w:color w:val="auto"/>
              </w:rPr>
              <w:t>《环境空气质量标准》（GB3095-2012）</w:t>
            </w:r>
            <w:r>
              <w:rPr>
                <w:rFonts w:hint="eastAsia"/>
                <w:color w:val="auto"/>
              </w:rPr>
              <w:t>一</w:t>
            </w:r>
            <w:r>
              <w:rPr>
                <w:color w:val="auto"/>
              </w:rPr>
              <w:t>级标准要求。</w:t>
            </w:r>
          </w:p>
          <w:p w14:paraId="17EC2BE6">
            <w:pPr>
              <w:ind w:firstLine="480"/>
              <w:rPr>
                <w:color w:val="auto"/>
              </w:rPr>
            </w:pPr>
            <w:r>
              <w:rPr>
                <w:color w:val="auto"/>
              </w:rPr>
              <w:t>根据</w:t>
            </w:r>
            <w:r>
              <w:rPr>
                <w:rFonts w:hint="eastAsia"/>
                <w:color w:val="auto"/>
              </w:rPr>
              <w:t>《大理白族自治州2024年环境状况公报》，大理州12县（市）可吸入颗粒物、二氧化氮等6项污染物年均值和相应特定百分位数浓度均达到或优于《环境空气质量标准》（GB 3095-2012）的二级标准要求，其中二氧化氮年均浓度、二氧化氮特定百分位数、二氧化硫年均浓度、可吸入颗粒物年均浓度及一氧化碳特定百分位数均符合一级标准，2024年南涧县环境空气满足二级标准。</w:t>
            </w:r>
          </w:p>
          <w:p w14:paraId="5A5CDDE3">
            <w:pPr>
              <w:pStyle w:val="63"/>
              <w:ind w:firstLine="480"/>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4</w:t>
            </w:r>
            <w:r>
              <w:rPr>
                <w:color w:val="auto"/>
              </w:rPr>
              <w:fldChar w:fldCharType="end"/>
            </w:r>
            <w:r>
              <w:rPr>
                <w:color w:val="auto"/>
              </w:rPr>
              <w:t xml:space="preserve">   202</w:t>
            </w:r>
            <w:r>
              <w:rPr>
                <w:rFonts w:hint="eastAsia"/>
                <w:color w:val="auto"/>
              </w:rPr>
              <w:t>4</w:t>
            </w:r>
            <w:r>
              <w:rPr>
                <w:color w:val="auto"/>
              </w:rPr>
              <w:t>年</w:t>
            </w:r>
            <w:r>
              <w:rPr>
                <w:rFonts w:hint="eastAsia"/>
                <w:color w:val="auto"/>
              </w:rPr>
              <w:t>南涧县</w:t>
            </w:r>
            <w:r>
              <w:rPr>
                <w:color w:val="auto"/>
              </w:rPr>
              <w:t>空气质量状况（节选）</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713"/>
              <w:gridCol w:w="679"/>
              <w:gridCol w:w="599"/>
              <w:gridCol w:w="565"/>
              <w:gridCol w:w="1656"/>
              <w:gridCol w:w="1495"/>
              <w:gridCol w:w="1277"/>
            </w:tblGrid>
            <w:tr w14:paraId="5CCD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51" w:type="pct"/>
                  <w:vMerge w:val="restart"/>
                  <w:vAlign w:val="center"/>
                </w:tcPr>
                <w:p w14:paraId="37B9244F">
                  <w:pPr>
                    <w:pStyle w:val="167"/>
                    <w:rPr>
                      <w:rFonts w:hAnsi="Times New Roman"/>
                      <w:b/>
                      <w:color w:val="auto"/>
                      <w:sz w:val="21"/>
                      <w:szCs w:val="21"/>
                    </w:rPr>
                  </w:pPr>
                  <w:r>
                    <w:rPr>
                      <w:rFonts w:hAnsi="Times New Roman"/>
                      <w:b/>
                      <w:color w:val="auto"/>
                      <w:sz w:val="21"/>
                      <w:szCs w:val="21"/>
                    </w:rPr>
                    <w:t>县（区）</w:t>
                  </w:r>
                </w:p>
              </w:tc>
              <w:tc>
                <w:tcPr>
                  <w:tcW w:w="451" w:type="pct"/>
                  <w:vAlign w:val="center"/>
                </w:tcPr>
                <w:p w14:paraId="54B2B22E">
                  <w:pPr>
                    <w:pStyle w:val="65"/>
                    <w:rPr>
                      <w:rFonts w:cs="Times New Roman"/>
                      <w:b/>
                      <w:color w:val="auto"/>
                      <w:kern w:val="0"/>
                      <w:szCs w:val="20"/>
                    </w:rPr>
                  </w:pPr>
                  <w:r>
                    <w:rPr>
                      <w:rFonts w:cs="Times New Roman"/>
                      <w:b/>
                      <w:color w:val="auto"/>
                      <w:kern w:val="0"/>
                      <w:szCs w:val="20"/>
                    </w:rPr>
                    <w:t>PM</w:t>
                  </w:r>
                  <w:r>
                    <w:rPr>
                      <w:rFonts w:cs="Times New Roman"/>
                      <w:b/>
                      <w:color w:val="auto"/>
                      <w:kern w:val="0"/>
                      <w:szCs w:val="20"/>
                      <w:vertAlign w:val="subscript"/>
                    </w:rPr>
                    <w:t>2.5</w:t>
                  </w:r>
                </w:p>
              </w:tc>
              <w:tc>
                <w:tcPr>
                  <w:tcW w:w="428" w:type="pct"/>
                  <w:vAlign w:val="center"/>
                </w:tcPr>
                <w:p w14:paraId="666A737D">
                  <w:pPr>
                    <w:pStyle w:val="65"/>
                    <w:rPr>
                      <w:rFonts w:cs="Times New Roman"/>
                      <w:b/>
                      <w:color w:val="auto"/>
                      <w:kern w:val="0"/>
                      <w:szCs w:val="20"/>
                    </w:rPr>
                  </w:pPr>
                  <w:r>
                    <w:rPr>
                      <w:rFonts w:cs="Times New Roman"/>
                      <w:b/>
                      <w:color w:val="auto"/>
                      <w:kern w:val="0"/>
                      <w:szCs w:val="20"/>
                    </w:rPr>
                    <w:t>PM</w:t>
                  </w:r>
                  <w:r>
                    <w:rPr>
                      <w:rFonts w:cs="Times New Roman"/>
                      <w:b/>
                      <w:color w:val="auto"/>
                      <w:kern w:val="0"/>
                      <w:szCs w:val="20"/>
                      <w:vertAlign w:val="subscript"/>
                    </w:rPr>
                    <w:t>10</w:t>
                  </w:r>
                </w:p>
              </w:tc>
              <w:tc>
                <w:tcPr>
                  <w:tcW w:w="383" w:type="pct"/>
                  <w:vAlign w:val="center"/>
                </w:tcPr>
                <w:p w14:paraId="1CDD6804">
                  <w:pPr>
                    <w:pStyle w:val="65"/>
                    <w:rPr>
                      <w:rFonts w:cs="Times New Roman"/>
                      <w:b/>
                      <w:color w:val="auto"/>
                      <w:kern w:val="0"/>
                      <w:szCs w:val="20"/>
                    </w:rPr>
                  </w:pPr>
                  <w:r>
                    <w:rPr>
                      <w:rFonts w:cs="Times New Roman"/>
                      <w:b/>
                      <w:color w:val="auto"/>
                      <w:kern w:val="0"/>
                      <w:szCs w:val="20"/>
                    </w:rPr>
                    <w:t>NO</w:t>
                  </w:r>
                  <w:r>
                    <w:rPr>
                      <w:rFonts w:cs="Times New Roman"/>
                      <w:b/>
                      <w:color w:val="auto"/>
                      <w:kern w:val="0"/>
                      <w:szCs w:val="20"/>
                      <w:vertAlign w:val="subscript"/>
                    </w:rPr>
                    <w:t>2</w:t>
                  </w:r>
                </w:p>
              </w:tc>
              <w:tc>
                <w:tcPr>
                  <w:tcW w:w="360" w:type="pct"/>
                  <w:vAlign w:val="center"/>
                </w:tcPr>
                <w:p w14:paraId="74EC209D">
                  <w:pPr>
                    <w:pStyle w:val="65"/>
                    <w:rPr>
                      <w:rFonts w:cs="Times New Roman"/>
                      <w:b/>
                      <w:color w:val="auto"/>
                      <w:kern w:val="0"/>
                      <w:szCs w:val="20"/>
                    </w:rPr>
                  </w:pPr>
                  <w:r>
                    <w:rPr>
                      <w:rFonts w:cs="Times New Roman"/>
                      <w:b/>
                      <w:color w:val="auto"/>
                      <w:kern w:val="0"/>
                      <w:szCs w:val="20"/>
                    </w:rPr>
                    <w:t>SO</w:t>
                  </w:r>
                  <w:r>
                    <w:rPr>
                      <w:rFonts w:cs="Times New Roman"/>
                      <w:b/>
                      <w:color w:val="auto"/>
                      <w:kern w:val="0"/>
                      <w:szCs w:val="20"/>
                      <w:vertAlign w:val="subscript"/>
                    </w:rPr>
                    <w:t>2</w:t>
                  </w:r>
                </w:p>
              </w:tc>
              <w:tc>
                <w:tcPr>
                  <w:tcW w:w="1057" w:type="pct"/>
                  <w:vAlign w:val="center"/>
                </w:tcPr>
                <w:p w14:paraId="21AC2BF6">
                  <w:pPr>
                    <w:pStyle w:val="65"/>
                    <w:rPr>
                      <w:rFonts w:cs="Times New Roman"/>
                      <w:b/>
                      <w:color w:val="auto"/>
                      <w:kern w:val="0"/>
                      <w:szCs w:val="20"/>
                    </w:rPr>
                  </w:pPr>
                  <w:r>
                    <w:rPr>
                      <w:rFonts w:cs="Times New Roman"/>
                      <w:b/>
                      <w:color w:val="auto"/>
                      <w:kern w:val="0"/>
                      <w:szCs w:val="20"/>
                    </w:rPr>
                    <w:t>O</w:t>
                  </w:r>
                  <w:r>
                    <w:rPr>
                      <w:rFonts w:cs="Times New Roman"/>
                      <w:b/>
                      <w:color w:val="auto"/>
                      <w:kern w:val="0"/>
                      <w:szCs w:val="20"/>
                      <w:vertAlign w:val="subscript"/>
                    </w:rPr>
                    <w:t>3</w:t>
                  </w:r>
                </w:p>
              </w:tc>
              <w:tc>
                <w:tcPr>
                  <w:tcW w:w="954" w:type="pct"/>
                  <w:vAlign w:val="center"/>
                </w:tcPr>
                <w:p w14:paraId="651F38D5">
                  <w:pPr>
                    <w:pStyle w:val="65"/>
                    <w:rPr>
                      <w:rFonts w:cs="Times New Roman"/>
                      <w:b/>
                      <w:color w:val="auto"/>
                      <w:kern w:val="0"/>
                      <w:szCs w:val="20"/>
                    </w:rPr>
                  </w:pPr>
                  <w:r>
                    <w:rPr>
                      <w:rFonts w:cs="Times New Roman"/>
                      <w:b/>
                      <w:color w:val="auto"/>
                      <w:kern w:val="0"/>
                      <w:szCs w:val="20"/>
                    </w:rPr>
                    <w:t>CO</w:t>
                  </w:r>
                </w:p>
              </w:tc>
              <w:tc>
                <w:tcPr>
                  <w:tcW w:w="815" w:type="pct"/>
                  <w:vMerge w:val="restart"/>
                  <w:vAlign w:val="center"/>
                </w:tcPr>
                <w:p w14:paraId="79D4339E">
                  <w:pPr>
                    <w:pStyle w:val="65"/>
                    <w:rPr>
                      <w:rFonts w:cs="Times New Roman"/>
                      <w:b/>
                      <w:color w:val="auto"/>
                      <w:kern w:val="0"/>
                      <w:szCs w:val="20"/>
                    </w:rPr>
                  </w:pPr>
                  <w:r>
                    <w:rPr>
                      <w:rFonts w:cs="Times New Roman"/>
                      <w:b/>
                      <w:color w:val="auto"/>
                      <w:kern w:val="0"/>
                      <w:szCs w:val="20"/>
                    </w:rPr>
                    <w:t>所达环境质量标准</w:t>
                  </w:r>
                </w:p>
              </w:tc>
            </w:tr>
            <w:tr w14:paraId="6871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51" w:type="pct"/>
                  <w:vMerge w:val="continue"/>
                  <w:vAlign w:val="center"/>
                </w:tcPr>
                <w:p w14:paraId="47F7833A">
                  <w:pPr>
                    <w:pStyle w:val="167"/>
                    <w:rPr>
                      <w:rFonts w:hAnsi="Times New Roman"/>
                      <w:b/>
                      <w:color w:val="auto"/>
                      <w:sz w:val="21"/>
                      <w:szCs w:val="21"/>
                    </w:rPr>
                  </w:pPr>
                </w:p>
              </w:tc>
              <w:tc>
                <w:tcPr>
                  <w:tcW w:w="1623" w:type="pct"/>
                  <w:gridSpan w:val="4"/>
                  <w:vAlign w:val="center"/>
                </w:tcPr>
                <w:p w14:paraId="7D721A30">
                  <w:pPr>
                    <w:pStyle w:val="65"/>
                    <w:rPr>
                      <w:rFonts w:cs="Times New Roman"/>
                      <w:b/>
                      <w:color w:val="auto"/>
                      <w:kern w:val="0"/>
                      <w:szCs w:val="20"/>
                    </w:rPr>
                  </w:pPr>
                  <w:r>
                    <w:rPr>
                      <w:rFonts w:cs="Times New Roman"/>
                      <w:b/>
                      <w:color w:val="auto"/>
                      <w:kern w:val="0"/>
                      <w:szCs w:val="20"/>
                    </w:rPr>
                    <w:t>年均浓度（μg/m</w:t>
                  </w:r>
                  <w:r>
                    <w:rPr>
                      <w:rFonts w:cs="Times New Roman"/>
                      <w:b/>
                      <w:color w:val="auto"/>
                      <w:kern w:val="0"/>
                      <w:szCs w:val="20"/>
                      <w:vertAlign w:val="superscript"/>
                    </w:rPr>
                    <w:t>3</w:t>
                  </w:r>
                  <w:r>
                    <w:rPr>
                      <w:rFonts w:cs="Times New Roman"/>
                      <w:b/>
                      <w:color w:val="auto"/>
                      <w:kern w:val="0"/>
                      <w:szCs w:val="20"/>
                    </w:rPr>
                    <w:t>）</w:t>
                  </w:r>
                </w:p>
              </w:tc>
              <w:tc>
                <w:tcPr>
                  <w:tcW w:w="1057" w:type="pct"/>
                  <w:vAlign w:val="center"/>
                </w:tcPr>
                <w:p w14:paraId="1D63A6A4">
                  <w:pPr>
                    <w:pStyle w:val="65"/>
                    <w:rPr>
                      <w:rFonts w:cs="Times New Roman"/>
                      <w:b/>
                      <w:color w:val="auto"/>
                      <w:kern w:val="0"/>
                      <w:szCs w:val="20"/>
                    </w:rPr>
                  </w:pPr>
                  <w:r>
                    <w:rPr>
                      <w:rFonts w:cs="Times New Roman"/>
                      <w:b/>
                      <w:color w:val="auto"/>
                      <w:kern w:val="0"/>
                      <w:szCs w:val="20"/>
                    </w:rPr>
                    <w:t>第90百分位数浓度（μg/m</w:t>
                  </w:r>
                  <w:r>
                    <w:rPr>
                      <w:rFonts w:cs="Times New Roman"/>
                      <w:b/>
                      <w:color w:val="auto"/>
                      <w:kern w:val="0"/>
                      <w:szCs w:val="20"/>
                      <w:vertAlign w:val="superscript"/>
                    </w:rPr>
                    <w:t>3</w:t>
                  </w:r>
                  <w:r>
                    <w:rPr>
                      <w:rFonts w:cs="Times New Roman"/>
                      <w:b/>
                      <w:color w:val="auto"/>
                      <w:kern w:val="0"/>
                      <w:szCs w:val="20"/>
                    </w:rPr>
                    <w:t>）</w:t>
                  </w:r>
                </w:p>
              </w:tc>
              <w:tc>
                <w:tcPr>
                  <w:tcW w:w="954" w:type="pct"/>
                  <w:vAlign w:val="center"/>
                </w:tcPr>
                <w:p w14:paraId="12FC9728">
                  <w:pPr>
                    <w:pStyle w:val="65"/>
                    <w:rPr>
                      <w:rFonts w:cs="Times New Roman"/>
                      <w:b/>
                      <w:color w:val="auto"/>
                      <w:kern w:val="0"/>
                      <w:szCs w:val="20"/>
                    </w:rPr>
                  </w:pPr>
                  <w:r>
                    <w:rPr>
                      <w:rFonts w:cs="Times New Roman"/>
                      <w:b/>
                      <w:color w:val="auto"/>
                      <w:kern w:val="0"/>
                      <w:szCs w:val="20"/>
                    </w:rPr>
                    <w:t>95百分位数</w:t>
                  </w:r>
                </w:p>
                <w:p w14:paraId="7F3F8822">
                  <w:pPr>
                    <w:pStyle w:val="65"/>
                    <w:rPr>
                      <w:rFonts w:cs="Times New Roman"/>
                      <w:b/>
                      <w:color w:val="auto"/>
                      <w:kern w:val="0"/>
                      <w:szCs w:val="20"/>
                    </w:rPr>
                  </w:pPr>
                  <w:r>
                    <w:rPr>
                      <w:rFonts w:cs="Times New Roman"/>
                      <w:b/>
                      <w:color w:val="auto"/>
                      <w:kern w:val="0"/>
                      <w:szCs w:val="20"/>
                    </w:rPr>
                    <w:t>（mg/m</w:t>
                  </w:r>
                  <w:r>
                    <w:rPr>
                      <w:rFonts w:cs="Times New Roman"/>
                      <w:b/>
                      <w:color w:val="auto"/>
                      <w:kern w:val="0"/>
                      <w:szCs w:val="20"/>
                      <w:vertAlign w:val="superscript"/>
                    </w:rPr>
                    <w:t>3</w:t>
                  </w:r>
                  <w:r>
                    <w:rPr>
                      <w:rFonts w:cs="Times New Roman"/>
                      <w:b/>
                      <w:color w:val="auto"/>
                      <w:kern w:val="0"/>
                      <w:szCs w:val="20"/>
                    </w:rPr>
                    <w:t>）</w:t>
                  </w:r>
                </w:p>
              </w:tc>
              <w:tc>
                <w:tcPr>
                  <w:tcW w:w="815" w:type="pct"/>
                  <w:vMerge w:val="continue"/>
                  <w:vAlign w:val="center"/>
                </w:tcPr>
                <w:p w14:paraId="43567FCE">
                  <w:pPr>
                    <w:pStyle w:val="65"/>
                    <w:rPr>
                      <w:rFonts w:cs="Times New Roman"/>
                      <w:b/>
                      <w:color w:val="auto"/>
                      <w:kern w:val="0"/>
                      <w:szCs w:val="20"/>
                    </w:rPr>
                  </w:pPr>
                </w:p>
              </w:tc>
            </w:tr>
            <w:tr w14:paraId="0463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 w:type="pct"/>
                  <w:vAlign w:val="center"/>
                </w:tcPr>
                <w:p w14:paraId="72DD0F54">
                  <w:pPr>
                    <w:pStyle w:val="167"/>
                    <w:rPr>
                      <w:rFonts w:hAnsi="Times New Roman"/>
                      <w:color w:val="auto"/>
                      <w:sz w:val="21"/>
                      <w:szCs w:val="21"/>
                    </w:rPr>
                  </w:pPr>
                  <w:r>
                    <w:rPr>
                      <w:rFonts w:hint="eastAsia" w:hAnsi="Times New Roman"/>
                      <w:color w:val="auto"/>
                      <w:sz w:val="21"/>
                      <w:szCs w:val="21"/>
                    </w:rPr>
                    <w:t>南涧县</w:t>
                  </w:r>
                </w:p>
              </w:tc>
              <w:tc>
                <w:tcPr>
                  <w:tcW w:w="451" w:type="pct"/>
                  <w:vAlign w:val="center"/>
                </w:tcPr>
                <w:p w14:paraId="25A1F63D">
                  <w:pPr>
                    <w:pStyle w:val="65"/>
                    <w:rPr>
                      <w:rFonts w:cs="Times New Roman"/>
                      <w:color w:val="auto"/>
                      <w:kern w:val="0"/>
                      <w:szCs w:val="20"/>
                    </w:rPr>
                  </w:pPr>
                  <w:r>
                    <w:rPr>
                      <w:rFonts w:hint="eastAsia" w:cs="Times New Roman"/>
                      <w:color w:val="auto"/>
                      <w:kern w:val="0"/>
                      <w:szCs w:val="20"/>
                    </w:rPr>
                    <w:t>18</w:t>
                  </w:r>
                </w:p>
              </w:tc>
              <w:tc>
                <w:tcPr>
                  <w:tcW w:w="428" w:type="pct"/>
                  <w:vAlign w:val="center"/>
                </w:tcPr>
                <w:p w14:paraId="51704B37">
                  <w:pPr>
                    <w:pStyle w:val="65"/>
                    <w:rPr>
                      <w:rFonts w:cs="Times New Roman"/>
                      <w:color w:val="auto"/>
                      <w:kern w:val="0"/>
                      <w:szCs w:val="20"/>
                    </w:rPr>
                  </w:pPr>
                  <w:r>
                    <w:rPr>
                      <w:rFonts w:hint="eastAsia" w:cs="Times New Roman"/>
                      <w:color w:val="auto"/>
                      <w:kern w:val="0"/>
                      <w:szCs w:val="20"/>
                    </w:rPr>
                    <w:t>26</w:t>
                  </w:r>
                </w:p>
              </w:tc>
              <w:tc>
                <w:tcPr>
                  <w:tcW w:w="383" w:type="pct"/>
                  <w:vAlign w:val="center"/>
                </w:tcPr>
                <w:p w14:paraId="5C025AA4">
                  <w:pPr>
                    <w:pStyle w:val="65"/>
                    <w:rPr>
                      <w:rFonts w:cs="Times New Roman"/>
                      <w:color w:val="auto"/>
                      <w:kern w:val="0"/>
                      <w:szCs w:val="20"/>
                    </w:rPr>
                  </w:pPr>
                  <w:r>
                    <w:rPr>
                      <w:rFonts w:hint="eastAsia" w:cs="Times New Roman"/>
                      <w:color w:val="auto"/>
                      <w:kern w:val="0"/>
                      <w:szCs w:val="20"/>
                    </w:rPr>
                    <w:t>7</w:t>
                  </w:r>
                </w:p>
              </w:tc>
              <w:tc>
                <w:tcPr>
                  <w:tcW w:w="360" w:type="pct"/>
                  <w:vAlign w:val="center"/>
                </w:tcPr>
                <w:p w14:paraId="615C215D">
                  <w:pPr>
                    <w:pStyle w:val="65"/>
                    <w:rPr>
                      <w:rFonts w:cs="Times New Roman"/>
                      <w:color w:val="auto"/>
                      <w:kern w:val="0"/>
                      <w:szCs w:val="20"/>
                    </w:rPr>
                  </w:pPr>
                  <w:r>
                    <w:rPr>
                      <w:rFonts w:hint="eastAsia" w:cs="Times New Roman"/>
                      <w:color w:val="auto"/>
                      <w:kern w:val="0"/>
                      <w:szCs w:val="20"/>
                    </w:rPr>
                    <w:t>7</w:t>
                  </w:r>
                </w:p>
              </w:tc>
              <w:tc>
                <w:tcPr>
                  <w:tcW w:w="1057" w:type="pct"/>
                  <w:vAlign w:val="center"/>
                </w:tcPr>
                <w:p w14:paraId="2678DA2F">
                  <w:pPr>
                    <w:pStyle w:val="65"/>
                    <w:rPr>
                      <w:rFonts w:cs="Times New Roman"/>
                      <w:color w:val="auto"/>
                      <w:kern w:val="0"/>
                      <w:szCs w:val="20"/>
                    </w:rPr>
                  </w:pPr>
                  <w:r>
                    <w:rPr>
                      <w:rFonts w:hint="eastAsia" w:cs="Times New Roman"/>
                      <w:color w:val="auto"/>
                      <w:kern w:val="0"/>
                      <w:szCs w:val="20"/>
                    </w:rPr>
                    <w:t>118</w:t>
                  </w:r>
                </w:p>
              </w:tc>
              <w:tc>
                <w:tcPr>
                  <w:tcW w:w="954" w:type="pct"/>
                  <w:vAlign w:val="center"/>
                </w:tcPr>
                <w:p w14:paraId="0556F80C">
                  <w:pPr>
                    <w:pStyle w:val="65"/>
                    <w:rPr>
                      <w:rFonts w:cs="Times New Roman"/>
                      <w:color w:val="auto"/>
                      <w:kern w:val="0"/>
                      <w:szCs w:val="20"/>
                    </w:rPr>
                  </w:pPr>
                  <w:r>
                    <w:rPr>
                      <w:rFonts w:hint="eastAsia" w:cs="Times New Roman"/>
                      <w:color w:val="auto"/>
                      <w:kern w:val="0"/>
                      <w:szCs w:val="20"/>
                    </w:rPr>
                    <w:t>1.6</w:t>
                  </w:r>
                </w:p>
              </w:tc>
              <w:tc>
                <w:tcPr>
                  <w:tcW w:w="815" w:type="pct"/>
                  <w:vAlign w:val="center"/>
                </w:tcPr>
                <w:p w14:paraId="747695F6">
                  <w:pPr>
                    <w:pStyle w:val="65"/>
                    <w:rPr>
                      <w:rFonts w:cs="Times New Roman"/>
                      <w:color w:val="auto"/>
                      <w:kern w:val="0"/>
                      <w:szCs w:val="20"/>
                    </w:rPr>
                  </w:pPr>
                  <w:r>
                    <w:rPr>
                      <w:rFonts w:cs="Times New Roman"/>
                      <w:color w:val="auto"/>
                      <w:kern w:val="0"/>
                      <w:szCs w:val="20"/>
                    </w:rPr>
                    <w:t>二级</w:t>
                  </w:r>
                </w:p>
              </w:tc>
            </w:tr>
          </w:tbl>
          <w:p w14:paraId="4B17A013">
            <w:pPr>
              <w:ind w:firstLine="480"/>
              <w:rPr>
                <w:color w:val="auto"/>
              </w:rPr>
            </w:pPr>
            <w:r>
              <w:rPr>
                <w:rFonts w:hint="eastAsia"/>
                <w:color w:val="auto"/>
              </w:rPr>
              <w:t>根据项目用地红线与项目周边敏感区位置关系叠图，S18光伏方阵用地红线与云南无量山国家级自然保护区距离约307m，云南无量山国家级自然保护区为</w:t>
            </w:r>
            <w:r>
              <w:rPr>
                <w:color w:val="auto"/>
              </w:rPr>
              <w:t>一类区</w:t>
            </w:r>
            <w:r>
              <w:rPr>
                <w:rFonts w:hint="eastAsia"/>
                <w:color w:val="auto"/>
              </w:rPr>
              <w:t>，为了了解该一类区环境空气质量现状，</w:t>
            </w:r>
            <w:r>
              <w:rPr>
                <w:color w:val="auto"/>
              </w:rPr>
              <w:t>202</w:t>
            </w:r>
            <w:r>
              <w:rPr>
                <w:rFonts w:hint="eastAsia"/>
                <w:color w:val="auto"/>
              </w:rPr>
              <w:t>5年12月12日</w:t>
            </w:r>
            <w:r>
              <w:rPr>
                <w:color w:val="auto"/>
              </w:rPr>
              <w:t>~</w:t>
            </w:r>
            <w:r>
              <w:rPr>
                <w:rFonts w:hint="eastAsia"/>
                <w:color w:val="auto"/>
              </w:rPr>
              <w:t>15日，中国能源建设集团云南省电力设计院有限公司委托云南中科检测技术有限公司对云南无量山国家级自然保护区开展了环境空气环境现状监测。</w:t>
            </w:r>
          </w:p>
          <w:p w14:paraId="3E812AA8">
            <w:pPr>
              <w:pStyle w:val="40"/>
              <w:spacing w:after="0"/>
              <w:ind w:left="0" w:leftChars="0" w:firstLine="482"/>
              <w:rPr>
                <w:color w:val="auto"/>
                <w:szCs w:val="32"/>
              </w:rPr>
            </w:pPr>
            <w:r>
              <w:rPr>
                <w:rFonts w:hint="eastAsia"/>
                <w:b/>
                <w:bCs/>
                <w:color w:val="auto"/>
                <w:szCs w:val="32"/>
              </w:rPr>
              <w:t>（1）监测项目</w:t>
            </w:r>
            <w:r>
              <w:rPr>
                <w:rFonts w:hint="eastAsia"/>
                <w:color w:val="auto"/>
                <w:szCs w:val="32"/>
              </w:rPr>
              <w:t>：</w:t>
            </w:r>
            <w:r>
              <w:rPr>
                <w:color w:val="auto"/>
                <w:szCs w:val="32"/>
              </w:rPr>
              <w:t>PM₂.₅</w:t>
            </w:r>
            <w:r>
              <w:rPr>
                <w:rFonts w:hint="eastAsia"/>
                <w:color w:val="auto"/>
                <w:szCs w:val="32"/>
              </w:rPr>
              <w:t>、</w:t>
            </w:r>
            <w:r>
              <w:rPr>
                <w:color w:val="auto"/>
                <w:szCs w:val="32"/>
              </w:rPr>
              <w:t>PM₁₀</w:t>
            </w:r>
            <w:r>
              <w:rPr>
                <w:rFonts w:hint="eastAsia"/>
                <w:color w:val="auto"/>
                <w:szCs w:val="32"/>
              </w:rPr>
              <w:t>、</w:t>
            </w:r>
            <w:r>
              <w:rPr>
                <w:color w:val="auto"/>
                <w:szCs w:val="32"/>
              </w:rPr>
              <w:t>SO₂</w:t>
            </w:r>
            <w:r>
              <w:rPr>
                <w:rFonts w:hint="eastAsia"/>
                <w:color w:val="auto"/>
                <w:szCs w:val="32"/>
              </w:rPr>
              <w:t>、</w:t>
            </w:r>
            <w:r>
              <w:rPr>
                <w:color w:val="auto"/>
                <w:szCs w:val="32"/>
              </w:rPr>
              <w:t>NO₂</w:t>
            </w:r>
            <w:r>
              <w:rPr>
                <w:rFonts w:hint="eastAsia"/>
                <w:color w:val="auto"/>
                <w:szCs w:val="32"/>
              </w:rPr>
              <w:t>、</w:t>
            </w:r>
            <w:r>
              <w:rPr>
                <w:color w:val="auto"/>
                <w:szCs w:val="32"/>
              </w:rPr>
              <w:t>CO</w:t>
            </w:r>
            <w:r>
              <w:rPr>
                <w:rFonts w:hint="eastAsia"/>
                <w:color w:val="auto"/>
                <w:szCs w:val="32"/>
              </w:rPr>
              <w:t>、</w:t>
            </w:r>
            <w:r>
              <w:rPr>
                <w:color w:val="auto"/>
                <w:szCs w:val="32"/>
              </w:rPr>
              <w:t>O₃</w:t>
            </w:r>
            <w:r>
              <w:rPr>
                <w:rFonts w:hint="eastAsia"/>
                <w:color w:val="auto"/>
                <w:szCs w:val="32"/>
              </w:rPr>
              <w:t>、TSP。</w:t>
            </w:r>
          </w:p>
          <w:p w14:paraId="7C4E4FE9">
            <w:pPr>
              <w:pStyle w:val="40"/>
              <w:spacing w:after="0"/>
              <w:ind w:left="0" w:leftChars="0" w:firstLine="482"/>
              <w:rPr>
                <w:b/>
                <w:bCs/>
                <w:color w:val="auto"/>
                <w:szCs w:val="32"/>
              </w:rPr>
            </w:pPr>
            <w:r>
              <w:rPr>
                <w:rFonts w:hint="eastAsia"/>
                <w:b/>
                <w:bCs/>
                <w:color w:val="auto"/>
                <w:szCs w:val="32"/>
              </w:rPr>
              <w:t>（2）监测布点</w:t>
            </w:r>
          </w:p>
          <w:p w14:paraId="635C9886">
            <w:pPr>
              <w:pStyle w:val="40"/>
              <w:spacing w:after="0"/>
              <w:ind w:left="0" w:leftChars="0" w:firstLine="480"/>
              <w:rPr>
                <w:color w:val="auto"/>
                <w:szCs w:val="32"/>
              </w:rPr>
            </w:pPr>
            <w:r>
              <w:rPr>
                <w:rFonts w:hint="eastAsia"/>
                <w:color w:val="auto"/>
                <w:szCs w:val="32"/>
              </w:rPr>
              <w:t>S18</w:t>
            </w:r>
            <w:r>
              <w:rPr>
                <w:color w:val="auto"/>
                <w:szCs w:val="32"/>
              </w:rPr>
              <w:t>光伏方阵用地红线与</w:t>
            </w:r>
            <w:r>
              <w:rPr>
                <w:rFonts w:hint="eastAsia"/>
                <w:color w:val="auto"/>
                <w:szCs w:val="32"/>
              </w:rPr>
              <w:t>“云南无量山国家级自然保护区”距离约307m，在靠近项目区域</w:t>
            </w:r>
            <w:r>
              <w:rPr>
                <w:color w:val="auto"/>
                <w:szCs w:val="32"/>
              </w:rPr>
              <w:t>最近的</w:t>
            </w:r>
            <w:r>
              <w:rPr>
                <w:rFonts w:hint="eastAsia"/>
                <w:color w:val="auto"/>
                <w:szCs w:val="32"/>
              </w:rPr>
              <w:t>保护区</w:t>
            </w:r>
            <w:r>
              <w:rPr>
                <w:color w:val="auto"/>
                <w:szCs w:val="32"/>
              </w:rPr>
              <w:t>边界内设置1个监测点</w:t>
            </w:r>
            <w:r>
              <w:rPr>
                <w:rFonts w:hint="eastAsia"/>
                <w:color w:val="auto"/>
                <w:szCs w:val="32"/>
              </w:rPr>
              <w:t>。</w:t>
            </w:r>
          </w:p>
          <w:p w14:paraId="450F85D0">
            <w:pPr>
              <w:pStyle w:val="63"/>
              <w:ind w:firstLine="480"/>
              <w:rPr>
                <w:color w:val="auto"/>
                <w:szCs w:val="32"/>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5</w:t>
            </w:r>
            <w:r>
              <w:rPr>
                <w:color w:val="auto"/>
              </w:rPr>
              <w:fldChar w:fldCharType="end"/>
            </w:r>
            <w:r>
              <w:rPr>
                <w:color w:val="auto"/>
              </w:rPr>
              <w:t xml:space="preserve">  </w:t>
            </w:r>
            <w:r>
              <w:rPr>
                <w:rFonts w:hint="eastAsia"/>
                <w:color w:val="auto"/>
              </w:rPr>
              <w:t>环境空气现状监测采样点位表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733"/>
              <w:gridCol w:w="2166"/>
              <w:gridCol w:w="1729"/>
              <w:gridCol w:w="1527"/>
            </w:tblGrid>
            <w:tr w14:paraId="54FF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7" w:type="pct"/>
                  <w:vAlign w:val="center"/>
                </w:tcPr>
                <w:p w14:paraId="7F8D4CCF">
                  <w:pPr>
                    <w:pStyle w:val="39"/>
                    <w:ind w:firstLine="0" w:firstLineChars="0"/>
                    <w:jc w:val="center"/>
                    <w:rPr>
                      <w:color w:val="auto"/>
                      <w:sz w:val="21"/>
                      <w:szCs w:val="18"/>
                    </w:rPr>
                  </w:pPr>
                  <w:r>
                    <w:rPr>
                      <w:color w:val="auto"/>
                      <w:sz w:val="21"/>
                      <w:szCs w:val="18"/>
                    </w:rPr>
                    <w:t>编号</w:t>
                  </w:r>
                </w:p>
              </w:tc>
              <w:tc>
                <w:tcPr>
                  <w:tcW w:w="1129" w:type="pct"/>
                  <w:vAlign w:val="center"/>
                </w:tcPr>
                <w:p w14:paraId="6AC88FA4">
                  <w:pPr>
                    <w:pStyle w:val="39"/>
                    <w:ind w:firstLine="0" w:firstLineChars="0"/>
                    <w:jc w:val="center"/>
                    <w:rPr>
                      <w:color w:val="auto"/>
                      <w:sz w:val="21"/>
                      <w:szCs w:val="18"/>
                    </w:rPr>
                  </w:pPr>
                  <w:r>
                    <w:rPr>
                      <w:color w:val="auto"/>
                      <w:sz w:val="21"/>
                      <w:szCs w:val="18"/>
                    </w:rPr>
                    <w:t>点位名称</w:t>
                  </w:r>
                </w:p>
              </w:tc>
              <w:tc>
                <w:tcPr>
                  <w:tcW w:w="1396" w:type="pct"/>
                  <w:vAlign w:val="center"/>
                </w:tcPr>
                <w:p w14:paraId="2B3B7CE4">
                  <w:pPr>
                    <w:pStyle w:val="39"/>
                    <w:ind w:firstLine="0" w:firstLineChars="0"/>
                    <w:jc w:val="center"/>
                    <w:rPr>
                      <w:color w:val="auto"/>
                      <w:sz w:val="21"/>
                      <w:szCs w:val="18"/>
                    </w:rPr>
                  </w:pPr>
                  <w:r>
                    <w:rPr>
                      <w:color w:val="auto"/>
                      <w:sz w:val="21"/>
                      <w:szCs w:val="18"/>
                    </w:rPr>
                    <w:t>与工程位置关系</w:t>
                  </w:r>
                </w:p>
              </w:tc>
              <w:tc>
                <w:tcPr>
                  <w:tcW w:w="1117" w:type="pct"/>
                  <w:vAlign w:val="center"/>
                </w:tcPr>
                <w:p w14:paraId="310D6C08">
                  <w:pPr>
                    <w:pStyle w:val="39"/>
                    <w:ind w:firstLine="0" w:firstLineChars="0"/>
                    <w:jc w:val="center"/>
                    <w:rPr>
                      <w:color w:val="auto"/>
                      <w:sz w:val="21"/>
                      <w:szCs w:val="18"/>
                    </w:rPr>
                  </w:pPr>
                  <w:r>
                    <w:rPr>
                      <w:rFonts w:hint="eastAsia"/>
                      <w:color w:val="auto"/>
                      <w:sz w:val="21"/>
                      <w:szCs w:val="18"/>
                    </w:rPr>
                    <w:t>经度</w:t>
                  </w:r>
                </w:p>
              </w:tc>
              <w:tc>
                <w:tcPr>
                  <w:tcW w:w="911" w:type="pct"/>
                  <w:vAlign w:val="center"/>
                </w:tcPr>
                <w:p w14:paraId="153A9C6F">
                  <w:pPr>
                    <w:pStyle w:val="39"/>
                    <w:ind w:firstLine="0" w:firstLineChars="0"/>
                    <w:jc w:val="center"/>
                    <w:rPr>
                      <w:color w:val="auto"/>
                      <w:sz w:val="21"/>
                      <w:szCs w:val="18"/>
                    </w:rPr>
                  </w:pPr>
                  <w:r>
                    <w:rPr>
                      <w:rFonts w:hint="eastAsia"/>
                      <w:color w:val="auto"/>
                      <w:sz w:val="21"/>
                      <w:szCs w:val="18"/>
                    </w:rPr>
                    <w:t>纬度</w:t>
                  </w:r>
                </w:p>
              </w:tc>
            </w:tr>
            <w:tr w14:paraId="776C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7" w:type="pct"/>
                  <w:vAlign w:val="center"/>
                </w:tcPr>
                <w:p w14:paraId="61682CA1">
                  <w:pPr>
                    <w:pStyle w:val="39"/>
                    <w:spacing w:line="240" w:lineRule="auto"/>
                    <w:ind w:firstLine="0" w:firstLineChars="0"/>
                    <w:jc w:val="center"/>
                    <w:rPr>
                      <w:b w:val="0"/>
                      <w:bCs/>
                      <w:color w:val="auto"/>
                      <w:sz w:val="21"/>
                      <w:szCs w:val="18"/>
                    </w:rPr>
                  </w:pPr>
                  <w:r>
                    <w:rPr>
                      <w:rFonts w:hint="eastAsia"/>
                      <w:b w:val="0"/>
                      <w:bCs/>
                      <w:color w:val="auto"/>
                      <w:sz w:val="21"/>
                      <w:szCs w:val="18"/>
                    </w:rPr>
                    <w:t>A</w:t>
                  </w:r>
                  <w:r>
                    <w:rPr>
                      <w:b w:val="0"/>
                      <w:bCs/>
                      <w:color w:val="auto"/>
                      <w:sz w:val="21"/>
                      <w:szCs w:val="18"/>
                    </w:rPr>
                    <w:t>01</w:t>
                  </w:r>
                </w:p>
              </w:tc>
              <w:tc>
                <w:tcPr>
                  <w:tcW w:w="1129" w:type="pct"/>
                  <w:vAlign w:val="center"/>
                </w:tcPr>
                <w:p w14:paraId="74851379">
                  <w:pPr>
                    <w:pStyle w:val="39"/>
                    <w:spacing w:line="240" w:lineRule="auto"/>
                    <w:ind w:firstLine="0" w:firstLineChars="0"/>
                    <w:jc w:val="center"/>
                    <w:rPr>
                      <w:b w:val="0"/>
                      <w:bCs/>
                      <w:color w:val="auto"/>
                      <w:sz w:val="21"/>
                      <w:szCs w:val="18"/>
                    </w:rPr>
                  </w:pPr>
                  <w:r>
                    <w:rPr>
                      <w:b w:val="0"/>
                      <w:bCs/>
                      <w:color w:val="auto"/>
                      <w:sz w:val="21"/>
                      <w:szCs w:val="18"/>
                    </w:rPr>
                    <w:t>云南无量山国家级自然保护区</w:t>
                  </w:r>
                </w:p>
              </w:tc>
              <w:tc>
                <w:tcPr>
                  <w:tcW w:w="1396" w:type="pct"/>
                  <w:vAlign w:val="center"/>
                </w:tcPr>
                <w:p w14:paraId="3048F3E2">
                  <w:pPr>
                    <w:spacing w:line="240" w:lineRule="auto"/>
                    <w:ind w:firstLine="0" w:firstLineChars="0"/>
                    <w:jc w:val="center"/>
                    <w:rPr>
                      <w:rFonts w:cs="Times New Roman"/>
                      <w:bCs/>
                      <w:color w:val="auto"/>
                      <w:sz w:val="21"/>
                      <w:szCs w:val="18"/>
                    </w:rPr>
                  </w:pPr>
                  <w:r>
                    <w:rPr>
                      <w:rFonts w:cs="Times New Roman"/>
                      <w:bCs/>
                      <w:color w:val="auto"/>
                      <w:sz w:val="21"/>
                      <w:szCs w:val="18"/>
                    </w:rPr>
                    <w:t>云南无量山国家级自然保护区靠近项目板区一侧布点</w:t>
                  </w:r>
                </w:p>
              </w:tc>
              <w:tc>
                <w:tcPr>
                  <w:tcW w:w="1117" w:type="pct"/>
                  <w:vAlign w:val="center"/>
                </w:tcPr>
                <w:p w14:paraId="024F3BB9">
                  <w:pPr>
                    <w:spacing w:line="240" w:lineRule="auto"/>
                    <w:ind w:firstLine="0" w:firstLineChars="0"/>
                    <w:jc w:val="center"/>
                    <w:rPr>
                      <w:rFonts w:cs="Times New Roman"/>
                      <w:bCs/>
                      <w:color w:val="auto"/>
                      <w:sz w:val="21"/>
                      <w:szCs w:val="18"/>
                    </w:rPr>
                  </w:pPr>
                  <w:r>
                    <w:rPr>
                      <w:rFonts w:cs="Times New Roman"/>
                      <w:bCs/>
                      <w:color w:val="auto"/>
                      <w:sz w:val="21"/>
                      <w:szCs w:val="18"/>
                    </w:rPr>
                    <w:t>100°29'31.8942"</w:t>
                  </w:r>
                </w:p>
              </w:tc>
              <w:tc>
                <w:tcPr>
                  <w:tcW w:w="911" w:type="pct"/>
                  <w:vAlign w:val="center"/>
                </w:tcPr>
                <w:p w14:paraId="278D1A03">
                  <w:pPr>
                    <w:spacing w:line="240" w:lineRule="auto"/>
                    <w:ind w:firstLine="0" w:firstLineChars="0"/>
                    <w:jc w:val="center"/>
                    <w:rPr>
                      <w:rFonts w:cs="Times New Roman"/>
                      <w:bCs/>
                      <w:color w:val="auto"/>
                      <w:sz w:val="21"/>
                      <w:szCs w:val="18"/>
                    </w:rPr>
                  </w:pPr>
                  <w:r>
                    <w:rPr>
                      <w:rFonts w:cs="Times New Roman"/>
                      <w:bCs/>
                      <w:color w:val="auto"/>
                      <w:sz w:val="21"/>
                      <w:szCs w:val="18"/>
                    </w:rPr>
                    <w:t>24°45'36.4060"</w:t>
                  </w:r>
                </w:p>
              </w:tc>
            </w:tr>
          </w:tbl>
          <w:p w14:paraId="725448AF">
            <w:pPr>
              <w:pStyle w:val="40"/>
              <w:spacing w:after="0"/>
              <w:ind w:left="0" w:leftChars="0" w:firstLine="482"/>
              <w:rPr>
                <w:b/>
                <w:bCs/>
                <w:color w:val="auto"/>
                <w:szCs w:val="32"/>
              </w:rPr>
            </w:pPr>
            <w:r>
              <w:rPr>
                <w:rFonts w:hint="eastAsia"/>
                <w:b/>
                <w:bCs/>
                <w:color w:val="auto"/>
                <w:szCs w:val="32"/>
              </w:rPr>
              <w:t>（3）监测周期及频率：</w:t>
            </w:r>
          </w:p>
          <w:p w14:paraId="26755304">
            <w:pPr>
              <w:pStyle w:val="40"/>
              <w:spacing w:after="0"/>
              <w:ind w:left="0" w:leftChars="0" w:firstLine="480"/>
              <w:rPr>
                <w:color w:val="auto"/>
                <w:szCs w:val="32"/>
              </w:rPr>
            </w:pPr>
            <w:r>
              <w:rPr>
                <w:rFonts w:hint="eastAsia"/>
                <w:color w:val="auto"/>
                <w:szCs w:val="32"/>
              </w:rPr>
              <w:t>连续监测3天。</w:t>
            </w:r>
          </w:p>
          <w:p w14:paraId="03598AAF">
            <w:pPr>
              <w:pStyle w:val="40"/>
              <w:spacing w:after="0"/>
              <w:ind w:left="0" w:leftChars="0" w:firstLine="482"/>
              <w:rPr>
                <w:b/>
                <w:bCs/>
                <w:color w:val="auto"/>
                <w:szCs w:val="32"/>
              </w:rPr>
            </w:pPr>
            <w:r>
              <w:rPr>
                <w:rFonts w:hint="eastAsia"/>
                <w:b/>
                <w:bCs/>
                <w:color w:val="auto"/>
                <w:szCs w:val="32"/>
              </w:rPr>
              <w:t>（4）监测及分析方法：</w:t>
            </w:r>
          </w:p>
          <w:p w14:paraId="1D2A2036">
            <w:pPr>
              <w:pStyle w:val="40"/>
              <w:spacing w:after="0"/>
              <w:ind w:left="0" w:leftChars="0" w:firstLine="480"/>
              <w:rPr>
                <w:color w:val="auto"/>
                <w:szCs w:val="32"/>
              </w:rPr>
            </w:pPr>
            <w:r>
              <w:rPr>
                <w:rFonts w:hint="eastAsia"/>
                <w:color w:val="auto"/>
                <w:szCs w:val="32"/>
              </w:rPr>
              <w:t>采用自动监测或手工采样</w:t>
            </w:r>
            <w:r>
              <w:rPr>
                <w:color w:val="auto"/>
                <w:szCs w:val="32"/>
              </w:rPr>
              <w:t>-</w:t>
            </w:r>
            <w:r>
              <w:rPr>
                <w:rFonts w:hint="eastAsia"/>
                <w:color w:val="auto"/>
                <w:szCs w:val="32"/>
              </w:rPr>
              <w:t>实验室分析方法。</w:t>
            </w:r>
            <w:r>
              <w:rPr>
                <w:color w:val="auto"/>
                <w:szCs w:val="32"/>
              </w:rPr>
              <w:t>PM₂.₅</w:t>
            </w:r>
            <w:r>
              <w:rPr>
                <w:rFonts w:hint="eastAsia"/>
                <w:color w:val="auto"/>
                <w:szCs w:val="32"/>
              </w:rPr>
              <w:t>、</w:t>
            </w:r>
            <w:r>
              <w:rPr>
                <w:color w:val="auto"/>
                <w:szCs w:val="32"/>
              </w:rPr>
              <w:t>PM₁₀</w:t>
            </w:r>
            <w:r>
              <w:rPr>
                <w:rFonts w:hint="eastAsia"/>
                <w:color w:val="auto"/>
                <w:szCs w:val="32"/>
              </w:rPr>
              <w:t>等颗粒物及气态污染物采样与分析遵循《环境空气质量标准》（</w:t>
            </w:r>
            <w:r>
              <w:rPr>
                <w:color w:val="auto"/>
                <w:szCs w:val="32"/>
              </w:rPr>
              <w:t>GB 3095-2012</w:t>
            </w:r>
            <w:r>
              <w:rPr>
                <w:rFonts w:hint="eastAsia"/>
                <w:color w:val="auto"/>
                <w:szCs w:val="32"/>
              </w:rPr>
              <w:t>）及相关修改单中规定的监测方法。</w:t>
            </w:r>
          </w:p>
          <w:p w14:paraId="2630E843">
            <w:pPr>
              <w:ind w:firstLine="482"/>
              <w:rPr>
                <w:b/>
                <w:color w:val="auto"/>
              </w:rPr>
            </w:pPr>
            <w:r>
              <w:rPr>
                <w:rFonts w:hint="eastAsia"/>
                <w:b/>
                <w:color w:val="auto"/>
              </w:rPr>
              <w:t>（5）监测结果</w:t>
            </w:r>
          </w:p>
          <w:p w14:paraId="3D4B28BC">
            <w:pPr>
              <w:ind w:firstLine="480"/>
              <w:rPr>
                <w:color w:val="auto"/>
              </w:rPr>
            </w:pPr>
            <w:r>
              <w:rPr>
                <w:rFonts w:hint="eastAsia"/>
                <w:color w:val="auto"/>
              </w:rPr>
              <w:t>检测结果及达标分析见下表。</w:t>
            </w:r>
          </w:p>
          <w:p w14:paraId="07667856">
            <w:pPr>
              <w:pStyle w:val="63"/>
              <w:rPr>
                <w:bCs/>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6</w:t>
            </w:r>
            <w:r>
              <w:rPr>
                <w:color w:val="auto"/>
              </w:rPr>
              <w:fldChar w:fldCharType="end"/>
            </w:r>
            <w:r>
              <w:rPr>
                <w:color w:val="auto"/>
              </w:rPr>
              <w:t xml:space="preserve">  </w:t>
            </w:r>
            <w:r>
              <w:rPr>
                <w:rFonts w:hint="eastAsia"/>
                <w:color w:val="auto"/>
              </w:rPr>
              <w:t>云南无量山国家级自然保护区环境空气检测结果及达标分析表</w:t>
            </w:r>
          </w:p>
          <w:tbl>
            <w:tblPr>
              <w:tblStyle w:val="41"/>
              <w:tblW w:w="5000" w:type="pct"/>
              <w:tblInd w:w="0" w:type="dxa"/>
              <w:tblLayout w:type="autofit"/>
              <w:tblCellMar>
                <w:top w:w="0" w:type="dxa"/>
                <w:left w:w="108" w:type="dxa"/>
                <w:bottom w:w="0" w:type="dxa"/>
                <w:right w:w="108" w:type="dxa"/>
              </w:tblCellMar>
            </w:tblPr>
            <w:tblGrid>
              <w:gridCol w:w="1024"/>
              <w:gridCol w:w="2176"/>
              <w:gridCol w:w="1264"/>
              <w:gridCol w:w="1142"/>
              <w:gridCol w:w="1080"/>
              <w:gridCol w:w="1170"/>
            </w:tblGrid>
            <w:tr w14:paraId="376C5867">
              <w:tblPrEx>
                <w:tblCellMar>
                  <w:top w:w="0" w:type="dxa"/>
                  <w:left w:w="108" w:type="dxa"/>
                  <w:bottom w:w="0" w:type="dxa"/>
                  <w:right w:w="108" w:type="dxa"/>
                </w:tblCellMar>
              </w:tblPrEx>
              <w:trPr>
                <w:trHeight w:val="454" w:hRule="atLeast"/>
                <w:tblHeader/>
              </w:trPr>
              <w:tc>
                <w:tcPr>
                  <w:tcW w:w="736" w:type="pct"/>
                  <w:tcBorders>
                    <w:top w:val="single" w:color="auto" w:sz="4" w:space="0"/>
                    <w:left w:val="single" w:color="auto" w:sz="4" w:space="0"/>
                    <w:bottom w:val="single" w:color="auto" w:sz="4" w:space="0"/>
                    <w:right w:val="single" w:color="auto" w:sz="4" w:space="0"/>
                  </w:tcBorders>
                  <w:vAlign w:val="center"/>
                </w:tcPr>
                <w:p w14:paraId="78303313">
                  <w:pPr>
                    <w:pStyle w:val="65"/>
                    <w:rPr>
                      <w:b/>
                      <w:bCs/>
                      <w:color w:val="auto"/>
                    </w:rPr>
                  </w:pPr>
                  <w:r>
                    <w:rPr>
                      <w:rFonts w:hint="eastAsia"/>
                      <w:b/>
                      <w:bCs/>
                      <w:color w:val="auto"/>
                    </w:rPr>
                    <w:t>检测指标</w:t>
                  </w:r>
                </w:p>
              </w:tc>
              <w:tc>
                <w:tcPr>
                  <w:tcW w:w="967" w:type="pct"/>
                  <w:tcBorders>
                    <w:top w:val="single" w:color="auto" w:sz="4" w:space="0"/>
                    <w:left w:val="nil"/>
                    <w:bottom w:val="single" w:color="auto" w:sz="4" w:space="0"/>
                    <w:right w:val="single" w:color="auto" w:sz="4" w:space="0"/>
                  </w:tcBorders>
                  <w:vAlign w:val="center"/>
                </w:tcPr>
                <w:p w14:paraId="6C2450D1">
                  <w:pPr>
                    <w:pStyle w:val="65"/>
                    <w:rPr>
                      <w:b/>
                      <w:bCs/>
                      <w:color w:val="auto"/>
                    </w:rPr>
                  </w:pPr>
                  <w:r>
                    <w:rPr>
                      <w:rFonts w:hint="eastAsia"/>
                      <w:b/>
                      <w:bCs/>
                      <w:color w:val="auto"/>
                    </w:rPr>
                    <w:t>采样日期</w:t>
                  </w:r>
                </w:p>
              </w:tc>
              <w:tc>
                <w:tcPr>
                  <w:tcW w:w="888" w:type="pct"/>
                  <w:tcBorders>
                    <w:top w:val="single" w:color="auto" w:sz="4" w:space="0"/>
                    <w:left w:val="nil"/>
                    <w:bottom w:val="single" w:color="auto" w:sz="4" w:space="0"/>
                    <w:right w:val="single" w:color="auto" w:sz="4" w:space="0"/>
                  </w:tcBorders>
                  <w:vAlign w:val="center"/>
                </w:tcPr>
                <w:p w14:paraId="483D57F0">
                  <w:pPr>
                    <w:pStyle w:val="65"/>
                    <w:rPr>
                      <w:b/>
                      <w:bCs/>
                      <w:color w:val="auto"/>
                    </w:rPr>
                  </w:pPr>
                  <w:r>
                    <w:rPr>
                      <w:rFonts w:hint="eastAsia"/>
                      <w:b/>
                      <w:bCs/>
                      <w:color w:val="auto"/>
                    </w:rPr>
                    <w:t>采样时段</w:t>
                  </w:r>
                </w:p>
              </w:tc>
              <w:tc>
                <w:tcPr>
                  <w:tcW w:w="751" w:type="pct"/>
                  <w:tcBorders>
                    <w:top w:val="single" w:color="auto" w:sz="4" w:space="0"/>
                    <w:left w:val="nil"/>
                    <w:bottom w:val="single" w:color="auto" w:sz="4" w:space="0"/>
                    <w:right w:val="single" w:color="auto" w:sz="4" w:space="0"/>
                  </w:tcBorders>
                  <w:vAlign w:val="center"/>
                </w:tcPr>
                <w:p w14:paraId="74636F52">
                  <w:pPr>
                    <w:pStyle w:val="65"/>
                    <w:rPr>
                      <w:b/>
                      <w:bCs/>
                      <w:color w:val="auto"/>
                    </w:rPr>
                  </w:pPr>
                  <w:r>
                    <w:rPr>
                      <w:rFonts w:hint="eastAsia"/>
                      <w:b/>
                      <w:bCs/>
                      <w:color w:val="auto"/>
                    </w:rPr>
                    <w:t>检测结果</w:t>
                  </w:r>
                </w:p>
              </w:tc>
              <w:tc>
                <w:tcPr>
                  <w:tcW w:w="830" w:type="pct"/>
                  <w:tcBorders>
                    <w:top w:val="single" w:color="auto" w:sz="4" w:space="0"/>
                    <w:left w:val="nil"/>
                    <w:bottom w:val="single" w:color="auto" w:sz="4" w:space="0"/>
                    <w:right w:val="single" w:color="auto" w:sz="4" w:space="0"/>
                  </w:tcBorders>
                  <w:noWrap/>
                  <w:vAlign w:val="center"/>
                </w:tcPr>
                <w:p w14:paraId="25B29487">
                  <w:pPr>
                    <w:pStyle w:val="65"/>
                    <w:rPr>
                      <w:b/>
                      <w:bCs/>
                      <w:color w:val="auto"/>
                    </w:rPr>
                  </w:pPr>
                  <w:r>
                    <w:rPr>
                      <w:rFonts w:hint="eastAsia"/>
                      <w:b/>
                      <w:bCs/>
                      <w:color w:val="auto"/>
                    </w:rPr>
                    <w:t>标准限值</w:t>
                  </w:r>
                </w:p>
              </w:tc>
              <w:tc>
                <w:tcPr>
                  <w:tcW w:w="828" w:type="pct"/>
                  <w:tcBorders>
                    <w:top w:val="single" w:color="auto" w:sz="4" w:space="0"/>
                    <w:left w:val="nil"/>
                    <w:bottom w:val="single" w:color="auto" w:sz="4" w:space="0"/>
                    <w:right w:val="single" w:color="auto" w:sz="4" w:space="0"/>
                  </w:tcBorders>
                  <w:noWrap/>
                  <w:vAlign w:val="center"/>
                </w:tcPr>
                <w:p w14:paraId="4EF8BCB5">
                  <w:pPr>
                    <w:pStyle w:val="65"/>
                    <w:rPr>
                      <w:b/>
                      <w:bCs/>
                      <w:color w:val="auto"/>
                    </w:rPr>
                  </w:pPr>
                  <w:r>
                    <w:rPr>
                      <w:rFonts w:hint="eastAsia"/>
                      <w:b/>
                      <w:bCs/>
                      <w:color w:val="auto"/>
                    </w:rPr>
                    <w:t>达标情况</w:t>
                  </w:r>
                </w:p>
              </w:tc>
            </w:tr>
            <w:tr w14:paraId="37570FAF">
              <w:tblPrEx>
                <w:tblCellMar>
                  <w:top w:w="0" w:type="dxa"/>
                  <w:left w:w="108" w:type="dxa"/>
                  <w:bottom w:w="0" w:type="dxa"/>
                  <w:right w:w="108" w:type="dxa"/>
                </w:tblCellMar>
              </w:tblPrEx>
              <w:trPr>
                <w:trHeight w:val="454" w:hRule="atLeast"/>
              </w:trPr>
              <w:tc>
                <w:tcPr>
                  <w:tcW w:w="736" w:type="pct"/>
                  <w:vMerge w:val="restart"/>
                  <w:tcBorders>
                    <w:top w:val="single" w:color="auto" w:sz="4" w:space="0"/>
                    <w:left w:val="single" w:color="auto" w:sz="4" w:space="0"/>
                    <w:right w:val="single" w:color="auto" w:sz="4" w:space="0"/>
                  </w:tcBorders>
                  <w:vAlign w:val="center"/>
                </w:tcPr>
                <w:p w14:paraId="5E756903">
                  <w:pPr>
                    <w:pStyle w:val="65"/>
                    <w:rPr>
                      <w:color w:val="auto"/>
                    </w:rPr>
                  </w:pPr>
                  <w:r>
                    <w:rPr>
                      <w:rFonts w:hint="eastAsia"/>
                      <w:color w:val="auto"/>
                    </w:rPr>
                    <w:t>二氧化硫</w:t>
                  </w:r>
                </w:p>
              </w:tc>
              <w:tc>
                <w:tcPr>
                  <w:tcW w:w="967" w:type="pct"/>
                  <w:tcBorders>
                    <w:top w:val="single" w:color="auto" w:sz="4" w:space="0"/>
                    <w:left w:val="nil"/>
                    <w:bottom w:val="single" w:color="auto" w:sz="4" w:space="0"/>
                    <w:right w:val="single" w:color="auto" w:sz="4" w:space="0"/>
                  </w:tcBorders>
                </w:tcPr>
                <w:p w14:paraId="594A89AE">
                  <w:pPr>
                    <w:pStyle w:val="65"/>
                    <w:rPr>
                      <w:color w:val="auto"/>
                    </w:rPr>
                  </w:pPr>
                  <w:r>
                    <w:rPr>
                      <w:rFonts w:hint="eastAsia"/>
                      <w:color w:val="auto"/>
                    </w:rPr>
                    <w:t>2026.01.12-2026.01.13</w:t>
                  </w:r>
                </w:p>
              </w:tc>
              <w:tc>
                <w:tcPr>
                  <w:tcW w:w="888" w:type="pct"/>
                  <w:tcBorders>
                    <w:top w:val="single" w:color="auto" w:sz="4" w:space="0"/>
                    <w:left w:val="nil"/>
                    <w:bottom w:val="single" w:color="auto" w:sz="4" w:space="0"/>
                    <w:right w:val="single" w:color="auto" w:sz="4" w:space="0"/>
                  </w:tcBorders>
                </w:tcPr>
                <w:p w14:paraId="1B90C024">
                  <w:pPr>
                    <w:pStyle w:val="65"/>
                    <w:rPr>
                      <w:color w:val="auto"/>
                    </w:rPr>
                  </w:pPr>
                  <w:r>
                    <w:rPr>
                      <w:rFonts w:hint="eastAsia"/>
                      <w:color w:val="auto"/>
                    </w:rPr>
                    <w:t>08:00-08:00（次日）</w:t>
                  </w:r>
                </w:p>
              </w:tc>
              <w:tc>
                <w:tcPr>
                  <w:tcW w:w="751" w:type="pct"/>
                  <w:tcBorders>
                    <w:top w:val="single" w:color="auto" w:sz="4" w:space="0"/>
                    <w:left w:val="nil"/>
                    <w:bottom w:val="single" w:color="auto" w:sz="4" w:space="0"/>
                    <w:right w:val="single" w:color="auto" w:sz="4" w:space="0"/>
                  </w:tcBorders>
                  <w:vAlign w:val="center"/>
                </w:tcPr>
                <w:p w14:paraId="1B27D615">
                  <w:pPr>
                    <w:pStyle w:val="65"/>
                    <w:rPr>
                      <w:color w:val="auto"/>
                    </w:rPr>
                  </w:pPr>
                  <w:r>
                    <w:rPr>
                      <w:color w:val="auto"/>
                    </w:rPr>
                    <w:t>35μg/m</w:t>
                  </w:r>
                  <w:r>
                    <w:rPr>
                      <w:color w:val="auto"/>
                      <w:vertAlign w:val="superscript"/>
                    </w:rPr>
                    <w:t>3</w:t>
                  </w:r>
                </w:p>
              </w:tc>
              <w:tc>
                <w:tcPr>
                  <w:tcW w:w="830" w:type="pct"/>
                  <w:vMerge w:val="restart"/>
                  <w:tcBorders>
                    <w:top w:val="single" w:color="auto" w:sz="4" w:space="0"/>
                    <w:left w:val="nil"/>
                    <w:right w:val="single" w:color="auto" w:sz="4" w:space="0"/>
                  </w:tcBorders>
                  <w:noWrap/>
                  <w:vAlign w:val="center"/>
                </w:tcPr>
                <w:p w14:paraId="624CB586">
                  <w:pPr>
                    <w:pStyle w:val="65"/>
                    <w:rPr>
                      <w:color w:val="auto"/>
                    </w:rPr>
                  </w:pPr>
                  <w:r>
                    <w:rPr>
                      <w:rFonts w:hint="eastAsia"/>
                      <w:color w:val="auto"/>
                    </w:rPr>
                    <w:t>50</w:t>
                  </w:r>
                  <w:r>
                    <w:rPr>
                      <w:color w:val="auto"/>
                    </w:rPr>
                    <w:t>μg/m</w:t>
                  </w:r>
                  <w:r>
                    <w:rPr>
                      <w:color w:val="auto"/>
                      <w:vertAlign w:val="superscript"/>
                    </w:rPr>
                    <w:t>3</w:t>
                  </w:r>
                </w:p>
              </w:tc>
              <w:tc>
                <w:tcPr>
                  <w:tcW w:w="828" w:type="pct"/>
                  <w:tcBorders>
                    <w:top w:val="single" w:color="auto" w:sz="4" w:space="0"/>
                    <w:left w:val="nil"/>
                    <w:bottom w:val="single" w:color="auto" w:sz="4" w:space="0"/>
                    <w:right w:val="single" w:color="auto" w:sz="4" w:space="0"/>
                  </w:tcBorders>
                  <w:noWrap/>
                  <w:vAlign w:val="center"/>
                </w:tcPr>
                <w:p w14:paraId="33DCC3FA">
                  <w:pPr>
                    <w:pStyle w:val="65"/>
                    <w:rPr>
                      <w:color w:val="auto"/>
                    </w:rPr>
                  </w:pPr>
                  <w:r>
                    <w:rPr>
                      <w:rFonts w:hint="eastAsia"/>
                      <w:color w:val="auto"/>
                    </w:rPr>
                    <w:t>达标</w:t>
                  </w:r>
                </w:p>
              </w:tc>
            </w:tr>
            <w:tr w14:paraId="7DF31947">
              <w:tblPrEx>
                <w:tblCellMar>
                  <w:top w:w="0" w:type="dxa"/>
                  <w:left w:w="108" w:type="dxa"/>
                  <w:bottom w:w="0" w:type="dxa"/>
                  <w:right w:w="108" w:type="dxa"/>
                </w:tblCellMar>
              </w:tblPrEx>
              <w:trPr>
                <w:trHeight w:val="454" w:hRule="atLeast"/>
              </w:trPr>
              <w:tc>
                <w:tcPr>
                  <w:tcW w:w="736" w:type="pct"/>
                  <w:vMerge w:val="continue"/>
                  <w:tcBorders>
                    <w:left w:val="single" w:color="auto" w:sz="4" w:space="0"/>
                    <w:right w:val="single" w:color="auto" w:sz="4" w:space="0"/>
                  </w:tcBorders>
                  <w:vAlign w:val="center"/>
                </w:tcPr>
                <w:p w14:paraId="364E06B1">
                  <w:pPr>
                    <w:pStyle w:val="65"/>
                    <w:rPr>
                      <w:color w:val="auto"/>
                    </w:rPr>
                  </w:pPr>
                </w:p>
              </w:tc>
              <w:tc>
                <w:tcPr>
                  <w:tcW w:w="967" w:type="pct"/>
                  <w:tcBorders>
                    <w:top w:val="single" w:color="auto" w:sz="4" w:space="0"/>
                    <w:left w:val="nil"/>
                    <w:bottom w:val="single" w:color="auto" w:sz="4" w:space="0"/>
                    <w:right w:val="single" w:color="auto" w:sz="4" w:space="0"/>
                  </w:tcBorders>
                  <w:vAlign w:val="center"/>
                </w:tcPr>
                <w:p w14:paraId="6A63922F">
                  <w:pPr>
                    <w:pStyle w:val="65"/>
                    <w:rPr>
                      <w:color w:val="auto"/>
                    </w:rPr>
                  </w:pPr>
                  <w:r>
                    <w:rPr>
                      <w:color w:val="auto"/>
                    </w:rPr>
                    <w:t>2026.01.13-2026.01.14</w:t>
                  </w:r>
                </w:p>
              </w:tc>
              <w:tc>
                <w:tcPr>
                  <w:tcW w:w="888" w:type="pct"/>
                  <w:tcBorders>
                    <w:top w:val="single" w:color="auto" w:sz="4" w:space="0"/>
                    <w:left w:val="nil"/>
                    <w:bottom w:val="single" w:color="auto" w:sz="4" w:space="0"/>
                    <w:right w:val="single" w:color="auto" w:sz="4" w:space="0"/>
                  </w:tcBorders>
                  <w:vAlign w:val="center"/>
                </w:tcPr>
                <w:p w14:paraId="08EC05C5">
                  <w:pPr>
                    <w:pStyle w:val="65"/>
                    <w:rPr>
                      <w:color w:val="auto"/>
                    </w:rPr>
                  </w:pPr>
                  <w:r>
                    <w:rPr>
                      <w:rFonts w:hint="eastAsia"/>
                      <w:color w:val="auto"/>
                    </w:rPr>
                    <w:t>08:20-08:20（次日）</w:t>
                  </w:r>
                </w:p>
              </w:tc>
              <w:tc>
                <w:tcPr>
                  <w:tcW w:w="751" w:type="pct"/>
                  <w:tcBorders>
                    <w:top w:val="single" w:color="auto" w:sz="4" w:space="0"/>
                    <w:left w:val="nil"/>
                    <w:bottom w:val="single" w:color="auto" w:sz="4" w:space="0"/>
                    <w:right w:val="single" w:color="auto" w:sz="4" w:space="0"/>
                  </w:tcBorders>
                  <w:vAlign w:val="center"/>
                </w:tcPr>
                <w:p w14:paraId="61A6113C">
                  <w:pPr>
                    <w:pStyle w:val="65"/>
                    <w:rPr>
                      <w:color w:val="auto"/>
                    </w:rPr>
                  </w:pPr>
                  <w:r>
                    <w:rPr>
                      <w:color w:val="auto"/>
                    </w:rPr>
                    <w:t>28μg/m</w:t>
                  </w:r>
                  <w:r>
                    <w:rPr>
                      <w:color w:val="auto"/>
                      <w:vertAlign w:val="superscript"/>
                    </w:rPr>
                    <w:t>3</w:t>
                  </w:r>
                </w:p>
              </w:tc>
              <w:tc>
                <w:tcPr>
                  <w:tcW w:w="830" w:type="pct"/>
                  <w:vMerge w:val="continue"/>
                  <w:tcBorders>
                    <w:left w:val="nil"/>
                    <w:right w:val="single" w:color="auto" w:sz="4" w:space="0"/>
                  </w:tcBorders>
                  <w:noWrap/>
                  <w:vAlign w:val="center"/>
                </w:tcPr>
                <w:p w14:paraId="3AF00D41">
                  <w:pPr>
                    <w:pStyle w:val="65"/>
                    <w:rPr>
                      <w:color w:val="auto"/>
                    </w:rPr>
                  </w:pPr>
                </w:p>
              </w:tc>
              <w:tc>
                <w:tcPr>
                  <w:tcW w:w="828" w:type="pct"/>
                  <w:tcBorders>
                    <w:top w:val="single" w:color="auto" w:sz="4" w:space="0"/>
                    <w:left w:val="nil"/>
                    <w:bottom w:val="single" w:color="auto" w:sz="4" w:space="0"/>
                    <w:right w:val="single" w:color="auto" w:sz="4" w:space="0"/>
                  </w:tcBorders>
                  <w:noWrap/>
                  <w:vAlign w:val="center"/>
                </w:tcPr>
                <w:p w14:paraId="26394404">
                  <w:pPr>
                    <w:pStyle w:val="65"/>
                    <w:rPr>
                      <w:color w:val="auto"/>
                    </w:rPr>
                  </w:pPr>
                  <w:r>
                    <w:rPr>
                      <w:rFonts w:hint="eastAsia"/>
                      <w:color w:val="auto"/>
                    </w:rPr>
                    <w:t>达标</w:t>
                  </w:r>
                </w:p>
              </w:tc>
            </w:tr>
            <w:tr w14:paraId="34C0D9AA">
              <w:tblPrEx>
                <w:tblCellMar>
                  <w:top w:w="0" w:type="dxa"/>
                  <w:left w:w="108" w:type="dxa"/>
                  <w:bottom w:w="0" w:type="dxa"/>
                  <w:right w:w="108" w:type="dxa"/>
                </w:tblCellMar>
              </w:tblPrEx>
              <w:trPr>
                <w:trHeight w:val="454" w:hRule="atLeast"/>
              </w:trPr>
              <w:tc>
                <w:tcPr>
                  <w:tcW w:w="736" w:type="pct"/>
                  <w:vMerge w:val="continue"/>
                  <w:tcBorders>
                    <w:left w:val="single" w:color="auto" w:sz="4" w:space="0"/>
                    <w:bottom w:val="single" w:color="auto" w:sz="4" w:space="0"/>
                    <w:right w:val="single" w:color="auto" w:sz="4" w:space="0"/>
                  </w:tcBorders>
                  <w:vAlign w:val="center"/>
                </w:tcPr>
                <w:p w14:paraId="1E643285">
                  <w:pPr>
                    <w:pStyle w:val="65"/>
                    <w:rPr>
                      <w:color w:val="auto"/>
                    </w:rPr>
                  </w:pPr>
                </w:p>
              </w:tc>
              <w:tc>
                <w:tcPr>
                  <w:tcW w:w="967" w:type="pct"/>
                  <w:tcBorders>
                    <w:top w:val="single" w:color="auto" w:sz="4" w:space="0"/>
                    <w:left w:val="nil"/>
                    <w:bottom w:val="single" w:color="auto" w:sz="4" w:space="0"/>
                    <w:right w:val="single" w:color="auto" w:sz="4" w:space="0"/>
                  </w:tcBorders>
                  <w:vAlign w:val="center"/>
                </w:tcPr>
                <w:p w14:paraId="04F2CE6B">
                  <w:pPr>
                    <w:pStyle w:val="65"/>
                    <w:rPr>
                      <w:color w:val="auto"/>
                    </w:rPr>
                  </w:pPr>
                  <w:r>
                    <w:rPr>
                      <w:color w:val="auto"/>
                    </w:rPr>
                    <w:t>2026.01.14-2026.01.15</w:t>
                  </w:r>
                </w:p>
              </w:tc>
              <w:tc>
                <w:tcPr>
                  <w:tcW w:w="888" w:type="pct"/>
                  <w:tcBorders>
                    <w:top w:val="single" w:color="auto" w:sz="4" w:space="0"/>
                    <w:left w:val="nil"/>
                    <w:bottom w:val="single" w:color="auto" w:sz="4" w:space="0"/>
                    <w:right w:val="single" w:color="auto" w:sz="4" w:space="0"/>
                  </w:tcBorders>
                  <w:vAlign w:val="center"/>
                </w:tcPr>
                <w:p w14:paraId="71E597E4">
                  <w:pPr>
                    <w:pStyle w:val="65"/>
                    <w:rPr>
                      <w:color w:val="auto"/>
                    </w:rPr>
                  </w:pPr>
                  <w:r>
                    <w:rPr>
                      <w:rFonts w:hint="eastAsia"/>
                      <w:color w:val="auto"/>
                    </w:rPr>
                    <w:t>08:40-08:40（次日）</w:t>
                  </w:r>
                </w:p>
              </w:tc>
              <w:tc>
                <w:tcPr>
                  <w:tcW w:w="751" w:type="pct"/>
                  <w:tcBorders>
                    <w:top w:val="single" w:color="auto" w:sz="4" w:space="0"/>
                    <w:left w:val="nil"/>
                    <w:bottom w:val="single" w:color="auto" w:sz="4" w:space="0"/>
                    <w:right w:val="single" w:color="auto" w:sz="4" w:space="0"/>
                  </w:tcBorders>
                  <w:vAlign w:val="center"/>
                </w:tcPr>
                <w:p w14:paraId="1000E870">
                  <w:pPr>
                    <w:pStyle w:val="65"/>
                    <w:rPr>
                      <w:color w:val="auto"/>
                    </w:rPr>
                  </w:pPr>
                  <w:r>
                    <w:rPr>
                      <w:color w:val="auto"/>
                    </w:rPr>
                    <w:t>40μg/m</w:t>
                  </w:r>
                  <w:r>
                    <w:rPr>
                      <w:color w:val="auto"/>
                      <w:vertAlign w:val="superscript"/>
                    </w:rPr>
                    <w:t>3</w:t>
                  </w:r>
                </w:p>
              </w:tc>
              <w:tc>
                <w:tcPr>
                  <w:tcW w:w="830" w:type="pct"/>
                  <w:vMerge w:val="continue"/>
                  <w:tcBorders>
                    <w:left w:val="nil"/>
                    <w:bottom w:val="single" w:color="auto" w:sz="4" w:space="0"/>
                    <w:right w:val="single" w:color="auto" w:sz="4" w:space="0"/>
                  </w:tcBorders>
                  <w:noWrap/>
                  <w:vAlign w:val="center"/>
                </w:tcPr>
                <w:p w14:paraId="0DE1C5AA">
                  <w:pPr>
                    <w:pStyle w:val="65"/>
                    <w:rPr>
                      <w:color w:val="auto"/>
                    </w:rPr>
                  </w:pPr>
                </w:p>
              </w:tc>
              <w:tc>
                <w:tcPr>
                  <w:tcW w:w="828" w:type="pct"/>
                  <w:tcBorders>
                    <w:top w:val="single" w:color="auto" w:sz="4" w:space="0"/>
                    <w:left w:val="nil"/>
                    <w:bottom w:val="single" w:color="auto" w:sz="4" w:space="0"/>
                    <w:right w:val="single" w:color="auto" w:sz="4" w:space="0"/>
                  </w:tcBorders>
                  <w:noWrap/>
                  <w:vAlign w:val="center"/>
                </w:tcPr>
                <w:p w14:paraId="2968CE58">
                  <w:pPr>
                    <w:pStyle w:val="65"/>
                    <w:rPr>
                      <w:color w:val="auto"/>
                    </w:rPr>
                  </w:pPr>
                  <w:r>
                    <w:rPr>
                      <w:rFonts w:hint="eastAsia"/>
                      <w:color w:val="auto"/>
                    </w:rPr>
                    <w:t>达标</w:t>
                  </w:r>
                </w:p>
              </w:tc>
            </w:tr>
            <w:tr w14:paraId="4BAE112D">
              <w:tblPrEx>
                <w:tblCellMar>
                  <w:top w:w="0" w:type="dxa"/>
                  <w:left w:w="108" w:type="dxa"/>
                  <w:bottom w:w="0" w:type="dxa"/>
                  <w:right w:w="108" w:type="dxa"/>
                </w:tblCellMar>
              </w:tblPrEx>
              <w:trPr>
                <w:trHeight w:val="454" w:hRule="atLeast"/>
              </w:trPr>
              <w:tc>
                <w:tcPr>
                  <w:tcW w:w="736" w:type="pct"/>
                  <w:vMerge w:val="restart"/>
                  <w:tcBorders>
                    <w:top w:val="single" w:color="auto" w:sz="4" w:space="0"/>
                    <w:left w:val="single" w:color="auto" w:sz="4" w:space="0"/>
                    <w:right w:val="single" w:color="auto" w:sz="4" w:space="0"/>
                  </w:tcBorders>
                  <w:vAlign w:val="center"/>
                </w:tcPr>
                <w:p w14:paraId="4981D7EB">
                  <w:pPr>
                    <w:pStyle w:val="65"/>
                    <w:rPr>
                      <w:color w:val="auto"/>
                    </w:rPr>
                  </w:pPr>
                  <w:r>
                    <w:rPr>
                      <w:rFonts w:hint="eastAsia"/>
                      <w:color w:val="auto"/>
                    </w:rPr>
                    <w:t>二氧化氮</w:t>
                  </w:r>
                </w:p>
              </w:tc>
              <w:tc>
                <w:tcPr>
                  <w:tcW w:w="967" w:type="pct"/>
                  <w:tcBorders>
                    <w:top w:val="single" w:color="auto" w:sz="4" w:space="0"/>
                    <w:left w:val="nil"/>
                    <w:bottom w:val="single" w:color="auto" w:sz="4" w:space="0"/>
                    <w:right w:val="single" w:color="auto" w:sz="4" w:space="0"/>
                  </w:tcBorders>
                  <w:vAlign w:val="center"/>
                </w:tcPr>
                <w:p w14:paraId="15451E5A">
                  <w:pPr>
                    <w:pStyle w:val="65"/>
                    <w:rPr>
                      <w:color w:val="auto"/>
                    </w:rPr>
                  </w:pPr>
                  <w:r>
                    <w:rPr>
                      <w:color w:val="auto"/>
                    </w:rPr>
                    <w:t>2026.01.12-2026.01.13</w:t>
                  </w:r>
                </w:p>
              </w:tc>
              <w:tc>
                <w:tcPr>
                  <w:tcW w:w="888" w:type="pct"/>
                  <w:tcBorders>
                    <w:top w:val="single" w:color="auto" w:sz="4" w:space="0"/>
                    <w:left w:val="nil"/>
                    <w:bottom w:val="single" w:color="auto" w:sz="4" w:space="0"/>
                    <w:right w:val="single" w:color="auto" w:sz="4" w:space="0"/>
                  </w:tcBorders>
                  <w:vAlign w:val="center"/>
                </w:tcPr>
                <w:p w14:paraId="17AA1D38">
                  <w:pPr>
                    <w:pStyle w:val="65"/>
                    <w:rPr>
                      <w:color w:val="auto"/>
                    </w:rPr>
                  </w:pPr>
                  <w:r>
                    <w:rPr>
                      <w:rFonts w:hint="eastAsia"/>
                      <w:color w:val="auto"/>
                    </w:rPr>
                    <w:t>08:00-08:00（次日）</w:t>
                  </w:r>
                </w:p>
              </w:tc>
              <w:tc>
                <w:tcPr>
                  <w:tcW w:w="751" w:type="pct"/>
                  <w:tcBorders>
                    <w:top w:val="single" w:color="auto" w:sz="4" w:space="0"/>
                    <w:left w:val="nil"/>
                    <w:bottom w:val="single" w:color="auto" w:sz="4" w:space="0"/>
                    <w:right w:val="single" w:color="auto" w:sz="4" w:space="0"/>
                  </w:tcBorders>
                  <w:vAlign w:val="center"/>
                </w:tcPr>
                <w:p w14:paraId="742F9B7F">
                  <w:pPr>
                    <w:pStyle w:val="65"/>
                    <w:rPr>
                      <w:color w:val="auto"/>
                    </w:rPr>
                  </w:pPr>
                  <w:r>
                    <w:rPr>
                      <w:color w:val="auto"/>
                    </w:rPr>
                    <w:t>14μg/m</w:t>
                  </w:r>
                  <w:r>
                    <w:rPr>
                      <w:color w:val="auto"/>
                      <w:vertAlign w:val="superscript"/>
                    </w:rPr>
                    <w:t>3</w:t>
                  </w:r>
                </w:p>
              </w:tc>
              <w:tc>
                <w:tcPr>
                  <w:tcW w:w="830" w:type="pct"/>
                  <w:vMerge w:val="restart"/>
                  <w:tcBorders>
                    <w:top w:val="single" w:color="auto" w:sz="4" w:space="0"/>
                    <w:left w:val="nil"/>
                    <w:right w:val="single" w:color="auto" w:sz="4" w:space="0"/>
                  </w:tcBorders>
                  <w:noWrap/>
                  <w:vAlign w:val="center"/>
                </w:tcPr>
                <w:p w14:paraId="616D5324">
                  <w:pPr>
                    <w:pStyle w:val="65"/>
                    <w:rPr>
                      <w:color w:val="auto"/>
                    </w:rPr>
                  </w:pPr>
                  <w:r>
                    <w:rPr>
                      <w:rFonts w:hint="eastAsia"/>
                      <w:color w:val="auto"/>
                    </w:rPr>
                    <w:t>80</w:t>
                  </w:r>
                  <w:r>
                    <w:rPr>
                      <w:color w:val="auto"/>
                    </w:rPr>
                    <w:t>μg/m</w:t>
                  </w:r>
                  <w:r>
                    <w:rPr>
                      <w:color w:val="auto"/>
                      <w:vertAlign w:val="superscript"/>
                    </w:rPr>
                    <w:t>3</w:t>
                  </w:r>
                </w:p>
              </w:tc>
              <w:tc>
                <w:tcPr>
                  <w:tcW w:w="828" w:type="pct"/>
                  <w:tcBorders>
                    <w:top w:val="single" w:color="auto" w:sz="4" w:space="0"/>
                    <w:left w:val="nil"/>
                    <w:bottom w:val="single" w:color="auto" w:sz="4" w:space="0"/>
                    <w:right w:val="single" w:color="auto" w:sz="4" w:space="0"/>
                  </w:tcBorders>
                  <w:noWrap/>
                  <w:vAlign w:val="center"/>
                </w:tcPr>
                <w:p w14:paraId="3A1B7D98">
                  <w:pPr>
                    <w:pStyle w:val="65"/>
                    <w:rPr>
                      <w:color w:val="auto"/>
                    </w:rPr>
                  </w:pPr>
                  <w:r>
                    <w:rPr>
                      <w:rFonts w:hint="eastAsia"/>
                      <w:color w:val="auto"/>
                    </w:rPr>
                    <w:t>达标</w:t>
                  </w:r>
                </w:p>
              </w:tc>
            </w:tr>
            <w:tr w14:paraId="13164CC2">
              <w:tblPrEx>
                <w:tblCellMar>
                  <w:top w:w="0" w:type="dxa"/>
                  <w:left w:w="108" w:type="dxa"/>
                  <w:bottom w:w="0" w:type="dxa"/>
                  <w:right w:w="108" w:type="dxa"/>
                </w:tblCellMar>
              </w:tblPrEx>
              <w:trPr>
                <w:trHeight w:val="454" w:hRule="atLeast"/>
              </w:trPr>
              <w:tc>
                <w:tcPr>
                  <w:tcW w:w="736" w:type="pct"/>
                  <w:vMerge w:val="continue"/>
                  <w:tcBorders>
                    <w:left w:val="single" w:color="auto" w:sz="4" w:space="0"/>
                    <w:right w:val="single" w:color="auto" w:sz="4" w:space="0"/>
                  </w:tcBorders>
                  <w:vAlign w:val="center"/>
                </w:tcPr>
                <w:p w14:paraId="6FD5C6D5">
                  <w:pPr>
                    <w:pStyle w:val="65"/>
                    <w:rPr>
                      <w:color w:val="auto"/>
                    </w:rPr>
                  </w:pPr>
                </w:p>
              </w:tc>
              <w:tc>
                <w:tcPr>
                  <w:tcW w:w="967" w:type="pct"/>
                  <w:tcBorders>
                    <w:top w:val="single" w:color="auto" w:sz="4" w:space="0"/>
                    <w:left w:val="nil"/>
                    <w:bottom w:val="single" w:color="auto" w:sz="4" w:space="0"/>
                    <w:right w:val="single" w:color="auto" w:sz="4" w:space="0"/>
                  </w:tcBorders>
                  <w:vAlign w:val="center"/>
                </w:tcPr>
                <w:p w14:paraId="7739D143">
                  <w:pPr>
                    <w:pStyle w:val="65"/>
                    <w:rPr>
                      <w:color w:val="auto"/>
                    </w:rPr>
                  </w:pPr>
                  <w:r>
                    <w:rPr>
                      <w:color w:val="auto"/>
                    </w:rPr>
                    <w:t>2026.01.13-2026.01.14</w:t>
                  </w:r>
                </w:p>
              </w:tc>
              <w:tc>
                <w:tcPr>
                  <w:tcW w:w="888" w:type="pct"/>
                  <w:tcBorders>
                    <w:top w:val="single" w:color="auto" w:sz="4" w:space="0"/>
                    <w:left w:val="nil"/>
                    <w:bottom w:val="single" w:color="auto" w:sz="4" w:space="0"/>
                    <w:right w:val="single" w:color="auto" w:sz="4" w:space="0"/>
                  </w:tcBorders>
                  <w:vAlign w:val="center"/>
                </w:tcPr>
                <w:p w14:paraId="001DE929">
                  <w:pPr>
                    <w:pStyle w:val="65"/>
                    <w:rPr>
                      <w:color w:val="auto"/>
                    </w:rPr>
                  </w:pPr>
                  <w:r>
                    <w:rPr>
                      <w:rFonts w:hint="eastAsia"/>
                      <w:color w:val="auto"/>
                    </w:rPr>
                    <w:t>08:20-08:20（次日）</w:t>
                  </w:r>
                </w:p>
              </w:tc>
              <w:tc>
                <w:tcPr>
                  <w:tcW w:w="751" w:type="pct"/>
                  <w:tcBorders>
                    <w:top w:val="single" w:color="auto" w:sz="4" w:space="0"/>
                    <w:left w:val="nil"/>
                    <w:bottom w:val="single" w:color="auto" w:sz="4" w:space="0"/>
                    <w:right w:val="single" w:color="auto" w:sz="4" w:space="0"/>
                  </w:tcBorders>
                  <w:vAlign w:val="center"/>
                </w:tcPr>
                <w:p w14:paraId="16867A14">
                  <w:pPr>
                    <w:pStyle w:val="65"/>
                    <w:rPr>
                      <w:color w:val="auto"/>
                    </w:rPr>
                  </w:pPr>
                  <w:r>
                    <w:rPr>
                      <w:color w:val="auto"/>
                    </w:rPr>
                    <w:t>13μg/m</w:t>
                  </w:r>
                  <w:r>
                    <w:rPr>
                      <w:color w:val="auto"/>
                      <w:vertAlign w:val="superscript"/>
                    </w:rPr>
                    <w:t>3</w:t>
                  </w:r>
                </w:p>
              </w:tc>
              <w:tc>
                <w:tcPr>
                  <w:tcW w:w="830" w:type="pct"/>
                  <w:vMerge w:val="continue"/>
                  <w:tcBorders>
                    <w:left w:val="nil"/>
                    <w:right w:val="single" w:color="auto" w:sz="4" w:space="0"/>
                  </w:tcBorders>
                  <w:noWrap/>
                  <w:vAlign w:val="center"/>
                </w:tcPr>
                <w:p w14:paraId="4005FCE0">
                  <w:pPr>
                    <w:pStyle w:val="65"/>
                    <w:rPr>
                      <w:color w:val="auto"/>
                    </w:rPr>
                  </w:pPr>
                </w:p>
              </w:tc>
              <w:tc>
                <w:tcPr>
                  <w:tcW w:w="828" w:type="pct"/>
                  <w:tcBorders>
                    <w:top w:val="single" w:color="auto" w:sz="4" w:space="0"/>
                    <w:left w:val="nil"/>
                    <w:bottom w:val="single" w:color="auto" w:sz="4" w:space="0"/>
                    <w:right w:val="single" w:color="auto" w:sz="4" w:space="0"/>
                  </w:tcBorders>
                  <w:noWrap/>
                  <w:vAlign w:val="center"/>
                </w:tcPr>
                <w:p w14:paraId="40C2FAA4">
                  <w:pPr>
                    <w:pStyle w:val="65"/>
                    <w:rPr>
                      <w:color w:val="auto"/>
                    </w:rPr>
                  </w:pPr>
                  <w:r>
                    <w:rPr>
                      <w:rFonts w:hint="eastAsia"/>
                      <w:color w:val="auto"/>
                    </w:rPr>
                    <w:t>达标</w:t>
                  </w:r>
                </w:p>
              </w:tc>
            </w:tr>
            <w:tr w14:paraId="51BBA292">
              <w:trPr>
                <w:trHeight w:val="454" w:hRule="atLeast"/>
              </w:trPr>
              <w:tc>
                <w:tcPr>
                  <w:tcW w:w="736" w:type="pct"/>
                  <w:vMerge w:val="continue"/>
                  <w:tcBorders>
                    <w:left w:val="single" w:color="auto" w:sz="4" w:space="0"/>
                    <w:bottom w:val="single" w:color="auto" w:sz="4" w:space="0"/>
                    <w:right w:val="single" w:color="auto" w:sz="4" w:space="0"/>
                  </w:tcBorders>
                  <w:vAlign w:val="center"/>
                </w:tcPr>
                <w:p w14:paraId="598B6686">
                  <w:pPr>
                    <w:pStyle w:val="65"/>
                    <w:rPr>
                      <w:color w:val="auto"/>
                    </w:rPr>
                  </w:pPr>
                </w:p>
              </w:tc>
              <w:tc>
                <w:tcPr>
                  <w:tcW w:w="967" w:type="pct"/>
                  <w:tcBorders>
                    <w:top w:val="single" w:color="auto" w:sz="4" w:space="0"/>
                    <w:left w:val="nil"/>
                    <w:bottom w:val="single" w:color="auto" w:sz="4" w:space="0"/>
                    <w:right w:val="single" w:color="auto" w:sz="4" w:space="0"/>
                  </w:tcBorders>
                  <w:vAlign w:val="center"/>
                </w:tcPr>
                <w:p w14:paraId="53E8F76C">
                  <w:pPr>
                    <w:pStyle w:val="65"/>
                    <w:rPr>
                      <w:color w:val="auto"/>
                    </w:rPr>
                  </w:pPr>
                  <w:r>
                    <w:rPr>
                      <w:color w:val="auto"/>
                    </w:rPr>
                    <w:t>2026.01.14-2026.01.15</w:t>
                  </w:r>
                </w:p>
              </w:tc>
              <w:tc>
                <w:tcPr>
                  <w:tcW w:w="888" w:type="pct"/>
                  <w:tcBorders>
                    <w:top w:val="single" w:color="auto" w:sz="4" w:space="0"/>
                    <w:left w:val="nil"/>
                    <w:bottom w:val="single" w:color="auto" w:sz="4" w:space="0"/>
                    <w:right w:val="single" w:color="auto" w:sz="4" w:space="0"/>
                  </w:tcBorders>
                  <w:vAlign w:val="center"/>
                </w:tcPr>
                <w:p w14:paraId="2B68D4C9">
                  <w:pPr>
                    <w:pStyle w:val="65"/>
                    <w:rPr>
                      <w:color w:val="auto"/>
                    </w:rPr>
                  </w:pPr>
                  <w:r>
                    <w:rPr>
                      <w:rFonts w:hint="eastAsia"/>
                      <w:color w:val="auto"/>
                    </w:rPr>
                    <w:t>08:40-08:40（次日）</w:t>
                  </w:r>
                </w:p>
              </w:tc>
              <w:tc>
                <w:tcPr>
                  <w:tcW w:w="751" w:type="pct"/>
                  <w:tcBorders>
                    <w:top w:val="single" w:color="auto" w:sz="4" w:space="0"/>
                    <w:left w:val="nil"/>
                    <w:bottom w:val="single" w:color="auto" w:sz="4" w:space="0"/>
                    <w:right w:val="single" w:color="auto" w:sz="4" w:space="0"/>
                  </w:tcBorders>
                  <w:vAlign w:val="center"/>
                </w:tcPr>
                <w:p w14:paraId="6FB7E1BB">
                  <w:pPr>
                    <w:pStyle w:val="65"/>
                    <w:rPr>
                      <w:color w:val="auto"/>
                    </w:rPr>
                  </w:pPr>
                  <w:r>
                    <w:rPr>
                      <w:color w:val="auto"/>
                    </w:rPr>
                    <w:t>14μg/m</w:t>
                  </w:r>
                  <w:r>
                    <w:rPr>
                      <w:color w:val="auto"/>
                      <w:vertAlign w:val="superscript"/>
                    </w:rPr>
                    <w:t>3</w:t>
                  </w:r>
                </w:p>
              </w:tc>
              <w:tc>
                <w:tcPr>
                  <w:tcW w:w="830" w:type="pct"/>
                  <w:vMerge w:val="continue"/>
                  <w:tcBorders>
                    <w:left w:val="nil"/>
                    <w:bottom w:val="single" w:color="auto" w:sz="4" w:space="0"/>
                    <w:right w:val="single" w:color="auto" w:sz="4" w:space="0"/>
                  </w:tcBorders>
                  <w:noWrap/>
                  <w:vAlign w:val="center"/>
                </w:tcPr>
                <w:p w14:paraId="7C5BC468">
                  <w:pPr>
                    <w:pStyle w:val="65"/>
                    <w:rPr>
                      <w:color w:val="auto"/>
                    </w:rPr>
                  </w:pPr>
                </w:p>
              </w:tc>
              <w:tc>
                <w:tcPr>
                  <w:tcW w:w="828" w:type="pct"/>
                  <w:tcBorders>
                    <w:top w:val="single" w:color="auto" w:sz="4" w:space="0"/>
                    <w:left w:val="nil"/>
                    <w:bottom w:val="single" w:color="auto" w:sz="4" w:space="0"/>
                    <w:right w:val="single" w:color="auto" w:sz="4" w:space="0"/>
                  </w:tcBorders>
                  <w:noWrap/>
                  <w:vAlign w:val="center"/>
                </w:tcPr>
                <w:p w14:paraId="678AC530">
                  <w:pPr>
                    <w:pStyle w:val="65"/>
                    <w:rPr>
                      <w:color w:val="auto"/>
                    </w:rPr>
                  </w:pPr>
                  <w:r>
                    <w:rPr>
                      <w:rFonts w:hint="eastAsia"/>
                      <w:color w:val="auto"/>
                    </w:rPr>
                    <w:t>达标</w:t>
                  </w:r>
                </w:p>
              </w:tc>
            </w:tr>
            <w:tr w14:paraId="11EFF496">
              <w:tblPrEx>
                <w:tblCellMar>
                  <w:top w:w="0" w:type="dxa"/>
                  <w:left w:w="108" w:type="dxa"/>
                  <w:bottom w:w="0" w:type="dxa"/>
                  <w:right w:w="108" w:type="dxa"/>
                </w:tblCellMar>
              </w:tblPrEx>
              <w:trPr>
                <w:trHeight w:val="454" w:hRule="atLeast"/>
              </w:trPr>
              <w:tc>
                <w:tcPr>
                  <w:tcW w:w="736" w:type="pct"/>
                  <w:vMerge w:val="restart"/>
                  <w:tcBorders>
                    <w:top w:val="single" w:color="auto" w:sz="4" w:space="0"/>
                    <w:left w:val="single" w:color="auto" w:sz="4" w:space="0"/>
                    <w:right w:val="single" w:color="auto" w:sz="4" w:space="0"/>
                  </w:tcBorders>
                  <w:vAlign w:val="center"/>
                </w:tcPr>
                <w:p w14:paraId="1732A5C6">
                  <w:pPr>
                    <w:pStyle w:val="65"/>
                    <w:rPr>
                      <w:color w:val="auto"/>
                    </w:rPr>
                  </w:pPr>
                  <w:r>
                    <w:rPr>
                      <w:color w:val="auto"/>
                    </w:rPr>
                    <w:t>TSP</w:t>
                  </w:r>
                </w:p>
              </w:tc>
              <w:tc>
                <w:tcPr>
                  <w:tcW w:w="967" w:type="pct"/>
                  <w:tcBorders>
                    <w:top w:val="single" w:color="auto" w:sz="4" w:space="0"/>
                    <w:left w:val="nil"/>
                    <w:bottom w:val="single" w:color="auto" w:sz="4" w:space="0"/>
                    <w:right w:val="single" w:color="auto" w:sz="4" w:space="0"/>
                  </w:tcBorders>
                  <w:vAlign w:val="center"/>
                </w:tcPr>
                <w:p w14:paraId="0D0E5C19">
                  <w:pPr>
                    <w:pStyle w:val="65"/>
                    <w:rPr>
                      <w:color w:val="auto"/>
                    </w:rPr>
                  </w:pPr>
                  <w:r>
                    <w:rPr>
                      <w:color w:val="auto"/>
                    </w:rPr>
                    <w:t>2026.01.12-2026.01.13</w:t>
                  </w:r>
                </w:p>
              </w:tc>
              <w:tc>
                <w:tcPr>
                  <w:tcW w:w="888" w:type="pct"/>
                  <w:tcBorders>
                    <w:top w:val="single" w:color="auto" w:sz="4" w:space="0"/>
                    <w:left w:val="nil"/>
                    <w:bottom w:val="single" w:color="auto" w:sz="4" w:space="0"/>
                    <w:right w:val="single" w:color="auto" w:sz="4" w:space="0"/>
                  </w:tcBorders>
                  <w:vAlign w:val="center"/>
                </w:tcPr>
                <w:p w14:paraId="7AEFE346">
                  <w:pPr>
                    <w:pStyle w:val="65"/>
                    <w:rPr>
                      <w:color w:val="auto"/>
                    </w:rPr>
                  </w:pPr>
                  <w:r>
                    <w:rPr>
                      <w:rFonts w:hint="eastAsia"/>
                      <w:color w:val="auto"/>
                    </w:rPr>
                    <w:t>08:00-08:00（次日）</w:t>
                  </w:r>
                </w:p>
              </w:tc>
              <w:tc>
                <w:tcPr>
                  <w:tcW w:w="751" w:type="pct"/>
                  <w:tcBorders>
                    <w:top w:val="single" w:color="auto" w:sz="4" w:space="0"/>
                    <w:left w:val="nil"/>
                    <w:bottom w:val="single" w:color="auto" w:sz="4" w:space="0"/>
                    <w:right w:val="single" w:color="auto" w:sz="4" w:space="0"/>
                  </w:tcBorders>
                  <w:vAlign w:val="center"/>
                </w:tcPr>
                <w:p w14:paraId="5FEEFD79">
                  <w:pPr>
                    <w:pStyle w:val="65"/>
                    <w:rPr>
                      <w:color w:val="auto"/>
                    </w:rPr>
                  </w:pPr>
                  <w:r>
                    <w:rPr>
                      <w:color w:val="auto"/>
                    </w:rPr>
                    <w:t>86μg/m</w:t>
                  </w:r>
                  <w:r>
                    <w:rPr>
                      <w:color w:val="auto"/>
                      <w:vertAlign w:val="superscript"/>
                    </w:rPr>
                    <w:t>3</w:t>
                  </w:r>
                </w:p>
              </w:tc>
              <w:tc>
                <w:tcPr>
                  <w:tcW w:w="830" w:type="pct"/>
                  <w:vMerge w:val="restart"/>
                  <w:tcBorders>
                    <w:top w:val="single" w:color="auto" w:sz="4" w:space="0"/>
                    <w:left w:val="nil"/>
                    <w:right w:val="single" w:color="auto" w:sz="4" w:space="0"/>
                  </w:tcBorders>
                  <w:noWrap/>
                  <w:vAlign w:val="center"/>
                </w:tcPr>
                <w:p w14:paraId="6E7EED56">
                  <w:pPr>
                    <w:pStyle w:val="65"/>
                    <w:rPr>
                      <w:color w:val="auto"/>
                    </w:rPr>
                  </w:pPr>
                  <w:r>
                    <w:rPr>
                      <w:rFonts w:hint="eastAsia"/>
                      <w:color w:val="auto"/>
                    </w:rPr>
                    <w:t>120</w:t>
                  </w:r>
                  <w:r>
                    <w:rPr>
                      <w:color w:val="auto"/>
                    </w:rPr>
                    <w:t>μg/m</w:t>
                  </w:r>
                  <w:r>
                    <w:rPr>
                      <w:color w:val="auto"/>
                      <w:vertAlign w:val="superscript"/>
                    </w:rPr>
                    <w:t>3</w:t>
                  </w:r>
                </w:p>
              </w:tc>
              <w:tc>
                <w:tcPr>
                  <w:tcW w:w="828" w:type="pct"/>
                  <w:tcBorders>
                    <w:top w:val="single" w:color="auto" w:sz="4" w:space="0"/>
                    <w:left w:val="nil"/>
                    <w:bottom w:val="single" w:color="auto" w:sz="4" w:space="0"/>
                    <w:right w:val="single" w:color="auto" w:sz="4" w:space="0"/>
                  </w:tcBorders>
                  <w:noWrap/>
                  <w:vAlign w:val="center"/>
                </w:tcPr>
                <w:p w14:paraId="1663E90A">
                  <w:pPr>
                    <w:pStyle w:val="65"/>
                    <w:rPr>
                      <w:color w:val="auto"/>
                    </w:rPr>
                  </w:pPr>
                  <w:r>
                    <w:rPr>
                      <w:rFonts w:hint="eastAsia"/>
                      <w:color w:val="auto"/>
                    </w:rPr>
                    <w:t>达标</w:t>
                  </w:r>
                </w:p>
              </w:tc>
            </w:tr>
            <w:tr w14:paraId="4B923A7B">
              <w:tblPrEx>
                <w:tblCellMar>
                  <w:top w:w="0" w:type="dxa"/>
                  <w:left w:w="108" w:type="dxa"/>
                  <w:bottom w:w="0" w:type="dxa"/>
                  <w:right w:w="108" w:type="dxa"/>
                </w:tblCellMar>
              </w:tblPrEx>
              <w:trPr>
                <w:trHeight w:val="454" w:hRule="atLeast"/>
              </w:trPr>
              <w:tc>
                <w:tcPr>
                  <w:tcW w:w="736" w:type="pct"/>
                  <w:vMerge w:val="continue"/>
                  <w:tcBorders>
                    <w:left w:val="single" w:color="auto" w:sz="4" w:space="0"/>
                    <w:right w:val="single" w:color="auto" w:sz="4" w:space="0"/>
                  </w:tcBorders>
                  <w:vAlign w:val="center"/>
                </w:tcPr>
                <w:p w14:paraId="3D86CAB3">
                  <w:pPr>
                    <w:pStyle w:val="65"/>
                    <w:rPr>
                      <w:color w:val="auto"/>
                    </w:rPr>
                  </w:pPr>
                </w:p>
              </w:tc>
              <w:tc>
                <w:tcPr>
                  <w:tcW w:w="967" w:type="pct"/>
                  <w:tcBorders>
                    <w:top w:val="single" w:color="auto" w:sz="4" w:space="0"/>
                    <w:left w:val="nil"/>
                    <w:bottom w:val="single" w:color="auto" w:sz="4" w:space="0"/>
                    <w:right w:val="single" w:color="auto" w:sz="4" w:space="0"/>
                  </w:tcBorders>
                  <w:vAlign w:val="center"/>
                </w:tcPr>
                <w:p w14:paraId="771B154F">
                  <w:pPr>
                    <w:pStyle w:val="65"/>
                    <w:rPr>
                      <w:color w:val="auto"/>
                    </w:rPr>
                  </w:pPr>
                  <w:r>
                    <w:rPr>
                      <w:color w:val="auto"/>
                    </w:rPr>
                    <w:t>2026.01.13-2026.01.14</w:t>
                  </w:r>
                </w:p>
              </w:tc>
              <w:tc>
                <w:tcPr>
                  <w:tcW w:w="888" w:type="pct"/>
                  <w:tcBorders>
                    <w:top w:val="single" w:color="auto" w:sz="4" w:space="0"/>
                    <w:left w:val="nil"/>
                    <w:bottom w:val="single" w:color="auto" w:sz="4" w:space="0"/>
                    <w:right w:val="single" w:color="auto" w:sz="4" w:space="0"/>
                  </w:tcBorders>
                  <w:vAlign w:val="center"/>
                </w:tcPr>
                <w:p w14:paraId="650D6132">
                  <w:pPr>
                    <w:pStyle w:val="65"/>
                    <w:rPr>
                      <w:color w:val="auto"/>
                    </w:rPr>
                  </w:pPr>
                  <w:r>
                    <w:rPr>
                      <w:rFonts w:hint="eastAsia"/>
                      <w:color w:val="auto"/>
                    </w:rPr>
                    <w:t>08:20-08:20（次日）</w:t>
                  </w:r>
                </w:p>
              </w:tc>
              <w:tc>
                <w:tcPr>
                  <w:tcW w:w="751" w:type="pct"/>
                  <w:tcBorders>
                    <w:top w:val="single" w:color="auto" w:sz="4" w:space="0"/>
                    <w:left w:val="nil"/>
                    <w:bottom w:val="single" w:color="auto" w:sz="4" w:space="0"/>
                    <w:right w:val="single" w:color="auto" w:sz="4" w:space="0"/>
                  </w:tcBorders>
                  <w:vAlign w:val="center"/>
                </w:tcPr>
                <w:p w14:paraId="4D56B1C6">
                  <w:pPr>
                    <w:pStyle w:val="65"/>
                    <w:rPr>
                      <w:color w:val="auto"/>
                    </w:rPr>
                  </w:pPr>
                  <w:r>
                    <w:rPr>
                      <w:color w:val="auto"/>
                    </w:rPr>
                    <w:t>91μg/m</w:t>
                  </w:r>
                  <w:r>
                    <w:rPr>
                      <w:color w:val="auto"/>
                      <w:vertAlign w:val="superscript"/>
                    </w:rPr>
                    <w:t>3</w:t>
                  </w:r>
                </w:p>
              </w:tc>
              <w:tc>
                <w:tcPr>
                  <w:tcW w:w="830" w:type="pct"/>
                  <w:vMerge w:val="continue"/>
                  <w:tcBorders>
                    <w:left w:val="nil"/>
                    <w:right w:val="single" w:color="auto" w:sz="4" w:space="0"/>
                  </w:tcBorders>
                  <w:noWrap/>
                  <w:vAlign w:val="center"/>
                </w:tcPr>
                <w:p w14:paraId="11EEE761">
                  <w:pPr>
                    <w:pStyle w:val="65"/>
                    <w:rPr>
                      <w:color w:val="auto"/>
                    </w:rPr>
                  </w:pPr>
                </w:p>
              </w:tc>
              <w:tc>
                <w:tcPr>
                  <w:tcW w:w="828" w:type="pct"/>
                  <w:tcBorders>
                    <w:top w:val="single" w:color="auto" w:sz="4" w:space="0"/>
                    <w:left w:val="nil"/>
                    <w:bottom w:val="single" w:color="auto" w:sz="4" w:space="0"/>
                    <w:right w:val="single" w:color="auto" w:sz="4" w:space="0"/>
                  </w:tcBorders>
                  <w:noWrap/>
                  <w:vAlign w:val="center"/>
                </w:tcPr>
                <w:p w14:paraId="152F1DAD">
                  <w:pPr>
                    <w:pStyle w:val="65"/>
                    <w:rPr>
                      <w:color w:val="auto"/>
                    </w:rPr>
                  </w:pPr>
                  <w:r>
                    <w:rPr>
                      <w:rFonts w:hint="eastAsia"/>
                      <w:color w:val="auto"/>
                    </w:rPr>
                    <w:t>达标</w:t>
                  </w:r>
                </w:p>
              </w:tc>
            </w:tr>
            <w:tr w14:paraId="4133DD9B">
              <w:tblPrEx>
                <w:tblCellMar>
                  <w:top w:w="0" w:type="dxa"/>
                  <w:left w:w="108" w:type="dxa"/>
                  <w:bottom w:w="0" w:type="dxa"/>
                  <w:right w:w="108" w:type="dxa"/>
                </w:tblCellMar>
              </w:tblPrEx>
              <w:trPr>
                <w:trHeight w:val="454" w:hRule="atLeast"/>
              </w:trPr>
              <w:tc>
                <w:tcPr>
                  <w:tcW w:w="736" w:type="pct"/>
                  <w:vMerge w:val="continue"/>
                  <w:tcBorders>
                    <w:left w:val="single" w:color="auto" w:sz="4" w:space="0"/>
                    <w:bottom w:val="single" w:color="auto" w:sz="4" w:space="0"/>
                    <w:right w:val="single" w:color="auto" w:sz="4" w:space="0"/>
                  </w:tcBorders>
                  <w:vAlign w:val="center"/>
                </w:tcPr>
                <w:p w14:paraId="43DA6935">
                  <w:pPr>
                    <w:pStyle w:val="65"/>
                    <w:rPr>
                      <w:color w:val="auto"/>
                    </w:rPr>
                  </w:pPr>
                </w:p>
              </w:tc>
              <w:tc>
                <w:tcPr>
                  <w:tcW w:w="967" w:type="pct"/>
                  <w:tcBorders>
                    <w:top w:val="single" w:color="auto" w:sz="4" w:space="0"/>
                    <w:left w:val="nil"/>
                    <w:bottom w:val="single" w:color="auto" w:sz="4" w:space="0"/>
                    <w:right w:val="single" w:color="auto" w:sz="4" w:space="0"/>
                  </w:tcBorders>
                  <w:vAlign w:val="center"/>
                </w:tcPr>
                <w:p w14:paraId="2D02FF01">
                  <w:pPr>
                    <w:pStyle w:val="65"/>
                    <w:rPr>
                      <w:color w:val="auto"/>
                    </w:rPr>
                  </w:pPr>
                  <w:r>
                    <w:rPr>
                      <w:color w:val="auto"/>
                    </w:rPr>
                    <w:t>2026.01.14-2026.01.15</w:t>
                  </w:r>
                </w:p>
              </w:tc>
              <w:tc>
                <w:tcPr>
                  <w:tcW w:w="888" w:type="pct"/>
                  <w:tcBorders>
                    <w:top w:val="single" w:color="auto" w:sz="4" w:space="0"/>
                    <w:left w:val="nil"/>
                    <w:bottom w:val="single" w:color="auto" w:sz="4" w:space="0"/>
                    <w:right w:val="single" w:color="auto" w:sz="4" w:space="0"/>
                  </w:tcBorders>
                  <w:vAlign w:val="center"/>
                </w:tcPr>
                <w:p w14:paraId="66FDA0A7">
                  <w:pPr>
                    <w:pStyle w:val="65"/>
                    <w:rPr>
                      <w:color w:val="auto"/>
                    </w:rPr>
                  </w:pPr>
                  <w:r>
                    <w:rPr>
                      <w:rFonts w:hint="eastAsia"/>
                      <w:color w:val="auto"/>
                    </w:rPr>
                    <w:t>08:40-08:40（次日）</w:t>
                  </w:r>
                </w:p>
              </w:tc>
              <w:tc>
                <w:tcPr>
                  <w:tcW w:w="751" w:type="pct"/>
                  <w:tcBorders>
                    <w:top w:val="single" w:color="auto" w:sz="4" w:space="0"/>
                    <w:left w:val="nil"/>
                    <w:bottom w:val="single" w:color="auto" w:sz="4" w:space="0"/>
                    <w:right w:val="single" w:color="auto" w:sz="4" w:space="0"/>
                  </w:tcBorders>
                  <w:vAlign w:val="center"/>
                </w:tcPr>
                <w:p w14:paraId="2B0917F6">
                  <w:pPr>
                    <w:pStyle w:val="65"/>
                    <w:rPr>
                      <w:color w:val="auto"/>
                    </w:rPr>
                  </w:pPr>
                  <w:r>
                    <w:rPr>
                      <w:color w:val="auto"/>
                    </w:rPr>
                    <w:t>84μg/m</w:t>
                  </w:r>
                  <w:r>
                    <w:rPr>
                      <w:color w:val="auto"/>
                      <w:vertAlign w:val="superscript"/>
                    </w:rPr>
                    <w:t>3</w:t>
                  </w:r>
                </w:p>
              </w:tc>
              <w:tc>
                <w:tcPr>
                  <w:tcW w:w="830" w:type="pct"/>
                  <w:vMerge w:val="continue"/>
                  <w:tcBorders>
                    <w:left w:val="nil"/>
                    <w:bottom w:val="single" w:color="auto" w:sz="4" w:space="0"/>
                    <w:right w:val="single" w:color="auto" w:sz="4" w:space="0"/>
                  </w:tcBorders>
                  <w:noWrap/>
                  <w:vAlign w:val="center"/>
                </w:tcPr>
                <w:p w14:paraId="16E9046C">
                  <w:pPr>
                    <w:pStyle w:val="65"/>
                    <w:rPr>
                      <w:color w:val="auto"/>
                    </w:rPr>
                  </w:pPr>
                </w:p>
              </w:tc>
              <w:tc>
                <w:tcPr>
                  <w:tcW w:w="828" w:type="pct"/>
                  <w:tcBorders>
                    <w:top w:val="single" w:color="auto" w:sz="4" w:space="0"/>
                    <w:left w:val="nil"/>
                    <w:bottom w:val="single" w:color="auto" w:sz="4" w:space="0"/>
                    <w:right w:val="single" w:color="auto" w:sz="4" w:space="0"/>
                  </w:tcBorders>
                  <w:noWrap/>
                  <w:vAlign w:val="center"/>
                </w:tcPr>
                <w:p w14:paraId="045B64BA">
                  <w:pPr>
                    <w:pStyle w:val="65"/>
                    <w:rPr>
                      <w:color w:val="auto"/>
                    </w:rPr>
                  </w:pPr>
                  <w:r>
                    <w:rPr>
                      <w:rFonts w:hint="eastAsia"/>
                      <w:color w:val="auto"/>
                    </w:rPr>
                    <w:t>达标</w:t>
                  </w:r>
                </w:p>
              </w:tc>
            </w:tr>
            <w:tr w14:paraId="17D8B184">
              <w:tblPrEx>
                <w:tblCellMar>
                  <w:top w:w="0" w:type="dxa"/>
                  <w:left w:w="108" w:type="dxa"/>
                  <w:bottom w:w="0" w:type="dxa"/>
                  <w:right w:w="108" w:type="dxa"/>
                </w:tblCellMar>
              </w:tblPrEx>
              <w:trPr>
                <w:trHeight w:val="454" w:hRule="atLeast"/>
              </w:trPr>
              <w:tc>
                <w:tcPr>
                  <w:tcW w:w="736" w:type="pct"/>
                  <w:vMerge w:val="restart"/>
                  <w:tcBorders>
                    <w:top w:val="single" w:color="auto" w:sz="4" w:space="0"/>
                    <w:left w:val="single" w:color="auto" w:sz="4" w:space="0"/>
                    <w:right w:val="single" w:color="auto" w:sz="4" w:space="0"/>
                  </w:tcBorders>
                  <w:vAlign w:val="center"/>
                </w:tcPr>
                <w:p w14:paraId="3E68A774">
                  <w:pPr>
                    <w:pStyle w:val="65"/>
                    <w:rPr>
                      <w:color w:val="auto"/>
                    </w:rPr>
                  </w:pPr>
                  <w:r>
                    <w:rPr>
                      <w:color w:val="auto"/>
                    </w:rPr>
                    <w:t>PM10</w:t>
                  </w:r>
                </w:p>
              </w:tc>
              <w:tc>
                <w:tcPr>
                  <w:tcW w:w="967" w:type="pct"/>
                  <w:tcBorders>
                    <w:top w:val="single" w:color="auto" w:sz="4" w:space="0"/>
                    <w:left w:val="nil"/>
                    <w:bottom w:val="single" w:color="auto" w:sz="4" w:space="0"/>
                    <w:right w:val="single" w:color="auto" w:sz="4" w:space="0"/>
                  </w:tcBorders>
                  <w:vAlign w:val="center"/>
                </w:tcPr>
                <w:p w14:paraId="4FECD3A6">
                  <w:pPr>
                    <w:pStyle w:val="65"/>
                    <w:rPr>
                      <w:color w:val="auto"/>
                    </w:rPr>
                  </w:pPr>
                  <w:r>
                    <w:rPr>
                      <w:color w:val="auto"/>
                    </w:rPr>
                    <w:t>2026.01.12-2026.01.13</w:t>
                  </w:r>
                </w:p>
              </w:tc>
              <w:tc>
                <w:tcPr>
                  <w:tcW w:w="888" w:type="pct"/>
                  <w:tcBorders>
                    <w:top w:val="single" w:color="auto" w:sz="4" w:space="0"/>
                    <w:left w:val="nil"/>
                    <w:bottom w:val="single" w:color="auto" w:sz="4" w:space="0"/>
                    <w:right w:val="single" w:color="auto" w:sz="4" w:space="0"/>
                  </w:tcBorders>
                  <w:vAlign w:val="center"/>
                </w:tcPr>
                <w:p w14:paraId="4B805E39">
                  <w:pPr>
                    <w:pStyle w:val="65"/>
                    <w:rPr>
                      <w:color w:val="auto"/>
                    </w:rPr>
                  </w:pPr>
                  <w:r>
                    <w:rPr>
                      <w:rFonts w:hint="eastAsia"/>
                      <w:color w:val="auto"/>
                    </w:rPr>
                    <w:t>08:00-08:00（次日）</w:t>
                  </w:r>
                </w:p>
              </w:tc>
              <w:tc>
                <w:tcPr>
                  <w:tcW w:w="751" w:type="pct"/>
                  <w:tcBorders>
                    <w:top w:val="single" w:color="auto" w:sz="4" w:space="0"/>
                    <w:left w:val="nil"/>
                    <w:bottom w:val="single" w:color="auto" w:sz="4" w:space="0"/>
                    <w:right w:val="single" w:color="auto" w:sz="4" w:space="0"/>
                  </w:tcBorders>
                  <w:vAlign w:val="center"/>
                </w:tcPr>
                <w:p w14:paraId="16AB7F29">
                  <w:pPr>
                    <w:pStyle w:val="65"/>
                    <w:rPr>
                      <w:color w:val="auto"/>
                    </w:rPr>
                  </w:pPr>
                  <w:r>
                    <w:rPr>
                      <w:rFonts w:hint="eastAsia"/>
                      <w:color w:val="auto"/>
                    </w:rPr>
                    <w:t>48</w:t>
                  </w:r>
                  <w:r>
                    <w:rPr>
                      <w:color w:val="auto"/>
                    </w:rPr>
                    <w:t>μg/m</w:t>
                  </w:r>
                  <w:r>
                    <w:rPr>
                      <w:color w:val="auto"/>
                      <w:vertAlign w:val="superscript"/>
                    </w:rPr>
                    <w:t>3</w:t>
                  </w:r>
                </w:p>
              </w:tc>
              <w:tc>
                <w:tcPr>
                  <w:tcW w:w="830" w:type="pct"/>
                  <w:vMerge w:val="restart"/>
                  <w:tcBorders>
                    <w:top w:val="single" w:color="auto" w:sz="4" w:space="0"/>
                    <w:left w:val="nil"/>
                    <w:right w:val="single" w:color="auto" w:sz="4" w:space="0"/>
                  </w:tcBorders>
                  <w:noWrap/>
                  <w:vAlign w:val="center"/>
                </w:tcPr>
                <w:p w14:paraId="4C3A0230">
                  <w:pPr>
                    <w:pStyle w:val="65"/>
                    <w:rPr>
                      <w:color w:val="auto"/>
                    </w:rPr>
                  </w:pPr>
                  <w:r>
                    <w:rPr>
                      <w:rFonts w:hint="eastAsia"/>
                      <w:color w:val="auto"/>
                    </w:rPr>
                    <w:t>50</w:t>
                  </w:r>
                  <w:r>
                    <w:rPr>
                      <w:color w:val="auto"/>
                    </w:rPr>
                    <w:t>μg/m</w:t>
                  </w:r>
                  <w:r>
                    <w:rPr>
                      <w:color w:val="auto"/>
                      <w:vertAlign w:val="superscript"/>
                    </w:rPr>
                    <w:t>3</w:t>
                  </w:r>
                </w:p>
              </w:tc>
              <w:tc>
                <w:tcPr>
                  <w:tcW w:w="828" w:type="pct"/>
                  <w:tcBorders>
                    <w:top w:val="single" w:color="auto" w:sz="4" w:space="0"/>
                    <w:left w:val="nil"/>
                    <w:bottom w:val="single" w:color="auto" w:sz="4" w:space="0"/>
                    <w:right w:val="single" w:color="auto" w:sz="4" w:space="0"/>
                  </w:tcBorders>
                  <w:noWrap/>
                  <w:vAlign w:val="center"/>
                </w:tcPr>
                <w:p w14:paraId="6872D16A">
                  <w:pPr>
                    <w:pStyle w:val="65"/>
                    <w:rPr>
                      <w:color w:val="auto"/>
                    </w:rPr>
                  </w:pPr>
                  <w:r>
                    <w:rPr>
                      <w:rFonts w:hint="eastAsia"/>
                      <w:color w:val="auto"/>
                    </w:rPr>
                    <w:t>达标</w:t>
                  </w:r>
                </w:p>
              </w:tc>
            </w:tr>
            <w:tr w14:paraId="1B66D811">
              <w:tblPrEx>
                <w:tblCellMar>
                  <w:top w:w="0" w:type="dxa"/>
                  <w:left w:w="108" w:type="dxa"/>
                  <w:bottom w:w="0" w:type="dxa"/>
                  <w:right w:w="108" w:type="dxa"/>
                </w:tblCellMar>
              </w:tblPrEx>
              <w:trPr>
                <w:trHeight w:val="454" w:hRule="atLeast"/>
              </w:trPr>
              <w:tc>
                <w:tcPr>
                  <w:tcW w:w="736" w:type="pct"/>
                  <w:vMerge w:val="continue"/>
                  <w:tcBorders>
                    <w:left w:val="single" w:color="auto" w:sz="4" w:space="0"/>
                    <w:right w:val="single" w:color="auto" w:sz="4" w:space="0"/>
                  </w:tcBorders>
                  <w:vAlign w:val="center"/>
                </w:tcPr>
                <w:p w14:paraId="6F1EDEE8">
                  <w:pPr>
                    <w:pStyle w:val="65"/>
                    <w:rPr>
                      <w:color w:val="auto"/>
                    </w:rPr>
                  </w:pPr>
                </w:p>
              </w:tc>
              <w:tc>
                <w:tcPr>
                  <w:tcW w:w="967" w:type="pct"/>
                  <w:tcBorders>
                    <w:top w:val="single" w:color="auto" w:sz="4" w:space="0"/>
                    <w:left w:val="nil"/>
                    <w:bottom w:val="single" w:color="auto" w:sz="4" w:space="0"/>
                    <w:right w:val="single" w:color="auto" w:sz="4" w:space="0"/>
                  </w:tcBorders>
                </w:tcPr>
                <w:p w14:paraId="0E5A4ED7">
                  <w:pPr>
                    <w:pStyle w:val="65"/>
                    <w:rPr>
                      <w:color w:val="auto"/>
                    </w:rPr>
                  </w:pPr>
                  <w:r>
                    <w:rPr>
                      <w:color w:val="auto"/>
                    </w:rPr>
                    <w:t>2026.01.13-2026.01.14</w:t>
                  </w:r>
                </w:p>
              </w:tc>
              <w:tc>
                <w:tcPr>
                  <w:tcW w:w="888" w:type="pct"/>
                  <w:tcBorders>
                    <w:top w:val="single" w:color="auto" w:sz="4" w:space="0"/>
                    <w:left w:val="nil"/>
                    <w:bottom w:val="single" w:color="auto" w:sz="4" w:space="0"/>
                    <w:right w:val="single" w:color="auto" w:sz="4" w:space="0"/>
                  </w:tcBorders>
                </w:tcPr>
                <w:p w14:paraId="398F3897">
                  <w:pPr>
                    <w:pStyle w:val="65"/>
                    <w:rPr>
                      <w:color w:val="auto"/>
                    </w:rPr>
                  </w:pPr>
                  <w:r>
                    <w:rPr>
                      <w:color w:val="auto"/>
                    </w:rPr>
                    <w:t>08:20-08:20（次日）</w:t>
                  </w:r>
                </w:p>
              </w:tc>
              <w:tc>
                <w:tcPr>
                  <w:tcW w:w="751" w:type="pct"/>
                  <w:tcBorders>
                    <w:top w:val="single" w:color="auto" w:sz="4" w:space="0"/>
                    <w:left w:val="nil"/>
                    <w:bottom w:val="single" w:color="auto" w:sz="4" w:space="0"/>
                    <w:right w:val="single" w:color="auto" w:sz="4" w:space="0"/>
                  </w:tcBorders>
                  <w:vAlign w:val="center"/>
                </w:tcPr>
                <w:p w14:paraId="467AD252">
                  <w:pPr>
                    <w:pStyle w:val="65"/>
                    <w:rPr>
                      <w:color w:val="auto"/>
                    </w:rPr>
                  </w:pPr>
                  <w:r>
                    <w:rPr>
                      <w:rFonts w:hint="eastAsia"/>
                      <w:color w:val="auto"/>
                    </w:rPr>
                    <w:t>46</w:t>
                  </w:r>
                  <w:r>
                    <w:rPr>
                      <w:color w:val="auto"/>
                    </w:rPr>
                    <w:t>μg/m</w:t>
                  </w:r>
                  <w:r>
                    <w:rPr>
                      <w:color w:val="auto"/>
                      <w:vertAlign w:val="superscript"/>
                    </w:rPr>
                    <w:t>3</w:t>
                  </w:r>
                </w:p>
              </w:tc>
              <w:tc>
                <w:tcPr>
                  <w:tcW w:w="830" w:type="pct"/>
                  <w:vMerge w:val="continue"/>
                  <w:tcBorders>
                    <w:left w:val="nil"/>
                    <w:right w:val="single" w:color="auto" w:sz="4" w:space="0"/>
                  </w:tcBorders>
                  <w:noWrap/>
                  <w:vAlign w:val="center"/>
                </w:tcPr>
                <w:p w14:paraId="70E368FB">
                  <w:pPr>
                    <w:pStyle w:val="65"/>
                    <w:rPr>
                      <w:color w:val="auto"/>
                    </w:rPr>
                  </w:pPr>
                </w:p>
              </w:tc>
              <w:tc>
                <w:tcPr>
                  <w:tcW w:w="828" w:type="pct"/>
                  <w:tcBorders>
                    <w:top w:val="single" w:color="auto" w:sz="4" w:space="0"/>
                    <w:left w:val="nil"/>
                    <w:bottom w:val="single" w:color="auto" w:sz="4" w:space="0"/>
                    <w:right w:val="single" w:color="auto" w:sz="4" w:space="0"/>
                  </w:tcBorders>
                  <w:noWrap/>
                  <w:vAlign w:val="center"/>
                </w:tcPr>
                <w:p w14:paraId="5F3F532D">
                  <w:pPr>
                    <w:pStyle w:val="65"/>
                    <w:rPr>
                      <w:color w:val="auto"/>
                    </w:rPr>
                  </w:pPr>
                  <w:r>
                    <w:rPr>
                      <w:rFonts w:hint="eastAsia"/>
                      <w:color w:val="auto"/>
                    </w:rPr>
                    <w:t>达标</w:t>
                  </w:r>
                </w:p>
              </w:tc>
            </w:tr>
            <w:tr w14:paraId="6EB7AE8D">
              <w:trPr>
                <w:trHeight w:val="454" w:hRule="atLeast"/>
              </w:trPr>
              <w:tc>
                <w:tcPr>
                  <w:tcW w:w="736" w:type="pct"/>
                  <w:vMerge w:val="continue"/>
                  <w:tcBorders>
                    <w:left w:val="single" w:color="auto" w:sz="4" w:space="0"/>
                    <w:bottom w:val="single" w:color="auto" w:sz="4" w:space="0"/>
                    <w:right w:val="single" w:color="auto" w:sz="4" w:space="0"/>
                  </w:tcBorders>
                  <w:vAlign w:val="center"/>
                </w:tcPr>
                <w:p w14:paraId="537BBB2C">
                  <w:pPr>
                    <w:pStyle w:val="65"/>
                    <w:rPr>
                      <w:color w:val="auto"/>
                    </w:rPr>
                  </w:pPr>
                </w:p>
              </w:tc>
              <w:tc>
                <w:tcPr>
                  <w:tcW w:w="967" w:type="pct"/>
                  <w:tcBorders>
                    <w:top w:val="single" w:color="auto" w:sz="4" w:space="0"/>
                    <w:left w:val="nil"/>
                    <w:bottom w:val="single" w:color="auto" w:sz="4" w:space="0"/>
                    <w:right w:val="single" w:color="auto" w:sz="4" w:space="0"/>
                  </w:tcBorders>
                  <w:vAlign w:val="center"/>
                </w:tcPr>
                <w:p w14:paraId="4CC86D43">
                  <w:pPr>
                    <w:pStyle w:val="65"/>
                    <w:rPr>
                      <w:color w:val="auto"/>
                    </w:rPr>
                  </w:pPr>
                  <w:r>
                    <w:rPr>
                      <w:color w:val="auto"/>
                    </w:rPr>
                    <w:t>2026.01.14-2026.01.15</w:t>
                  </w:r>
                </w:p>
              </w:tc>
              <w:tc>
                <w:tcPr>
                  <w:tcW w:w="888" w:type="pct"/>
                  <w:tcBorders>
                    <w:top w:val="single" w:color="auto" w:sz="4" w:space="0"/>
                    <w:left w:val="nil"/>
                    <w:bottom w:val="single" w:color="auto" w:sz="4" w:space="0"/>
                    <w:right w:val="single" w:color="auto" w:sz="4" w:space="0"/>
                  </w:tcBorders>
                  <w:vAlign w:val="center"/>
                </w:tcPr>
                <w:p w14:paraId="40147ADB">
                  <w:pPr>
                    <w:pStyle w:val="65"/>
                    <w:rPr>
                      <w:color w:val="auto"/>
                    </w:rPr>
                  </w:pPr>
                  <w:r>
                    <w:rPr>
                      <w:color w:val="auto"/>
                    </w:rPr>
                    <w:t>08:40-08:40（次日）</w:t>
                  </w:r>
                </w:p>
              </w:tc>
              <w:tc>
                <w:tcPr>
                  <w:tcW w:w="751" w:type="pct"/>
                  <w:tcBorders>
                    <w:top w:val="single" w:color="auto" w:sz="4" w:space="0"/>
                    <w:left w:val="nil"/>
                    <w:bottom w:val="single" w:color="auto" w:sz="4" w:space="0"/>
                    <w:right w:val="single" w:color="auto" w:sz="4" w:space="0"/>
                  </w:tcBorders>
                  <w:vAlign w:val="center"/>
                </w:tcPr>
                <w:p w14:paraId="6CBA0364">
                  <w:pPr>
                    <w:pStyle w:val="65"/>
                    <w:rPr>
                      <w:color w:val="auto"/>
                    </w:rPr>
                  </w:pPr>
                  <w:r>
                    <w:rPr>
                      <w:rFonts w:hint="eastAsia"/>
                      <w:color w:val="auto"/>
                    </w:rPr>
                    <w:t>42</w:t>
                  </w:r>
                  <w:r>
                    <w:rPr>
                      <w:color w:val="auto"/>
                    </w:rPr>
                    <w:t>μg/m</w:t>
                  </w:r>
                  <w:r>
                    <w:rPr>
                      <w:color w:val="auto"/>
                      <w:vertAlign w:val="superscript"/>
                    </w:rPr>
                    <w:t>3</w:t>
                  </w:r>
                </w:p>
              </w:tc>
              <w:tc>
                <w:tcPr>
                  <w:tcW w:w="830" w:type="pct"/>
                  <w:vMerge w:val="continue"/>
                  <w:tcBorders>
                    <w:left w:val="nil"/>
                    <w:bottom w:val="single" w:color="auto" w:sz="4" w:space="0"/>
                    <w:right w:val="single" w:color="auto" w:sz="4" w:space="0"/>
                  </w:tcBorders>
                  <w:noWrap/>
                  <w:vAlign w:val="center"/>
                </w:tcPr>
                <w:p w14:paraId="3720F962">
                  <w:pPr>
                    <w:pStyle w:val="65"/>
                    <w:rPr>
                      <w:color w:val="auto"/>
                    </w:rPr>
                  </w:pPr>
                </w:p>
              </w:tc>
              <w:tc>
                <w:tcPr>
                  <w:tcW w:w="828" w:type="pct"/>
                  <w:tcBorders>
                    <w:top w:val="single" w:color="auto" w:sz="4" w:space="0"/>
                    <w:left w:val="nil"/>
                    <w:bottom w:val="single" w:color="auto" w:sz="4" w:space="0"/>
                    <w:right w:val="single" w:color="auto" w:sz="4" w:space="0"/>
                  </w:tcBorders>
                  <w:noWrap/>
                  <w:vAlign w:val="center"/>
                </w:tcPr>
                <w:p w14:paraId="070BE75E">
                  <w:pPr>
                    <w:pStyle w:val="65"/>
                    <w:rPr>
                      <w:color w:val="auto"/>
                    </w:rPr>
                  </w:pPr>
                  <w:r>
                    <w:rPr>
                      <w:rFonts w:hint="eastAsia"/>
                      <w:color w:val="auto"/>
                    </w:rPr>
                    <w:t>达标</w:t>
                  </w:r>
                </w:p>
              </w:tc>
            </w:tr>
            <w:tr w14:paraId="5CD6DA9E">
              <w:tblPrEx>
                <w:tblCellMar>
                  <w:top w:w="0" w:type="dxa"/>
                  <w:left w:w="108" w:type="dxa"/>
                  <w:bottom w:w="0" w:type="dxa"/>
                  <w:right w:w="108" w:type="dxa"/>
                </w:tblCellMar>
              </w:tblPrEx>
              <w:trPr>
                <w:trHeight w:val="454" w:hRule="atLeast"/>
              </w:trPr>
              <w:tc>
                <w:tcPr>
                  <w:tcW w:w="736" w:type="pct"/>
                  <w:vMerge w:val="restart"/>
                  <w:tcBorders>
                    <w:top w:val="single" w:color="auto" w:sz="4" w:space="0"/>
                    <w:left w:val="single" w:color="auto" w:sz="4" w:space="0"/>
                    <w:right w:val="single" w:color="auto" w:sz="4" w:space="0"/>
                  </w:tcBorders>
                  <w:vAlign w:val="center"/>
                </w:tcPr>
                <w:p w14:paraId="343633C1">
                  <w:pPr>
                    <w:pStyle w:val="65"/>
                    <w:rPr>
                      <w:color w:val="auto"/>
                    </w:rPr>
                  </w:pPr>
                  <w:r>
                    <w:rPr>
                      <w:color w:val="auto"/>
                    </w:rPr>
                    <w:t>PM2.5</w:t>
                  </w:r>
                </w:p>
              </w:tc>
              <w:tc>
                <w:tcPr>
                  <w:tcW w:w="967" w:type="pct"/>
                  <w:tcBorders>
                    <w:top w:val="single" w:color="auto" w:sz="4" w:space="0"/>
                    <w:left w:val="nil"/>
                    <w:bottom w:val="single" w:color="auto" w:sz="4" w:space="0"/>
                    <w:right w:val="single" w:color="auto" w:sz="4" w:space="0"/>
                  </w:tcBorders>
                  <w:vAlign w:val="center"/>
                </w:tcPr>
                <w:p w14:paraId="1E6C447D">
                  <w:pPr>
                    <w:pStyle w:val="65"/>
                    <w:rPr>
                      <w:color w:val="auto"/>
                    </w:rPr>
                  </w:pPr>
                  <w:r>
                    <w:rPr>
                      <w:rFonts w:hint="eastAsia"/>
                      <w:color w:val="auto"/>
                    </w:rPr>
                    <w:t xml:space="preserve">2026.01.12-2026.01.13 </w:t>
                  </w:r>
                </w:p>
              </w:tc>
              <w:tc>
                <w:tcPr>
                  <w:tcW w:w="888" w:type="pct"/>
                  <w:tcBorders>
                    <w:top w:val="single" w:color="auto" w:sz="4" w:space="0"/>
                    <w:left w:val="nil"/>
                    <w:bottom w:val="single" w:color="auto" w:sz="4" w:space="0"/>
                    <w:right w:val="single" w:color="auto" w:sz="4" w:space="0"/>
                  </w:tcBorders>
                  <w:vAlign w:val="center"/>
                </w:tcPr>
                <w:p w14:paraId="3A8C2CED">
                  <w:pPr>
                    <w:pStyle w:val="65"/>
                    <w:rPr>
                      <w:color w:val="auto"/>
                    </w:rPr>
                  </w:pPr>
                  <w:r>
                    <w:rPr>
                      <w:rFonts w:hint="eastAsia"/>
                      <w:color w:val="auto"/>
                    </w:rPr>
                    <w:t>08:00-08:00（次日）</w:t>
                  </w:r>
                </w:p>
              </w:tc>
              <w:tc>
                <w:tcPr>
                  <w:tcW w:w="751" w:type="pct"/>
                  <w:tcBorders>
                    <w:top w:val="single" w:color="auto" w:sz="4" w:space="0"/>
                    <w:left w:val="nil"/>
                    <w:bottom w:val="single" w:color="auto" w:sz="4" w:space="0"/>
                    <w:right w:val="single" w:color="auto" w:sz="4" w:space="0"/>
                  </w:tcBorders>
                  <w:vAlign w:val="center"/>
                </w:tcPr>
                <w:p w14:paraId="2EA45ECF">
                  <w:pPr>
                    <w:pStyle w:val="65"/>
                    <w:rPr>
                      <w:color w:val="auto"/>
                    </w:rPr>
                  </w:pPr>
                  <w:r>
                    <w:rPr>
                      <w:rFonts w:hint="eastAsia"/>
                      <w:color w:val="auto"/>
                    </w:rPr>
                    <w:t>24</w:t>
                  </w:r>
                  <w:r>
                    <w:rPr>
                      <w:color w:val="auto"/>
                    </w:rPr>
                    <w:t>μg/m</w:t>
                  </w:r>
                  <w:r>
                    <w:rPr>
                      <w:color w:val="auto"/>
                      <w:vertAlign w:val="superscript"/>
                    </w:rPr>
                    <w:t>3</w:t>
                  </w:r>
                </w:p>
              </w:tc>
              <w:tc>
                <w:tcPr>
                  <w:tcW w:w="830" w:type="pct"/>
                  <w:vMerge w:val="restart"/>
                  <w:tcBorders>
                    <w:top w:val="single" w:color="auto" w:sz="4" w:space="0"/>
                    <w:left w:val="nil"/>
                    <w:right w:val="single" w:color="auto" w:sz="4" w:space="0"/>
                  </w:tcBorders>
                  <w:noWrap/>
                  <w:vAlign w:val="center"/>
                </w:tcPr>
                <w:p w14:paraId="72D5F573">
                  <w:pPr>
                    <w:pStyle w:val="65"/>
                    <w:rPr>
                      <w:color w:val="auto"/>
                    </w:rPr>
                  </w:pPr>
                  <w:r>
                    <w:rPr>
                      <w:rFonts w:hint="eastAsia"/>
                      <w:color w:val="auto"/>
                    </w:rPr>
                    <w:t>35</w:t>
                  </w:r>
                  <w:r>
                    <w:rPr>
                      <w:color w:val="auto"/>
                    </w:rPr>
                    <w:t>μg/m</w:t>
                  </w:r>
                  <w:r>
                    <w:rPr>
                      <w:color w:val="auto"/>
                      <w:vertAlign w:val="superscript"/>
                    </w:rPr>
                    <w:t>3</w:t>
                  </w:r>
                </w:p>
              </w:tc>
              <w:tc>
                <w:tcPr>
                  <w:tcW w:w="828" w:type="pct"/>
                  <w:tcBorders>
                    <w:top w:val="single" w:color="auto" w:sz="4" w:space="0"/>
                    <w:left w:val="nil"/>
                    <w:bottom w:val="single" w:color="auto" w:sz="4" w:space="0"/>
                    <w:right w:val="single" w:color="auto" w:sz="4" w:space="0"/>
                  </w:tcBorders>
                  <w:noWrap/>
                  <w:vAlign w:val="center"/>
                </w:tcPr>
                <w:p w14:paraId="15363D35">
                  <w:pPr>
                    <w:pStyle w:val="65"/>
                    <w:rPr>
                      <w:color w:val="auto"/>
                    </w:rPr>
                  </w:pPr>
                  <w:r>
                    <w:rPr>
                      <w:rFonts w:hint="eastAsia"/>
                      <w:color w:val="auto"/>
                    </w:rPr>
                    <w:t>达标</w:t>
                  </w:r>
                </w:p>
              </w:tc>
            </w:tr>
            <w:tr w14:paraId="0013F186">
              <w:tblPrEx>
                <w:tblCellMar>
                  <w:top w:w="0" w:type="dxa"/>
                  <w:left w:w="108" w:type="dxa"/>
                  <w:bottom w:w="0" w:type="dxa"/>
                  <w:right w:w="108" w:type="dxa"/>
                </w:tblCellMar>
              </w:tblPrEx>
              <w:trPr>
                <w:trHeight w:val="454" w:hRule="atLeast"/>
              </w:trPr>
              <w:tc>
                <w:tcPr>
                  <w:tcW w:w="736" w:type="pct"/>
                  <w:vMerge w:val="continue"/>
                  <w:tcBorders>
                    <w:left w:val="single" w:color="auto" w:sz="4" w:space="0"/>
                    <w:right w:val="single" w:color="auto" w:sz="4" w:space="0"/>
                  </w:tcBorders>
                  <w:vAlign w:val="center"/>
                </w:tcPr>
                <w:p w14:paraId="398DBA5D">
                  <w:pPr>
                    <w:pStyle w:val="65"/>
                    <w:rPr>
                      <w:color w:val="auto"/>
                    </w:rPr>
                  </w:pPr>
                </w:p>
              </w:tc>
              <w:tc>
                <w:tcPr>
                  <w:tcW w:w="967" w:type="pct"/>
                  <w:tcBorders>
                    <w:top w:val="single" w:color="auto" w:sz="4" w:space="0"/>
                    <w:left w:val="nil"/>
                    <w:bottom w:val="single" w:color="auto" w:sz="4" w:space="0"/>
                    <w:right w:val="single" w:color="auto" w:sz="4" w:space="0"/>
                  </w:tcBorders>
                  <w:vAlign w:val="center"/>
                </w:tcPr>
                <w:p w14:paraId="0D3348E5">
                  <w:pPr>
                    <w:pStyle w:val="65"/>
                    <w:rPr>
                      <w:color w:val="auto"/>
                    </w:rPr>
                  </w:pPr>
                  <w:r>
                    <w:rPr>
                      <w:rFonts w:hint="eastAsia"/>
                      <w:color w:val="auto"/>
                    </w:rPr>
                    <w:t xml:space="preserve">2026.01.13-2026.01.14 </w:t>
                  </w:r>
                </w:p>
              </w:tc>
              <w:tc>
                <w:tcPr>
                  <w:tcW w:w="888" w:type="pct"/>
                  <w:tcBorders>
                    <w:top w:val="single" w:color="auto" w:sz="4" w:space="0"/>
                    <w:left w:val="nil"/>
                    <w:bottom w:val="single" w:color="auto" w:sz="4" w:space="0"/>
                    <w:right w:val="single" w:color="auto" w:sz="4" w:space="0"/>
                  </w:tcBorders>
                  <w:vAlign w:val="center"/>
                </w:tcPr>
                <w:p w14:paraId="03803B22">
                  <w:pPr>
                    <w:pStyle w:val="65"/>
                    <w:rPr>
                      <w:color w:val="auto"/>
                    </w:rPr>
                  </w:pPr>
                  <w:r>
                    <w:rPr>
                      <w:rFonts w:hint="eastAsia"/>
                      <w:color w:val="auto"/>
                    </w:rPr>
                    <w:t>08:20-08:20（次日）</w:t>
                  </w:r>
                </w:p>
              </w:tc>
              <w:tc>
                <w:tcPr>
                  <w:tcW w:w="751" w:type="pct"/>
                  <w:tcBorders>
                    <w:top w:val="single" w:color="auto" w:sz="4" w:space="0"/>
                    <w:left w:val="nil"/>
                    <w:bottom w:val="single" w:color="auto" w:sz="4" w:space="0"/>
                    <w:right w:val="single" w:color="auto" w:sz="4" w:space="0"/>
                  </w:tcBorders>
                  <w:vAlign w:val="center"/>
                </w:tcPr>
                <w:p w14:paraId="696934D5">
                  <w:pPr>
                    <w:pStyle w:val="65"/>
                    <w:rPr>
                      <w:color w:val="auto"/>
                    </w:rPr>
                  </w:pPr>
                  <w:r>
                    <w:rPr>
                      <w:rFonts w:hint="eastAsia"/>
                      <w:color w:val="auto"/>
                    </w:rPr>
                    <w:t>27</w:t>
                  </w:r>
                  <w:r>
                    <w:rPr>
                      <w:color w:val="auto"/>
                    </w:rPr>
                    <w:t>μg/m</w:t>
                  </w:r>
                  <w:r>
                    <w:rPr>
                      <w:color w:val="auto"/>
                      <w:vertAlign w:val="superscript"/>
                    </w:rPr>
                    <w:t>3</w:t>
                  </w:r>
                </w:p>
              </w:tc>
              <w:tc>
                <w:tcPr>
                  <w:tcW w:w="830" w:type="pct"/>
                  <w:vMerge w:val="continue"/>
                  <w:tcBorders>
                    <w:left w:val="nil"/>
                    <w:right w:val="single" w:color="auto" w:sz="4" w:space="0"/>
                  </w:tcBorders>
                  <w:noWrap/>
                  <w:vAlign w:val="center"/>
                </w:tcPr>
                <w:p w14:paraId="041CB30A">
                  <w:pPr>
                    <w:pStyle w:val="65"/>
                    <w:rPr>
                      <w:color w:val="auto"/>
                    </w:rPr>
                  </w:pPr>
                </w:p>
              </w:tc>
              <w:tc>
                <w:tcPr>
                  <w:tcW w:w="828" w:type="pct"/>
                  <w:tcBorders>
                    <w:top w:val="single" w:color="auto" w:sz="4" w:space="0"/>
                    <w:left w:val="nil"/>
                    <w:bottom w:val="single" w:color="auto" w:sz="4" w:space="0"/>
                    <w:right w:val="single" w:color="auto" w:sz="4" w:space="0"/>
                  </w:tcBorders>
                  <w:noWrap/>
                  <w:vAlign w:val="center"/>
                </w:tcPr>
                <w:p w14:paraId="5C0D2A13">
                  <w:pPr>
                    <w:pStyle w:val="65"/>
                    <w:rPr>
                      <w:color w:val="auto"/>
                    </w:rPr>
                  </w:pPr>
                  <w:r>
                    <w:rPr>
                      <w:rFonts w:hint="eastAsia"/>
                      <w:color w:val="auto"/>
                    </w:rPr>
                    <w:t>达标</w:t>
                  </w:r>
                </w:p>
              </w:tc>
            </w:tr>
            <w:tr w14:paraId="14F682DE">
              <w:tblPrEx>
                <w:tblCellMar>
                  <w:top w:w="0" w:type="dxa"/>
                  <w:left w:w="108" w:type="dxa"/>
                  <w:bottom w:w="0" w:type="dxa"/>
                  <w:right w:w="108" w:type="dxa"/>
                </w:tblCellMar>
              </w:tblPrEx>
              <w:trPr>
                <w:trHeight w:val="454" w:hRule="atLeast"/>
              </w:trPr>
              <w:tc>
                <w:tcPr>
                  <w:tcW w:w="736" w:type="pct"/>
                  <w:vMerge w:val="continue"/>
                  <w:tcBorders>
                    <w:left w:val="single" w:color="auto" w:sz="4" w:space="0"/>
                    <w:bottom w:val="single" w:color="auto" w:sz="4" w:space="0"/>
                    <w:right w:val="single" w:color="auto" w:sz="4" w:space="0"/>
                  </w:tcBorders>
                  <w:vAlign w:val="center"/>
                </w:tcPr>
                <w:p w14:paraId="18255442">
                  <w:pPr>
                    <w:pStyle w:val="65"/>
                    <w:rPr>
                      <w:color w:val="auto"/>
                    </w:rPr>
                  </w:pPr>
                </w:p>
              </w:tc>
              <w:tc>
                <w:tcPr>
                  <w:tcW w:w="967" w:type="pct"/>
                  <w:tcBorders>
                    <w:top w:val="single" w:color="auto" w:sz="4" w:space="0"/>
                    <w:left w:val="nil"/>
                    <w:bottom w:val="single" w:color="auto" w:sz="4" w:space="0"/>
                    <w:right w:val="single" w:color="auto" w:sz="4" w:space="0"/>
                  </w:tcBorders>
                  <w:vAlign w:val="center"/>
                </w:tcPr>
                <w:p w14:paraId="6B1E32C1">
                  <w:pPr>
                    <w:pStyle w:val="65"/>
                    <w:rPr>
                      <w:color w:val="auto"/>
                    </w:rPr>
                  </w:pPr>
                  <w:r>
                    <w:rPr>
                      <w:rFonts w:hint="eastAsia"/>
                      <w:color w:val="auto"/>
                    </w:rPr>
                    <w:t xml:space="preserve">2026.01.14-2026.01.15 </w:t>
                  </w:r>
                </w:p>
              </w:tc>
              <w:tc>
                <w:tcPr>
                  <w:tcW w:w="888" w:type="pct"/>
                  <w:tcBorders>
                    <w:top w:val="single" w:color="auto" w:sz="4" w:space="0"/>
                    <w:left w:val="nil"/>
                    <w:bottom w:val="single" w:color="auto" w:sz="4" w:space="0"/>
                    <w:right w:val="single" w:color="auto" w:sz="4" w:space="0"/>
                  </w:tcBorders>
                  <w:vAlign w:val="center"/>
                </w:tcPr>
                <w:p w14:paraId="008E0841">
                  <w:pPr>
                    <w:pStyle w:val="65"/>
                    <w:rPr>
                      <w:color w:val="auto"/>
                    </w:rPr>
                  </w:pPr>
                  <w:r>
                    <w:rPr>
                      <w:rFonts w:hint="eastAsia"/>
                      <w:color w:val="auto"/>
                    </w:rPr>
                    <w:t>08:40-08:40（次日）</w:t>
                  </w:r>
                </w:p>
              </w:tc>
              <w:tc>
                <w:tcPr>
                  <w:tcW w:w="751" w:type="pct"/>
                  <w:tcBorders>
                    <w:top w:val="single" w:color="auto" w:sz="4" w:space="0"/>
                    <w:left w:val="nil"/>
                    <w:bottom w:val="single" w:color="auto" w:sz="4" w:space="0"/>
                    <w:right w:val="single" w:color="auto" w:sz="4" w:space="0"/>
                  </w:tcBorders>
                  <w:vAlign w:val="center"/>
                </w:tcPr>
                <w:p w14:paraId="63DF4382">
                  <w:pPr>
                    <w:pStyle w:val="65"/>
                    <w:rPr>
                      <w:color w:val="auto"/>
                    </w:rPr>
                  </w:pPr>
                  <w:r>
                    <w:rPr>
                      <w:rFonts w:hint="eastAsia"/>
                      <w:color w:val="auto"/>
                    </w:rPr>
                    <w:t>22</w:t>
                  </w:r>
                  <w:r>
                    <w:rPr>
                      <w:color w:val="auto"/>
                    </w:rPr>
                    <w:t>μg/m</w:t>
                  </w:r>
                  <w:r>
                    <w:rPr>
                      <w:color w:val="auto"/>
                      <w:vertAlign w:val="superscript"/>
                    </w:rPr>
                    <w:t>3</w:t>
                  </w:r>
                </w:p>
              </w:tc>
              <w:tc>
                <w:tcPr>
                  <w:tcW w:w="830" w:type="pct"/>
                  <w:vMerge w:val="continue"/>
                  <w:tcBorders>
                    <w:left w:val="nil"/>
                    <w:bottom w:val="single" w:color="auto" w:sz="4" w:space="0"/>
                    <w:right w:val="single" w:color="auto" w:sz="4" w:space="0"/>
                  </w:tcBorders>
                  <w:noWrap/>
                  <w:vAlign w:val="center"/>
                </w:tcPr>
                <w:p w14:paraId="072DBE47">
                  <w:pPr>
                    <w:pStyle w:val="65"/>
                    <w:rPr>
                      <w:color w:val="auto"/>
                    </w:rPr>
                  </w:pPr>
                </w:p>
              </w:tc>
              <w:tc>
                <w:tcPr>
                  <w:tcW w:w="828" w:type="pct"/>
                  <w:tcBorders>
                    <w:top w:val="single" w:color="auto" w:sz="4" w:space="0"/>
                    <w:left w:val="nil"/>
                    <w:bottom w:val="single" w:color="auto" w:sz="4" w:space="0"/>
                    <w:right w:val="single" w:color="auto" w:sz="4" w:space="0"/>
                  </w:tcBorders>
                  <w:noWrap/>
                  <w:vAlign w:val="center"/>
                </w:tcPr>
                <w:p w14:paraId="00E965E4">
                  <w:pPr>
                    <w:pStyle w:val="65"/>
                    <w:rPr>
                      <w:color w:val="auto"/>
                    </w:rPr>
                  </w:pPr>
                  <w:r>
                    <w:rPr>
                      <w:rFonts w:hint="eastAsia"/>
                      <w:color w:val="auto"/>
                    </w:rPr>
                    <w:t>达标</w:t>
                  </w:r>
                </w:p>
              </w:tc>
            </w:tr>
            <w:tr w14:paraId="114CE1B1">
              <w:trPr>
                <w:trHeight w:val="454" w:hRule="atLeast"/>
              </w:trPr>
              <w:tc>
                <w:tcPr>
                  <w:tcW w:w="736" w:type="pct"/>
                  <w:vMerge w:val="restart"/>
                  <w:tcBorders>
                    <w:top w:val="single" w:color="auto" w:sz="4" w:space="0"/>
                    <w:left w:val="single" w:color="auto" w:sz="4" w:space="0"/>
                    <w:right w:val="single" w:color="auto" w:sz="4" w:space="0"/>
                  </w:tcBorders>
                  <w:vAlign w:val="center"/>
                </w:tcPr>
                <w:p w14:paraId="50074A7A">
                  <w:pPr>
                    <w:pStyle w:val="65"/>
                    <w:rPr>
                      <w:color w:val="auto"/>
                    </w:rPr>
                  </w:pPr>
                  <w:r>
                    <w:rPr>
                      <w:rFonts w:hint="eastAsia"/>
                      <w:color w:val="auto"/>
                    </w:rPr>
                    <w:t>臭氧</w:t>
                  </w:r>
                </w:p>
              </w:tc>
              <w:tc>
                <w:tcPr>
                  <w:tcW w:w="967" w:type="pct"/>
                  <w:tcBorders>
                    <w:top w:val="single" w:color="auto" w:sz="4" w:space="0"/>
                    <w:left w:val="nil"/>
                    <w:bottom w:val="single" w:color="auto" w:sz="4" w:space="0"/>
                    <w:right w:val="single" w:color="auto" w:sz="4" w:space="0"/>
                  </w:tcBorders>
                  <w:vAlign w:val="center"/>
                </w:tcPr>
                <w:p w14:paraId="42C108C5">
                  <w:pPr>
                    <w:pStyle w:val="65"/>
                    <w:rPr>
                      <w:color w:val="auto"/>
                    </w:rPr>
                  </w:pPr>
                  <w:r>
                    <w:rPr>
                      <w:color w:val="auto"/>
                    </w:rPr>
                    <w:t>2026.01.12</w:t>
                  </w:r>
                </w:p>
              </w:tc>
              <w:tc>
                <w:tcPr>
                  <w:tcW w:w="888" w:type="pct"/>
                  <w:tcBorders>
                    <w:top w:val="single" w:color="auto" w:sz="4" w:space="0"/>
                    <w:left w:val="nil"/>
                    <w:bottom w:val="single" w:color="auto" w:sz="4" w:space="0"/>
                    <w:right w:val="single" w:color="auto" w:sz="4" w:space="0"/>
                  </w:tcBorders>
                  <w:vAlign w:val="center"/>
                </w:tcPr>
                <w:p w14:paraId="027A32A8">
                  <w:pPr>
                    <w:pStyle w:val="65"/>
                    <w:rPr>
                      <w:color w:val="auto"/>
                    </w:rPr>
                  </w:pPr>
                  <w:r>
                    <w:rPr>
                      <w:rFonts w:hint="eastAsia"/>
                      <w:color w:val="auto"/>
                    </w:rPr>
                    <w:t>8小时平均值</w:t>
                  </w:r>
                </w:p>
              </w:tc>
              <w:tc>
                <w:tcPr>
                  <w:tcW w:w="751" w:type="pct"/>
                  <w:tcBorders>
                    <w:top w:val="single" w:color="auto" w:sz="4" w:space="0"/>
                    <w:left w:val="nil"/>
                    <w:bottom w:val="single" w:color="auto" w:sz="4" w:space="0"/>
                    <w:right w:val="single" w:color="auto" w:sz="4" w:space="0"/>
                  </w:tcBorders>
                  <w:vAlign w:val="center"/>
                </w:tcPr>
                <w:p w14:paraId="24F5F647">
                  <w:pPr>
                    <w:pStyle w:val="65"/>
                    <w:rPr>
                      <w:color w:val="auto"/>
                    </w:rPr>
                  </w:pPr>
                  <w:r>
                    <w:rPr>
                      <w:color w:val="auto"/>
                    </w:rPr>
                    <w:t>37μg/m</w:t>
                  </w:r>
                  <w:r>
                    <w:rPr>
                      <w:color w:val="auto"/>
                      <w:vertAlign w:val="superscript"/>
                    </w:rPr>
                    <w:t>3</w:t>
                  </w:r>
                </w:p>
              </w:tc>
              <w:tc>
                <w:tcPr>
                  <w:tcW w:w="830" w:type="pct"/>
                  <w:vMerge w:val="restart"/>
                  <w:tcBorders>
                    <w:top w:val="single" w:color="auto" w:sz="4" w:space="0"/>
                    <w:left w:val="nil"/>
                    <w:right w:val="single" w:color="auto" w:sz="4" w:space="0"/>
                  </w:tcBorders>
                  <w:noWrap/>
                  <w:vAlign w:val="center"/>
                </w:tcPr>
                <w:p w14:paraId="0AF5D1D3">
                  <w:pPr>
                    <w:pStyle w:val="65"/>
                    <w:rPr>
                      <w:color w:val="auto"/>
                    </w:rPr>
                  </w:pPr>
                  <w:r>
                    <w:rPr>
                      <w:rFonts w:hint="eastAsia"/>
                      <w:color w:val="auto"/>
                    </w:rPr>
                    <w:t>100</w:t>
                  </w:r>
                  <w:r>
                    <w:rPr>
                      <w:color w:val="auto"/>
                    </w:rPr>
                    <w:t>μg/m</w:t>
                  </w:r>
                  <w:r>
                    <w:rPr>
                      <w:color w:val="auto"/>
                      <w:vertAlign w:val="superscript"/>
                    </w:rPr>
                    <w:t>3</w:t>
                  </w:r>
                </w:p>
              </w:tc>
              <w:tc>
                <w:tcPr>
                  <w:tcW w:w="828" w:type="pct"/>
                  <w:tcBorders>
                    <w:top w:val="single" w:color="auto" w:sz="4" w:space="0"/>
                    <w:left w:val="nil"/>
                    <w:bottom w:val="single" w:color="auto" w:sz="4" w:space="0"/>
                    <w:right w:val="single" w:color="auto" w:sz="4" w:space="0"/>
                  </w:tcBorders>
                  <w:noWrap/>
                  <w:vAlign w:val="center"/>
                </w:tcPr>
                <w:p w14:paraId="137F2F79">
                  <w:pPr>
                    <w:pStyle w:val="65"/>
                    <w:rPr>
                      <w:color w:val="auto"/>
                    </w:rPr>
                  </w:pPr>
                  <w:r>
                    <w:rPr>
                      <w:rFonts w:hint="eastAsia"/>
                      <w:color w:val="auto"/>
                    </w:rPr>
                    <w:t>达标</w:t>
                  </w:r>
                </w:p>
              </w:tc>
            </w:tr>
            <w:tr w14:paraId="1BF6B46F">
              <w:tblPrEx>
                <w:tblCellMar>
                  <w:top w:w="0" w:type="dxa"/>
                  <w:left w:w="108" w:type="dxa"/>
                  <w:bottom w:w="0" w:type="dxa"/>
                  <w:right w:w="108" w:type="dxa"/>
                </w:tblCellMar>
              </w:tblPrEx>
              <w:trPr>
                <w:trHeight w:val="454" w:hRule="atLeast"/>
              </w:trPr>
              <w:tc>
                <w:tcPr>
                  <w:tcW w:w="736" w:type="pct"/>
                  <w:vMerge w:val="continue"/>
                  <w:tcBorders>
                    <w:left w:val="single" w:color="auto" w:sz="4" w:space="0"/>
                    <w:right w:val="single" w:color="auto" w:sz="4" w:space="0"/>
                  </w:tcBorders>
                  <w:vAlign w:val="center"/>
                </w:tcPr>
                <w:p w14:paraId="4D7B07A3">
                  <w:pPr>
                    <w:pStyle w:val="65"/>
                    <w:rPr>
                      <w:color w:val="auto"/>
                    </w:rPr>
                  </w:pPr>
                </w:p>
              </w:tc>
              <w:tc>
                <w:tcPr>
                  <w:tcW w:w="967" w:type="pct"/>
                  <w:tcBorders>
                    <w:top w:val="single" w:color="auto" w:sz="4" w:space="0"/>
                    <w:left w:val="nil"/>
                    <w:bottom w:val="single" w:color="auto" w:sz="4" w:space="0"/>
                    <w:right w:val="single" w:color="auto" w:sz="4" w:space="0"/>
                  </w:tcBorders>
                  <w:vAlign w:val="center"/>
                </w:tcPr>
                <w:p w14:paraId="03E0C4DF">
                  <w:pPr>
                    <w:pStyle w:val="65"/>
                    <w:rPr>
                      <w:color w:val="auto"/>
                    </w:rPr>
                  </w:pPr>
                  <w:r>
                    <w:rPr>
                      <w:color w:val="auto"/>
                    </w:rPr>
                    <w:t>2026.01.13</w:t>
                  </w:r>
                </w:p>
              </w:tc>
              <w:tc>
                <w:tcPr>
                  <w:tcW w:w="888" w:type="pct"/>
                  <w:tcBorders>
                    <w:top w:val="single" w:color="auto" w:sz="4" w:space="0"/>
                    <w:left w:val="nil"/>
                    <w:bottom w:val="single" w:color="auto" w:sz="4" w:space="0"/>
                    <w:right w:val="single" w:color="auto" w:sz="4" w:space="0"/>
                  </w:tcBorders>
                  <w:vAlign w:val="center"/>
                </w:tcPr>
                <w:p w14:paraId="60ED4B84">
                  <w:pPr>
                    <w:pStyle w:val="65"/>
                    <w:rPr>
                      <w:color w:val="auto"/>
                    </w:rPr>
                  </w:pPr>
                  <w:r>
                    <w:rPr>
                      <w:rFonts w:hint="eastAsia"/>
                      <w:color w:val="auto"/>
                    </w:rPr>
                    <w:t>8小时平均值</w:t>
                  </w:r>
                </w:p>
              </w:tc>
              <w:tc>
                <w:tcPr>
                  <w:tcW w:w="751" w:type="pct"/>
                  <w:tcBorders>
                    <w:top w:val="single" w:color="auto" w:sz="4" w:space="0"/>
                    <w:left w:val="nil"/>
                    <w:bottom w:val="single" w:color="auto" w:sz="4" w:space="0"/>
                    <w:right w:val="single" w:color="auto" w:sz="4" w:space="0"/>
                  </w:tcBorders>
                  <w:vAlign w:val="center"/>
                </w:tcPr>
                <w:p w14:paraId="0A77031D">
                  <w:pPr>
                    <w:pStyle w:val="65"/>
                    <w:rPr>
                      <w:color w:val="auto"/>
                    </w:rPr>
                  </w:pPr>
                  <w:r>
                    <w:rPr>
                      <w:rFonts w:hint="eastAsia"/>
                      <w:color w:val="auto"/>
                    </w:rPr>
                    <w:t>36</w:t>
                  </w:r>
                  <w:r>
                    <w:rPr>
                      <w:color w:val="auto"/>
                    </w:rPr>
                    <w:t>μg/m</w:t>
                  </w:r>
                  <w:r>
                    <w:rPr>
                      <w:color w:val="auto"/>
                      <w:vertAlign w:val="superscript"/>
                    </w:rPr>
                    <w:t>3</w:t>
                  </w:r>
                </w:p>
              </w:tc>
              <w:tc>
                <w:tcPr>
                  <w:tcW w:w="830" w:type="pct"/>
                  <w:vMerge w:val="continue"/>
                  <w:tcBorders>
                    <w:left w:val="nil"/>
                    <w:right w:val="single" w:color="auto" w:sz="4" w:space="0"/>
                  </w:tcBorders>
                  <w:noWrap/>
                  <w:vAlign w:val="center"/>
                </w:tcPr>
                <w:p w14:paraId="12BF2231">
                  <w:pPr>
                    <w:pStyle w:val="65"/>
                    <w:rPr>
                      <w:b/>
                      <w:bCs/>
                      <w:color w:val="auto"/>
                    </w:rPr>
                  </w:pPr>
                </w:p>
              </w:tc>
              <w:tc>
                <w:tcPr>
                  <w:tcW w:w="828" w:type="pct"/>
                  <w:tcBorders>
                    <w:top w:val="single" w:color="auto" w:sz="4" w:space="0"/>
                    <w:left w:val="nil"/>
                    <w:bottom w:val="single" w:color="auto" w:sz="4" w:space="0"/>
                    <w:right w:val="single" w:color="auto" w:sz="4" w:space="0"/>
                  </w:tcBorders>
                  <w:noWrap/>
                  <w:vAlign w:val="center"/>
                </w:tcPr>
                <w:p w14:paraId="498F5D2F">
                  <w:pPr>
                    <w:pStyle w:val="65"/>
                    <w:rPr>
                      <w:color w:val="auto"/>
                    </w:rPr>
                  </w:pPr>
                  <w:r>
                    <w:rPr>
                      <w:rFonts w:hint="eastAsia"/>
                      <w:color w:val="auto"/>
                    </w:rPr>
                    <w:t>达标</w:t>
                  </w:r>
                </w:p>
              </w:tc>
            </w:tr>
            <w:tr w14:paraId="362B6BE9">
              <w:tblPrEx>
                <w:tblCellMar>
                  <w:top w:w="0" w:type="dxa"/>
                  <w:left w:w="108" w:type="dxa"/>
                  <w:bottom w:w="0" w:type="dxa"/>
                  <w:right w:w="108" w:type="dxa"/>
                </w:tblCellMar>
              </w:tblPrEx>
              <w:trPr>
                <w:trHeight w:val="454" w:hRule="atLeast"/>
              </w:trPr>
              <w:tc>
                <w:tcPr>
                  <w:tcW w:w="736" w:type="pct"/>
                  <w:vMerge w:val="continue"/>
                  <w:tcBorders>
                    <w:left w:val="single" w:color="auto" w:sz="4" w:space="0"/>
                    <w:bottom w:val="single" w:color="auto" w:sz="4" w:space="0"/>
                    <w:right w:val="single" w:color="auto" w:sz="4" w:space="0"/>
                  </w:tcBorders>
                  <w:vAlign w:val="center"/>
                </w:tcPr>
                <w:p w14:paraId="6274D06D">
                  <w:pPr>
                    <w:pStyle w:val="65"/>
                    <w:rPr>
                      <w:color w:val="auto"/>
                    </w:rPr>
                  </w:pPr>
                </w:p>
              </w:tc>
              <w:tc>
                <w:tcPr>
                  <w:tcW w:w="967" w:type="pct"/>
                  <w:tcBorders>
                    <w:top w:val="single" w:color="auto" w:sz="4" w:space="0"/>
                    <w:left w:val="nil"/>
                    <w:bottom w:val="single" w:color="auto" w:sz="4" w:space="0"/>
                    <w:right w:val="single" w:color="auto" w:sz="4" w:space="0"/>
                  </w:tcBorders>
                  <w:vAlign w:val="center"/>
                </w:tcPr>
                <w:p w14:paraId="366CD817">
                  <w:pPr>
                    <w:pStyle w:val="65"/>
                    <w:rPr>
                      <w:color w:val="auto"/>
                    </w:rPr>
                  </w:pPr>
                  <w:r>
                    <w:rPr>
                      <w:color w:val="auto"/>
                    </w:rPr>
                    <w:t>2026.01.14</w:t>
                  </w:r>
                </w:p>
              </w:tc>
              <w:tc>
                <w:tcPr>
                  <w:tcW w:w="888" w:type="pct"/>
                  <w:tcBorders>
                    <w:top w:val="single" w:color="auto" w:sz="4" w:space="0"/>
                    <w:left w:val="nil"/>
                    <w:bottom w:val="single" w:color="auto" w:sz="4" w:space="0"/>
                    <w:right w:val="single" w:color="auto" w:sz="4" w:space="0"/>
                  </w:tcBorders>
                  <w:vAlign w:val="center"/>
                </w:tcPr>
                <w:p w14:paraId="08AAB2D1">
                  <w:pPr>
                    <w:pStyle w:val="65"/>
                    <w:rPr>
                      <w:color w:val="auto"/>
                    </w:rPr>
                  </w:pPr>
                  <w:r>
                    <w:rPr>
                      <w:rFonts w:hint="eastAsia"/>
                      <w:color w:val="auto"/>
                    </w:rPr>
                    <w:t>8小时平均值</w:t>
                  </w:r>
                </w:p>
              </w:tc>
              <w:tc>
                <w:tcPr>
                  <w:tcW w:w="751" w:type="pct"/>
                  <w:tcBorders>
                    <w:top w:val="single" w:color="auto" w:sz="4" w:space="0"/>
                    <w:left w:val="nil"/>
                    <w:bottom w:val="single" w:color="auto" w:sz="4" w:space="0"/>
                    <w:right w:val="single" w:color="auto" w:sz="4" w:space="0"/>
                  </w:tcBorders>
                  <w:vAlign w:val="center"/>
                </w:tcPr>
                <w:p w14:paraId="179AA1D8">
                  <w:pPr>
                    <w:pStyle w:val="65"/>
                    <w:rPr>
                      <w:color w:val="auto"/>
                    </w:rPr>
                  </w:pPr>
                  <w:r>
                    <w:rPr>
                      <w:color w:val="auto"/>
                    </w:rPr>
                    <w:t>32μg/m</w:t>
                  </w:r>
                  <w:r>
                    <w:rPr>
                      <w:color w:val="auto"/>
                      <w:vertAlign w:val="superscript"/>
                    </w:rPr>
                    <w:t>3</w:t>
                  </w:r>
                </w:p>
              </w:tc>
              <w:tc>
                <w:tcPr>
                  <w:tcW w:w="830" w:type="pct"/>
                  <w:vMerge w:val="continue"/>
                  <w:tcBorders>
                    <w:left w:val="nil"/>
                    <w:bottom w:val="single" w:color="auto" w:sz="4" w:space="0"/>
                    <w:right w:val="single" w:color="auto" w:sz="4" w:space="0"/>
                  </w:tcBorders>
                  <w:noWrap/>
                  <w:vAlign w:val="center"/>
                </w:tcPr>
                <w:p w14:paraId="223F8B80">
                  <w:pPr>
                    <w:pStyle w:val="65"/>
                    <w:rPr>
                      <w:b/>
                      <w:bCs/>
                      <w:color w:val="auto"/>
                    </w:rPr>
                  </w:pPr>
                </w:p>
              </w:tc>
              <w:tc>
                <w:tcPr>
                  <w:tcW w:w="828" w:type="pct"/>
                  <w:tcBorders>
                    <w:top w:val="single" w:color="auto" w:sz="4" w:space="0"/>
                    <w:left w:val="nil"/>
                    <w:bottom w:val="single" w:color="auto" w:sz="4" w:space="0"/>
                    <w:right w:val="single" w:color="auto" w:sz="4" w:space="0"/>
                  </w:tcBorders>
                  <w:noWrap/>
                  <w:vAlign w:val="center"/>
                </w:tcPr>
                <w:p w14:paraId="7AD77188">
                  <w:pPr>
                    <w:pStyle w:val="65"/>
                    <w:rPr>
                      <w:color w:val="auto"/>
                    </w:rPr>
                  </w:pPr>
                  <w:r>
                    <w:rPr>
                      <w:rFonts w:hint="eastAsia"/>
                      <w:color w:val="auto"/>
                    </w:rPr>
                    <w:t>达标</w:t>
                  </w:r>
                </w:p>
              </w:tc>
            </w:tr>
            <w:tr w14:paraId="6CCF2353">
              <w:tblPrEx>
                <w:tblCellMar>
                  <w:top w:w="0" w:type="dxa"/>
                  <w:left w:w="108" w:type="dxa"/>
                  <w:bottom w:w="0" w:type="dxa"/>
                  <w:right w:w="108" w:type="dxa"/>
                </w:tblCellMar>
              </w:tblPrEx>
              <w:trPr>
                <w:trHeight w:val="454" w:hRule="atLeast"/>
              </w:trPr>
              <w:tc>
                <w:tcPr>
                  <w:tcW w:w="736" w:type="pct"/>
                  <w:vMerge w:val="restart"/>
                  <w:tcBorders>
                    <w:top w:val="single" w:color="auto" w:sz="4" w:space="0"/>
                    <w:left w:val="single" w:color="auto" w:sz="4" w:space="0"/>
                    <w:right w:val="single" w:color="auto" w:sz="4" w:space="0"/>
                  </w:tcBorders>
                  <w:vAlign w:val="center"/>
                </w:tcPr>
                <w:p w14:paraId="3AD7AD13">
                  <w:pPr>
                    <w:pStyle w:val="65"/>
                    <w:rPr>
                      <w:color w:val="auto"/>
                    </w:rPr>
                  </w:pPr>
                  <w:r>
                    <w:rPr>
                      <w:rFonts w:hint="eastAsia"/>
                      <w:color w:val="auto"/>
                    </w:rPr>
                    <w:t>一氧化碳</w:t>
                  </w:r>
                </w:p>
              </w:tc>
              <w:tc>
                <w:tcPr>
                  <w:tcW w:w="967" w:type="pct"/>
                  <w:tcBorders>
                    <w:top w:val="single" w:color="auto" w:sz="4" w:space="0"/>
                    <w:left w:val="nil"/>
                    <w:bottom w:val="single" w:color="auto" w:sz="4" w:space="0"/>
                    <w:right w:val="single" w:color="auto" w:sz="4" w:space="0"/>
                  </w:tcBorders>
                  <w:vAlign w:val="center"/>
                </w:tcPr>
                <w:p w14:paraId="7F178D29">
                  <w:pPr>
                    <w:pStyle w:val="65"/>
                    <w:rPr>
                      <w:color w:val="auto"/>
                    </w:rPr>
                  </w:pPr>
                  <w:r>
                    <w:rPr>
                      <w:color w:val="auto"/>
                    </w:rPr>
                    <w:t>2026.01.12</w:t>
                  </w:r>
                </w:p>
              </w:tc>
              <w:tc>
                <w:tcPr>
                  <w:tcW w:w="888" w:type="pct"/>
                  <w:tcBorders>
                    <w:top w:val="single" w:color="auto" w:sz="4" w:space="0"/>
                    <w:left w:val="nil"/>
                    <w:bottom w:val="single" w:color="auto" w:sz="4" w:space="0"/>
                    <w:right w:val="single" w:color="auto" w:sz="4" w:space="0"/>
                  </w:tcBorders>
                  <w:vAlign w:val="center"/>
                </w:tcPr>
                <w:p w14:paraId="458F673D">
                  <w:pPr>
                    <w:pStyle w:val="65"/>
                    <w:rPr>
                      <w:color w:val="auto"/>
                    </w:rPr>
                  </w:pPr>
                  <w:r>
                    <w:rPr>
                      <w:color w:val="auto"/>
                    </w:rPr>
                    <w:t>00:15-23:45</w:t>
                  </w:r>
                </w:p>
              </w:tc>
              <w:tc>
                <w:tcPr>
                  <w:tcW w:w="751" w:type="pct"/>
                  <w:tcBorders>
                    <w:top w:val="single" w:color="auto" w:sz="4" w:space="0"/>
                    <w:left w:val="nil"/>
                    <w:bottom w:val="single" w:color="auto" w:sz="4" w:space="0"/>
                    <w:right w:val="single" w:color="auto" w:sz="4" w:space="0"/>
                  </w:tcBorders>
                  <w:vAlign w:val="center"/>
                </w:tcPr>
                <w:p w14:paraId="2978670E">
                  <w:pPr>
                    <w:pStyle w:val="65"/>
                    <w:rPr>
                      <w:color w:val="auto"/>
                    </w:rPr>
                  </w:pPr>
                  <w:r>
                    <w:rPr>
                      <w:color w:val="auto"/>
                    </w:rPr>
                    <w:t>0.37</w:t>
                  </w:r>
                  <w:r>
                    <w:rPr>
                      <w:rFonts w:hint="eastAsia"/>
                      <w:color w:val="auto"/>
                    </w:rPr>
                    <w:t>mg/m</w:t>
                  </w:r>
                  <w:r>
                    <w:rPr>
                      <w:rFonts w:hint="eastAsia"/>
                      <w:color w:val="auto"/>
                      <w:vertAlign w:val="superscript"/>
                    </w:rPr>
                    <w:t>3</w:t>
                  </w:r>
                </w:p>
              </w:tc>
              <w:tc>
                <w:tcPr>
                  <w:tcW w:w="830" w:type="pct"/>
                  <w:vMerge w:val="restart"/>
                  <w:tcBorders>
                    <w:top w:val="single" w:color="auto" w:sz="4" w:space="0"/>
                    <w:left w:val="nil"/>
                    <w:right w:val="single" w:color="auto" w:sz="4" w:space="0"/>
                  </w:tcBorders>
                  <w:noWrap/>
                  <w:vAlign w:val="center"/>
                </w:tcPr>
                <w:p w14:paraId="0B163A0A">
                  <w:pPr>
                    <w:pStyle w:val="65"/>
                    <w:rPr>
                      <w:b/>
                      <w:bCs/>
                      <w:color w:val="auto"/>
                    </w:rPr>
                  </w:pPr>
                  <w:r>
                    <w:rPr>
                      <w:rFonts w:hint="eastAsia"/>
                      <w:color w:val="auto"/>
                    </w:rPr>
                    <w:t>4 mg/m</w:t>
                  </w:r>
                  <w:r>
                    <w:rPr>
                      <w:rFonts w:hint="eastAsia"/>
                      <w:color w:val="auto"/>
                      <w:vertAlign w:val="superscript"/>
                    </w:rPr>
                    <w:t>3</w:t>
                  </w:r>
                </w:p>
              </w:tc>
              <w:tc>
                <w:tcPr>
                  <w:tcW w:w="828" w:type="pct"/>
                  <w:tcBorders>
                    <w:top w:val="single" w:color="auto" w:sz="4" w:space="0"/>
                    <w:left w:val="nil"/>
                    <w:bottom w:val="single" w:color="auto" w:sz="4" w:space="0"/>
                    <w:right w:val="single" w:color="auto" w:sz="4" w:space="0"/>
                  </w:tcBorders>
                  <w:noWrap/>
                  <w:vAlign w:val="center"/>
                </w:tcPr>
                <w:p w14:paraId="6EBD3CB7">
                  <w:pPr>
                    <w:pStyle w:val="65"/>
                    <w:rPr>
                      <w:color w:val="auto"/>
                    </w:rPr>
                  </w:pPr>
                  <w:r>
                    <w:rPr>
                      <w:rFonts w:hint="eastAsia"/>
                      <w:color w:val="auto"/>
                    </w:rPr>
                    <w:t>达标</w:t>
                  </w:r>
                </w:p>
              </w:tc>
            </w:tr>
            <w:tr w14:paraId="4DE63A40">
              <w:tblPrEx>
                <w:tblCellMar>
                  <w:top w:w="0" w:type="dxa"/>
                  <w:left w:w="108" w:type="dxa"/>
                  <w:bottom w:w="0" w:type="dxa"/>
                  <w:right w:w="108" w:type="dxa"/>
                </w:tblCellMar>
              </w:tblPrEx>
              <w:trPr>
                <w:trHeight w:val="454" w:hRule="atLeast"/>
              </w:trPr>
              <w:tc>
                <w:tcPr>
                  <w:tcW w:w="736" w:type="pct"/>
                  <w:vMerge w:val="continue"/>
                  <w:tcBorders>
                    <w:left w:val="single" w:color="auto" w:sz="4" w:space="0"/>
                    <w:right w:val="single" w:color="auto" w:sz="4" w:space="0"/>
                  </w:tcBorders>
                  <w:vAlign w:val="center"/>
                </w:tcPr>
                <w:p w14:paraId="52D7DF83">
                  <w:pPr>
                    <w:pStyle w:val="65"/>
                    <w:rPr>
                      <w:b/>
                      <w:bCs/>
                      <w:color w:val="auto"/>
                    </w:rPr>
                  </w:pPr>
                </w:p>
              </w:tc>
              <w:tc>
                <w:tcPr>
                  <w:tcW w:w="967" w:type="pct"/>
                  <w:tcBorders>
                    <w:top w:val="single" w:color="auto" w:sz="4" w:space="0"/>
                    <w:left w:val="nil"/>
                    <w:bottom w:val="single" w:color="auto" w:sz="4" w:space="0"/>
                    <w:right w:val="single" w:color="auto" w:sz="4" w:space="0"/>
                  </w:tcBorders>
                  <w:vAlign w:val="center"/>
                </w:tcPr>
                <w:p w14:paraId="3EA67FB4">
                  <w:pPr>
                    <w:pStyle w:val="65"/>
                    <w:rPr>
                      <w:color w:val="auto"/>
                    </w:rPr>
                  </w:pPr>
                  <w:r>
                    <w:rPr>
                      <w:color w:val="auto"/>
                    </w:rPr>
                    <w:t>2026.01.13</w:t>
                  </w:r>
                </w:p>
              </w:tc>
              <w:tc>
                <w:tcPr>
                  <w:tcW w:w="888" w:type="pct"/>
                  <w:tcBorders>
                    <w:top w:val="single" w:color="auto" w:sz="4" w:space="0"/>
                    <w:left w:val="nil"/>
                    <w:bottom w:val="single" w:color="auto" w:sz="4" w:space="0"/>
                    <w:right w:val="single" w:color="auto" w:sz="4" w:space="0"/>
                  </w:tcBorders>
                  <w:vAlign w:val="center"/>
                </w:tcPr>
                <w:p w14:paraId="147DF170">
                  <w:pPr>
                    <w:pStyle w:val="65"/>
                    <w:rPr>
                      <w:color w:val="auto"/>
                    </w:rPr>
                  </w:pPr>
                  <w:r>
                    <w:rPr>
                      <w:color w:val="auto"/>
                    </w:rPr>
                    <w:t>00:15-23:45</w:t>
                  </w:r>
                </w:p>
              </w:tc>
              <w:tc>
                <w:tcPr>
                  <w:tcW w:w="751" w:type="pct"/>
                  <w:tcBorders>
                    <w:top w:val="single" w:color="auto" w:sz="4" w:space="0"/>
                    <w:left w:val="nil"/>
                    <w:bottom w:val="single" w:color="auto" w:sz="4" w:space="0"/>
                    <w:right w:val="single" w:color="auto" w:sz="4" w:space="0"/>
                  </w:tcBorders>
                  <w:vAlign w:val="center"/>
                </w:tcPr>
                <w:p w14:paraId="3EA40F62">
                  <w:pPr>
                    <w:pStyle w:val="65"/>
                    <w:rPr>
                      <w:color w:val="auto"/>
                    </w:rPr>
                  </w:pPr>
                  <w:r>
                    <w:rPr>
                      <w:color w:val="auto"/>
                    </w:rPr>
                    <w:t>0.42</w:t>
                  </w:r>
                  <w:r>
                    <w:rPr>
                      <w:rFonts w:hint="eastAsia"/>
                      <w:color w:val="auto"/>
                    </w:rPr>
                    <w:t>mg/m</w:t>
                  </w:r>
                  <w:r>
                    <w:rPr>
                      <w:rFonts w:hint="eastAsia"/>
                      <w:color w:val="auto"/>
                      <w:vertAlign w:val="superscript"/>
                    </w:rPr>
                    <w:t>3</w:t>
                  </w:r>
                </w:p>
              </w:tc>
              <w:tc>
                <w:tcPr>
                  <w:tcW w:w="830" w:type="pct"/>
                  <w:vMerge w:val="continue"/>
                  <w:tcBorders>
                    <w:left w:val="nil"/>
                    <w:right w:val="single" w:color="auto" w:sz="4" w:space="0"/>
                  </w:tcBorders>
                  <w:noWrap/>
                  <w:vAlign w:val="center"/>
                </w:tcPr>
                <w:p w14:paraId="36EEF732">
                  <w:pPr>
                    <w:pStyle w:val="65"/>
                    <w:rPr>
                      <w:b/>
                      <w:bCs/>
                      <w:color w:val="auto"/>
                    </w:rPr>
                  </w:pPr>
                </w:p>
              </w:tc>
              <w:tc>
                <w:tcPr>
                  <w:tcW w:w="828" w:type="pct"/>
                  <w:tcBorders>
                    <w:top w:val="single" w:color="auto" w:sz="4" w:space="0"/>
                    <w:left w:val="nil"/>
                    <w:bottom w:val="single" w:color="auto" w:sz="4" w:space="0"/>
                    <w:right w:val="single" w:color="auto" w:sz="4" w:space="0"/>
                  </w:tcBorders>
                  <w:noWrap/>
                  <w:vAlign w:val="center"/>
                </w:tcPr>
                <w:p w14:paraId="088E15C7">
                  <w:pPr>
                    <w:pStyle w:val="65"/>
                    <w:rPr>
                      <w:color w:val="auto"/>
                    </w:rPr>
                  </w:pPr>
                  <w:r>
                    <w:rPr>
                      <w:rFonts w:hint="eastAsia"/>
                      <w:color w:val="auto"/>
                    </w:rPr>
                    <w:t>达标</w:t>
                  </w:r>
                </w:p>
              </w:tc>
            </w:tr>
            <w:tr w14:paraId="34507EC9">
              <w:tblPrEx>
                <w:tblCellMar>
                  <w:top w:w="0" w:type="dxa"/>
                  <w:left w:w="108" w:type="dxa"/>
                  <w:bottom w:w="0" w:type="dxa"/>
                  <w:right w:w="108" w:type="dxa"/>
                </w:tblCellMar>
              </w:tblPrEx>
              <w:trPr>
                <w:trHeight w:val="454" w:hRule="atLeast"/>
              </w:trPr>
              <w:tc>
                <w:tcPr>
                  <w:tcW w:w="736" w:type="pct"/>
                  <w:vMerge w:val="continue"/>
                  <w:tcBorders>
                    <w:left w:val="single" w:color="auto" w:sz="4" w:space="0"/>
                    <w:bottom w:val="single" w:color="auto" w:sz="4" w:space="0"/>
                    <w:right w:val="single" w:color="auto" w:sz="4" w:space="0"/>
                  </w:tcBorders>
                  <w:vAlign w:val="center"/>
                </w:tcPr>
                <w:p w14:paraId="618B2841">
                  <w:pPr>
                    <w:pStyle w:val="65"/>
                    <w:rPr>
                      <w:b/>
                      <w:bCs/>
                      <w:color w:val="auto"/>
                    </w:rPr>
                  </w:pPr>
                </w:p>
              </w:tc>
              <w:tc>
                <w:tcPr>
                  <w:tcW w:w="967" w:type="pct"/>
                  <w:tcBorders>
                    <w:top w:val="single" w:color="auto" w:sz="4" w:space="0"/>
                    <w:left w:val="nil"/>
                    <w:bottom w:val="single" w:color="auto" w:sz="4" w:space="0"/>
                    <w:right w:val="single" w:color="auto" w:sz="4" w:space="0"/>
                  </w:tcBorders>
                  <w:vAlign w:val="center"/>
                </w:tcPr>
                <w:p w14:paraId="32941E41">
                  <w:pPr>
                    <w:pStyle w:val="65"/>
                    <w:rPr>
                      <w:color w:val="auto"/>
                    </w:rPr>
                  </w:pPr>
                  <w:r>
                    <w:rPr>
                      <w:color w:val="auto"/>
                    </w:rPr>
                    <w:t xml:space="preserve">2026.01.14 </w:t>
                  </w:r>
                </w:p>
              </w:tc>
              <w:tc>
                <w:tcPr>
                  <w:tcW w:w="888" w:type="pct"/>
                  <w:tcBorders>
                    <w:top w:val="single" w:color="auto" w:sz="4" w:space="0"/>
                    <w:left w:val="nil"/>
                    <w:bottom w:val="single" w:color="auto" w:sz="4" w:space="0"/>
                    <w:right w:val="single" w:color="auto" w:sz="4" w:space="0"/>
                  </w:tcBorders>
                  <w:vAlign w:val="center"/>
                </w:tcPr>
                <w:p w14:paraId="775978E1">
                  <w:pPr>
                    <w:pStyle w:val="65"/>
                    <w:rPr>
                      <w:color w:val="auto"/>
                    </w:rPr>
                  </w:pPr>
                  <w:r>
                    <w:rPr>
                      <w:color w:val="auto"/>
                    </w:rPr>
                    <w:t>00:15-23:45</w:t>
                  </w:r>
                </w:p>
              </w:tc>
              <w:tc>
                <w:tcPr>
                  <w:tcW w:w="751" w:type="pct"/>
                  <w:tcBorders>
                    <w:top w:val="single" w:color="auto" w:sz="4" w:space="0"/>
                    <w:left w:val="nil"/>
                    <w:bottom w:val="single" w:color="auto" w:sz="4" w:space="0"/>
                    <w:right w:val="single" w:color="auto" w:sz="4" w:space="0"/>
                  </w:tcBorders>
                  <w:vAlign w:val="center"/>
                </w:tcPr>
                <w:p w14:paraId="3E7F44B4">
                  <w:pPr>
                    <w:pStyle w:val="65"/>
                    <w:rPr>
                      <w:color w:val="auto"/>
                    </w:rPr>
                  </w:pPr>
                  <w:r>
                    <w:rPr>
                      <w:color w:val="auto"/>
                    </w:rPr>
                    <w:t>0.40</w:t>
                  </w:r>
                  <w:r>
                    <w:rPr>
                      <w:rFonts w:hint="eastAsia"/>
                      <w:color w:val="auto"/>
                    </w:rPr>
                    <w:t>mg/m</w:t>
                  </w:r>
                  <w:r>
                    <w:rPr>
                      <w:rFonts w:hint="eastAsia"/>
                      <w:color w:val="auto"/>
                      <w:vertAlign w:val="superscript"/>
                    </w:rPr>
                    <w:t>3</w:t>
                  </w:r>
                </w:p>
              </w:tc>
              <w:tc>
                <w:tcPr>
                  <w:tcW w:w="830" w:type="pct"/>
                  <w:vMerge w:val="continue"/>
                  <w:tcBorders>
                    <w:left w:val="nil"/>
                    <w:bottom w:val="single" w:color="auto" w:sz="4" w:space="0"/>
                    <w:right w:val="single" w:color="auto" w:sz="4" w:space="0"/>
                  </w:tcBorders>
                  <w:noWrap/>
                  <w:vAlign w:val="center"/>
                </w:tcPr>
                <w:p w14:paraId="337B75B3">
                  <w:pPr>
                    <w:pStyle w:val="65"/>
                    <w:rPr>
                      <w:b/>
                      <w:bCs/>
                      <w:color w:val="auto"/>
                    </w:rPr>
                  </w:pPr>
                </w:p>
              </w:tc>
              <w:tc>
                <w:tcPr>
                  <w:tcW w:w="828" w:type="pct"/>
                  <w:tcBorders>
                    <w:top w:val="single" w:color="auto" w:sz="4" w:space="0"/>
                    <w:left w:val="nil"/>
                    <w:bottom w:val="single" w:color="auto" w:sz="4" w:space="0"/>
                    <w:right w:val="single" w:color="auto" w:sz="4" w:space="0"/>
                  </w:tcBorders>
                  <w:noWrap/>
                  <w:vAlign w:val="center"/>
                </w:tcPr>
                <w:p w14:paraId="225F125F">
                  <w:pPr>
                    <w:pStyle w:val="65"/>
                    <w:rPr>
                      <w:color w:val="auto"/>
                    </w:rPr>
                  </w:pPr>
                  <w:r>
                    <w:rPr>
                      <w:rFonts w:hint="eastAsia"/>
                      <w:color w:val="auto"/>
                    </w:rPr>
                    <w:t>达标</w:t>
                  </w:r>
                </w:p>
              </w:tc>
            </w:tr>
          </w:tbl>
          <w:p w14:paraId="75BB2088">
            <w:pPr>
              <w:pStyle w:val="40"/>
              <w:spacing w:after="0"/>
              <w:ind w:left="0" w:leftChars="0" w:firstLine="480"/>
              <w:rPr>
                <w:color w:val="auto"/>
                <w:szCs w:val="32"/>
              </w:rPr>
            </w:pPr>
            <w:r>
              <w:rPr>
                <w:color w:val="auto"/>
                <w:szCs w:val="32"/>
              </w:rPr>
              <w:t>根据以上检测结果，</w:t>
            </w:r>
            <w:r>
              <w:rPr>
                <w:rFonts w:hint="eastAsia"/>
                <w:color w:val="auto"/>
                <w:szCs w:val="32"/>
              </w:rPr>
              <w:t>云南无量山国家级自然保护区环境空气</w:t>
            </w:r>
            <w:r>
              <w:rPr>
                <w:color w:val="auto"/>
                <w:szCs w:val="32"/>
              </w:rPr>
              <w:t>质量现状能够满足《环境空气质量标准》</w:t>
            </w:r>
            <w:r>
              <w:rPr>
                <w:rFonts w:hint="eastAsia"/>
                <w:color w:val="auto"/>
                <w:szCs w:val="32"/>
              </w:rPr>
              <w:t>（</w:t>
            </w:r>
            <w:r>
              <w:rPr>
                <w:color w:val="auto"/>
                <w:szCs w:val="32"/>
              </w:rPr>
              <w:t>GB 3095-2012</w:t>
            </w:r>
            <w:r>
              <w:rPr>
                <w:rFonts w:hint="eastAsia"/>
                <w:color w:val="auto"/>
                <w:szCs w:val="32"/>
              </w:rPr>
              <w:t>）一</w:t>
            </w:r>
            <w:r>
              <w:rPr>
                <w:color w:val="auto"/>
                <w:szCs w:val="32"/>
              </w:rPr>
              <w:t>级标准。</w:t>
            </w:r>
          </w:p>
          <w:p w14:paraId="06D46AB6">
            <w:pPr>
              <w:ind w:firstLine="480"/>
              <w:rPr>
                <w:color w:val="auto"/>
              </w:rPr>
            </w:pPr>
            <w:r>
              <w:rPr>
                <w:color w:val="auto"/>
              </w:rPr>
              <w:t>项目区域属于农村地区，无大型工矿企业分布，其周边无空气污染源，因此项目环境空气质量现状能够满足《环境空气质量标准》</w:t>
            </w:r>
            <w:r>
              <w:rPr>
                <w:rFonts w:hint="eastAsia"/>
                <w:color w:val="auto"/>
              </w:rPr>
              <w:t>（</w:t>
            </w:r>
            <w:r>
              <w:rPr>
                <w:color w:val="auto"/>
              </w:rPr>
              <w:t>GB 3095-2012</w:t>
            </w:r>
            <w:r>
              <w:rPr>
                <w:rFonts w:hint="eastAsia"/>
                <w:color w:val="auto"/>
              </w:rPr>
              <w:t>）</w:t>
            </w:r>
            <w:r>
              <w:rPr>
                <w:color w:val="auto"/>
              </w:rPr>
              <w:t>二级标准；</w:t>
            </w:r>
            <w:r>
              <w:rPr>
                <w:rFonts w:hint="eastAsia"/>
                <w:color w:val="auto"/>
                <w:szCs w:val="32"/>
              </w:rPr>
              <w:t>云南无量山国家级自然保护区环境空气</w:t>
            </w:r>
            <w:r>
              <w:rPr>
                <w:color w:val="auto"/>
                <w:szCs w:val="32"/>
              </w:rPr>
              <w:t>质量现状能够满足《环境空气质量标准》</w:t>
            </w:r>
            <w:r>
              <w:rPr>
                <w:rFonts w:hint="eastAsia"/>
                <w:color w:val="auto"/>
                <w:szCs w:val="32"/>
              </w:rPr>
              <w:t>（</w:t>
            </w:r>
            <w:r>
              <w:rPr>
                <w:color w:val="auto"/>
                <w:szCs w:val="32"/>
              </w:rPr>
              <w:t>GB 3095-2012</w:t>
            </w:r>
            <w:r>
              <w:rPr>
                <w:rFonts w:hint="eastAsia"/>
                <w:color w:val="auto"/>
                <w:szCs w:val="32"/>
              </w:rPr>
              <w:t>）一</w:t>
            </w:r>
            <w:r>
              <w:rPr>
                <w:color w:val="auto"/>
                <w:szCs w:val="32"/>
              </w:rPr>
              <w:t>级标准。</w:t>
            </w:r>
          </w:p>
          <w:p w14:paraId="1E0E6D95">
            <w:pPr>
              <w:pStyle w:val="4"/>
              <w:spacing w:before="48" w:after="48"/>
              <w:rPr>
                <w:color w:val="auto"/>
              </w:rPr>
            </w:pPr>
            <w:bookmarkStart w:id="663" w:name="_Toc112165630"/>
            <w:bookmarkStart w:id="664" w:name="_Toc112173925"/>
            <w:bookmarkStart w:id="665" w:name="_Toc160730881"/>
            <w:bookmarkStart w:id="666" w:name="_Toc136794320"/>
            <w:bookmarkStart w:id="667" w:name="_Toc159349032"/>
            <w:bookmarkStart w:id="668" w:name="_Toc156137843"/>
            <w:bookmarkStart w:id="669" w:name="_Toc156144157"/>
            <w:bookmarkStart w:id="670" w:name="_Toc13914"/>
            <w:bookmarkStart w:id="671" w:name="_Toc112424267"/>
            <w:bookmarkStart w:id="672" w:name="_Toc28022"/>
            <w:bookmarkStart w:id="673" w:name="_Toc160473805"/>
            <w:bookmarkStart w:id="674" w:name="_Toc161415559"/>
            <w:bookmarkStart w:id="675" w:name="_Toc136794195"/>
            <w:bookmarkStart w:id="676" w:name="_Toc158491264"/>
            <w:r>
              <w:rPr>
                <w:rFonts w:hint="eastAsia"/>
                <w:color w:val="auto"/>
              </w:rPr>
              <w:t>声环境质量现状</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2A8EC013">
            <w:pPr>
              <w:ind w:firstLine="480"/>
              <w:rPr>
                <w:color w:val="auto"/>
              </w:rPr>
            </w:pPr>
            <w:r>
              <w:rPr>
                <w:rFonts w:hint="eastAsia"/>
                <w:color w:val="auto"/>
              </w:rPr>
              <w:t>该项目所在区域为农村区域，为声环境功能</w:t>
            </w:r>
            <w:r>
              <w:rPr>
                <w:color w:val="auto"/>
              </w:rPr>
              <w:t>1</w:t>
            </w:r>
            <w:r>
              <w:rPr>
                <w:rFonts w:hint="eastAsia"/>
                <w:color w:val="auto"/>
              </w:rPr>
              <w:t>类区，声环境执行《声环境质量标准》（</w:t>
            </w:r>
            <w:r>
              <w:rPr>
                <w:color w:val="auto"/>
              </w:rPr>
              <w:t>GB 3096-2008</w:t>
            </w:r>
            <w:r>
              <w:rPr>
                <w:rFonts w:hint="eastAsia"/>
                <w:color w:val="auto"/>
              </w:rPr>
              <w:t>）</w:t>
            </w:r>
            <w:r>
              <w:rPr>
                <w:color w:val="auto"/>
              </w:rPr>
              <w:t>1</w:t>
            </w:r>
            <w:r>
              <w:rPr>
                <w:rFonts w:hint="eastAsia"/>
                <w:color w:val="auto"/>
              </w:rPr>
              <w:t>类标准。</w:t>
            </w:r>
          </w:p>
          <w:p w14:paraId="416B75AA">
            <w:pPr>
              <w:ind w:firstLine="480"/>
              <w:rPr>
                <w:color w:val="auto"/>
              </w:rPr>
            </w:pPr>
            <w:r>
              <w:rPr>
                <w:color w:val="auto"/>
              </w:rPr>
              <w:t>202</w:t>
            </w:r>
            <w:r>
              <w:rPr>
                <w:rFonts w:hint="eastAsia"/>
                <w:color w:val="auto"/>
              </w:rPr>
              <w:t>5年12月23日</w:t>
            </w:r>
            <w:r>
              <w:rPr>
                <w:color w:val="auto"/>
              </w:rPr>
              <w:t>~</w:t>
            </w:r>
            <w:r>
              <w:rPr>
                <w:rFonts w:hint="eastAsia"/>
                <w:color w:val="auto"/>
              </w:rPr>
              <w:t>25日，中国能源建设集团云南省电力设计院有限公司委托云南科环环境工程咨询有限公司对项目厂界以及选取了具有代表性的敏感点开展了声环境现状监测。</w:t>
            </w:r>
          </w:p>
          <w:p w14:paraId="528DCFA7">
            <w:pPr>
              <w:ind w:firstLine="482"/>
              <w:rPr>
                <w:b/>
                <w:color w:val="auto"/>
              </w:rPr>
            </w:pPr>
            <w:r>
              <w:rPr>
                <w:rFonts w:hint="eastAsia"/>
                <w:b/>
                <w:color w:val="auto"/>
              </w:rPr>
              <w:t>（</w:t>
            </w:r>
            <w:r>
              <w:rPr>
                <w:b/>
                <w:color w:val="auto"/>
              </w:rPr>
              <w:t>1</w:t>
            </w:r>
            <w:r>
              <w:rPr>
                <w:rFonts w:hint="eastAsia"/>
                <w:b/>
                <w:color w:val="auto"/>
              </w:rPr>
              <w:t>）监测点位</w:t>
            </w:r>
          </w:p>
          <w:p w14:paraId="25640BCB">
            <w:pPr>
              <w:ind w:firstLine="480"/>
              <w:rPr>
                <w:color w:val="auto"/>
              </w:rPr>
            </w:pPr>
            <w:r>
              <w:rPr>
                <w:rFonts w:hint="eastAsia"/>
                <w:color w:val="auto"/>
              </w:rPr>
              <w:t>声环境监测点位布设10个，本次环评现状监测主要针对光伏方阵厂界及周边200m范围内的敏感点，具体如下表。</w:t>
            </w:r>
          </w:p>
          <w:p w14:paraId="0A252139">
            <w:pPr>
              <w:pStyle w:val="63"/>
              <w:ind w:firstLine="480"/>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7</w:t>
            </w:r>
            <w:r>
              <w:rPr>
                <w:color w:val="auto"/>
              </w:rPr>
              <w:fldChar w:fldCharType="end"/>
            </w:r>
            <w:r>
              <w:rPr>
                <w:color w:val="auto"/>
              </w:rPr>
              <w:t xml:space="preserve">  </w:t>
            </w:r>
            <w:r>
              <w:rPr>
                <w:rFonts w:hint="eastAsia"/>
                <w:color w:val="auto"/>
              </w:rPr>
              <w:t>声环境现状监测点位表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2479"/>
              <w:gridCol w:w="1750"/>
              <w:gridCol w:w="1566"/>
            </w:tblGrid>
            <w:tr w14:paraId="57A3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307" w:type="pct"/>
                  <w:tcBorders>
                    <w:top w:val="single" w:color="auto" w:sz="4" w:space="0"/>
                    <w:left w:val="single" w:color="auto" w:sz="4" w:space="0"/>
                    <w:bottom w:val="single" w:color="auto" w:sz="4" w:space="0"/>
                    <w:right w:val="single" w:color="auto" w:sz="4" w:space="0"/>
                  </w:tcBorders>
                  <w:vAlign w:val="center"/>
                </w:tcPr>
                <w:p w14:paraId="4D783D35">
                  <w:pPr>
                    <w:pStyle w:val="65"/>
                    <w:rPr>
                      <w:rFonts w:cs="Times New Roman"/>
                      <w:b/>
                      <w:bCs/>
                      <w:color w:val="auto"/>
                      <w:szCs w:val="21"/>
                    </w:rPr>
                  </w:pPr>
                  <w:bookmarkStart w:id="677" w:name="_Hlk181640846"/>
                  <w:bookmarkStart w:id="678" w:name="_Hlk181639635"/>
                  <w:bookmarkStart w:id="679" w:name="_Hlk195864234"/>
                  <w:r>
                    <w:rPr>
                      <w:rFonts w:cs="Times New Roman"/>
                      <w:b/>
                      <w:bCs/>
                      <w:color w:val="auto"/>
                      <w:szCs w:val="21"/>
                    </w:rPr>
                    <w:t>点位名称</w:t>
                  </w:r>
                </w:p>
              </w:tc>
              <w:tc>
                <w:tcPr>
                  <w:tcW w:w="1580" w:type="pct"/>
                  <w:tcBorders>
                    <w:top w:val="single" w:color="auto" w:sz="4" w:space="0"/>
                    <w:left w:val="single" w:color="auto" w:sz="4" w:space="0"/>
                    <w:bottom w:val="single" w:color="auto" w:sz="4" w:space="0"/>
                    <w:right w:val="single" w:color="auto" w:sz="4" w:space="0"/>
                  </w:tcBorders>
                  <w:vAlign w:val="center"/>
                </w:tcPr>
                <w:p w14:paraId="18D0E842">
                  <w:pPr>
                    <w:pStyle w:val="65"/>
                    <w:rPr>
                      <w:rFonts w:cs="Times New Roman"/>
                      <w:b/>
                      <w:bCs/>
                      <w:color w:val="auto"/>
                      <w:szCs w:val="21"/>
                    </w:rPr>
                  </w:pPr>
                  <w:r>
                    <w:rPr>
                      <w:rFonts w:cs="Times New Roman"/>
                      <w:b/>
                      <w:bCs/>
                      <w:color w:val="auto"/>
                      <w:szCs w:val="21"/>
                    </w:rPr>
                    <w:t>工程位置</w:t>
                  </w:r>
                </w:p>
              </w:tc>
              <w:tc>
                <w:tcPr>
                  <w:tcW w:w="1115" w:type="pct"/>
                  <w:tcBorders>
                    <w:top w:val="single" w:color="auto" w:sz="4" w:space="0"/>
                    <w:left w:val="single" w:color="auto" w:sz="4" w:space="0"/>
                    <w:bottom w:val="single" w:color="auto" w:sz="4" w:space="0"/>
                    <w:right w:val="single" w:color="auto" w:sz="4" w:space="0"/>
                  </w:tcBorders>
                  <w:vAlign w:val="center"/>
                </w:tcPr>
                <w:p w14:paraId="216AE2D4">
                  <w:pPr>
                    <w:pStyle w:val="65"/>
                    <w:rPr>
                      <w:rFonts w:cs="Times New Roman"/>
                      <w:b/>
                      <w:bCs/>
                      <w:color w:val="auto"/>
                      <w:szCs w:val="21"/>
                    </w:rPr>
                  </w:pPr>
                  <w:r>
                    <w:rPr>
                      <w:rFonts w:cs="Times New Roman"/>
                      <w:b/>
                      <w:bCs/>
                      <w:color w:val="auto"/>
                      <w:szCs w:val="21"/>
                    </w:rPr>
                    <w:t>纬度</w:t>
                  </w:r>
                </w:p>
              </w:tc>
              <w:tc>
                <w:tcPr>
                  <w:tcW w:w="998" w:type="pct"/>
                  <w:tcBorders>
                    <w:top w:val="single" w:color="auto" w:sz="4" w:space="0"/>
                    <w:left w:val="single" w:color="auto" w:sz="4" w:space="0"/>
                    <w:bottom w:val="single" w:color="auto" w:sz="4" w:space="0"/>
                    <w:right w:val="single" w:color="auto" w:sz="4" w:space="0"/>
                  </w:tcBorders>
                  <w:vAlign w:val="center"/>
                </w:tcPr>
                <w:p w14:paraId="1C8C90FF">
                  <w:pPr>
                    <w:pStyle w:val="65"/>
                    <w:rPr>
                      <w:rFonts w:cs="Times New Roman"/>
                      <w:b/>
                      <w:bCs/>
                      <w:color w:val="auto"/>
                      <w:szCs w:val="21"/>
                    </w:rPr>
                  </w:pPr>
                  <w:r>
                    <w:rPr>
                      <w:rFonts w:cs="Times New Roman"/>
                      <w:b/>
                      <w:bCs/>
                      <w:color w:val="auto"/>
                      <w:szCs w:val="21"/>
                    </w:rPr>
                    <w:t>经度</w:t>
                  </w:r>
                </w:p>
              </w:tc>
            </w:tr>
            <w:bookmarkEnd w:id="677"/>
            <w:bookmarkEnd w:id="678"/>
            <w:tr w14:paraId="126A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tcBorders>
                    <w:top w:val="single" w:color="auto" w:sz="4" w:space="0"/>
                    <w:left w:val="single" w:color="auto" w:sz="4" w:space="0"/>
                    <w:bottom w:val="single" w:color="auto" w:sz="4" w:space="0"/>
                    <w:right w:val="single" w:color="auto" w:sz="4" w:space="0"/>
                  </w:tcBorders>
                  <w:vAlign w:val="center"/>
                </w:tcPr>
                <w:p w14:paraId="2CDC51FE">
                  <w:pPr>
                    <w:pStyle w:val="65"/>
                    <w:rPr>
                      <w:rFonts w:cs="Times New Roman"/>
                      <w:color w:val="auto"/>
                      <w:szCs w:val="21"/>
                    </w:rPr>
                  </w:pPr>
                  <w:r>
                    <w:rPr>
                      <w:rFonts w:cs="Times New Roman"/>
                      <w:color w:val="auto"/>
                      <w:szCs w:val="21"/>
                    </w:rPr>
                    <w:t>旧村（西侧厂界）</w:t>
                  </w:r>
                </w:p>
              </w:tc>
              <w:tc>
                <w:tcPr>
                  <w:tcW w:w="1580" w:type="pct"/>
                  <w:tcBorders>
                    <w:top w:val="single" w:color="auto" w:sz="4" w:space="0"/>
                    <w:left w:val="single" w:color="auto" w:sz="4" w:space="0"/>
                    <w:bottom w:val="single" w:color="auto" w:sz="4" w:space="0"/>
                    <w:right w:val="single" w:color="auto" w:sz="4" w:space="0"/>
                  </w:tcBorders>
                  <w:vAlign w:val="center"/>
                </w:tcPr>
                <w:p w14:paraId="1B424402">
                  <w:pPr>
                    <w:pStyle w:val="65"/>
                    <w:rPr>
                      <w:rFonts w:cs="Times New Roman"/>
                      <w:color w:val="auto"/>
                      <w:szCs w:val="21"/>
                    </w:rPr>
                  </w:pPr>
                  <w:r>
                    <w:rPr>
                      <w:rFonts w:cs="Times New Roman"/>
                      <w:color w:val="auto"/>
                      <w:szCs w:val="21"/>
                    </w:rPr>
                    <w:t>方阵S03南侧154m</w:t>
                  </w:r>
                </w:p>
              </w:tc>
              <w:tc>
                <w:tcPr>
                  <w:tcW w:w="1115" w:type="pct"/>
                  <w:tcBorders>
                    <w:top w:val="single" w:color="auto" w:sz="4" w:space="0"/>
                    <w:left w:val="single" w:color="auto" w:sz="4" w:space="0"/>
                    <w:bottom w:val="single" w:color="auto" w:sz="4" w:space="0"/>
                    <w:right w:val="single" w:color="auto" w:sz="4" w:space="0"/>
                  </w:tcBorders>
                  <w:noWrap/>
                  <w:vAlign w:val="center"/>
                </w:tcPr>
                <w:p w14:paraId="5837C62F">
                  <w:pPr>
                    <w:pStyle w:val="65"/>
                    <w:rPr>
                      <w:rFonts w:cs="Times New Roman"/>
                      <w:color w:val="auto"/>
                    </w:rPr>
                  </w:pPr>
                  <w:r>
                    <w:rPr>
                      <w:rFonts w:cs="Times New Roman"/>
                      <w:color w:val="auto"/>
                    </w:rPr>
                    <w:t>100°26′21.175″</w:t>
                  </w:r>
                </w:p>
              </w:tc>
              <w:tc>
                <w:tcPr>
                  <w:tcW w:w="998" w:type="pct"/>
                  <w:tcBorders>
                    <w:top w:val="single" w:color="auto" w:sz="4" w:space="0"/>
                    <w:left w:val="single" w:color="auto" w:sz="4" w:space="0"/>
                    <w:bottom w:val="single" w:color="auto" w:sz="4" w:space="0"/>
                    <w:right w:val="single" w:color="auto" w:sz="4" w:space="0"/>
                  </w:tcBorders>
                  <w:noWrap/>
                  <w:vAlign w:val="center"/>
                </w:tcPr>
                <w:p w14:paraId="6EBAE186">
                  <w:pPr>
                    <w:pStyle w:val="65"/>
                    <w:rPr>
                      <w:rFonts w:cs="Times New Roman"/>
                      <w:color w:val="auto"/>
                    </w:rPr>
                  </w:pPr>
                  <w:r>
                    <w:rPr>
                      <w:rFonts w:cs="Times New Roman"/>
                      <w:color w:val="auto"/>
                    </w:rPr>
                    <w:t>24°46′44.279″</w:t>
                  </w:r>
                </w:p>
              </w:tc>
            </w:tr>
            <w:tr w14:paraId="1A70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tcBorders>
                    <w:top w:val="single" w:color="auto" w:sz="4" w:space="0"/>
                    <w:left w:val="single" w:color="auto" w:sz="4" w:space="0"/>
                    <w:bottom w:val="single" w:color="auto" w:sz="4" w:space="0"/>
                    <w:right w:val="single" w:color="auto" w:sz="4" w:space="0"/>
                  </w:tcBorders>
                  <w:vAlign w:val="center"/>
                </w:tcPr>
                <w:p w14:paraId="2273915B">
                  <w:pPr>
                    <w:pStyle w:val="65"/>
                    <w:rPr>
                      <w:rFonts w:cs="Times New Roman"/>
                      <w:color w:val="auto"/>
                      <w:szCs w:val="21"/>
                    </w:rPr>
                  </w:pPr>
                  <w:bookmarkStart w:id="680" w:name="_Hlk181639624"/>
                  <w:r>
                    <w:rPr>
                      <w:rFonts w:cs="Times New Roman"/>
                      <w:color w:val="auto"/>
                      <w:szCs w:val="21"/>
                    </w:rPr>
                    <w:t>蚂蟥箐（北侧厂界）</w:t>
                  </w:r>
                </w:p>
              </w:tc>
              <w:tc>
                <w:tcPr>
                  <w:tcW w:w="1580" w:type="pct"/>
                  <w:tcBorders>
                    <w:top w:val="single" w:color="auto" w:sz="4" w:space="0"/>
                    <w:left w:val="single" w:color="auto" w:sz="4" w:space="0"/>
                    <w:bottom w:val="single" w:color="auto" w:sz="4" w:space="0"/>
                    <w:right w:val="single" w:color="auto" w:sz="4" w:space="0"/>
                  </w:tcBorders>
                  <w:vAlign w:val="center"/>
                </w:tcPr>
                <w:p w14:paraId="469C2195">
                  <w:pPr>
                    <w:pStyle w:val="65"/>
                    <w:rPr>
                      <w:rFonts w:cs="Times New Roman"/>
                      <w:color w:val="auto"/>
                      <w:szCs w:val="21"/>
                    </w:rPr>
                  </w:pPr>
                  <w:r>
                    <w:rPr>
                      <w:rFonts w:cs="Times New Roman"/>
                      <w:color w:val="auto"/>
                      <w:szCs w:val="21"/>
                    </w:rPr>
                    <w:t>方阵S10东侧4米</w:t>
                  </w:r>
                </w:p>
              </w:tc>
              <w:tc>
                <w:tcPr>
                  <w:tcW w:w="1115" w:type="pct"/>
                  <w:tcBorders>
                    <w:top w:val="single" w:color="auto" w:sz="4" w:space="0"/>
                    <w:left w:val="single" w:color="auto" w:sz="4" w:space="0"/>
                    <w:bottom w:val="single" w:color="auto" w:sz="4" w:space="0"/>
                    <w:right w:val="single" w:color="auto" w:sz="4" w:space="0"/>
                  </w:tcBorders>
                  <w:noWrap/>
                  <w:vAlign w:val="center"/>
                </w:tcPr>
                <w:p w14:paraId="6EC11C94">
                  <w:pPr>
                    <w:pStyle w:val="65"/>
                    <w:rPr>
                      <w:rFonts w:cs="Times New Roman"/>
                      <w:color w:val="auto"/>
                    </w:rPr>
                  </w:pPr>
                  <w:r>
                    <w:rPr>
                      <w:rFonts w:cs="Times New Roman"/>
                      <w:color w:val="auto"/>
                    </w:rPr>
                    <w:t>100°27′10.193″</w:t>
                  </w:r>
                </w:p>
              </w:tc>
              <w:tc>
                <w:tcPr>
                  <w:tcW w:w="998" w:type="pct"/>
                  <w:tcBorders>
                    <w:top w:val="single" w:color="auto" w:sz="4" w:space="0"/>
                    <w:left w:val="single" w:color="auto" w:sz="4" w:space="0"/>
                    <w:bottom w:val="single" w:color="auto" w:sz="4" w:space="0"/>
                    <w:right w:val="single" w:color="auto" w:sz="4" w:space="0"/>
                  </w:tcBorders>
                  <w:noWrap/>
                  <w:vAlign w:val="center"/>
                </w:tcPr>
                <w:p w14:paraId="0172569A">
                  <w:pPr>
                    <w:pStyle w:val="65"/>
                    <w:rPr>
                      <w:rFonts w:cs="Times New Roman"/>
                      <w:color w:val="auto"/>
                    </w:rPr>
                  </w:pPr>
                  <w:r>
                    <w:rPr>
                      <w:rFonts w:cs="Times New Roman"/>
                      <w:color w:val="auto"/>
                    </w:rPr>
                    <w:t>24°47′3.758″</w:t>
                  </w:r>
                </w:p>
              </w:tc>
            </w:tr>
            <w:tr w14:paraId="2CF5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tcBorders>
                    <w:top w:val="single" w:color="auto" w:sz="4" w:space="0"/>
                    <w:left w:val="single" w:color="auto" w:sz="4" w:space="0"/>
                    <w:bottom w:val="single" w:color="auto" w:sz="4" w:space="0"/>
                    <w:right w:val="single" w:color="auto" w:sz="4" w:space="0"/>
                  </w:tcBorders>
                  <w:vAlign w:val="center"/>
                </w:tcPr>
                <w:p w14:paraId="2B71022A">
                  <w:pPr>
                    <w:pStyle w:val="65"/>
                    <w:rPr>
                      <w:rFonts w:cs="Times New Roman"/>
                      <w:color w:val="auto"/>
                      <w:szCs w:val="21"/>
                    </w:rPr>
                  </w:pPr>
                  <w:r>
                    <w:rPr>
                      <w:rFonts w:cs="Times New Roman"/>
                      <w:color w:val="auto"/>
                      <w:szCs w:val="21"/>
                    </w:rPr>
                    <w:t>包茂村</w:t>
                  </w:r>
                </w:p>
              </w:tc>
              <w:tc>
                <w:tcPr>
                  <w:tcW w:w="1580" w:type="pct"/>
                  <w:tcBorders>
                    <w:top w:val="single" w:color="auto" w:sz="4" w:space="0"/>
                    <w:left w:val="single" w:color="auto" w:sz="4" w:space="0"/>
                    <w:bottom w:val="single" w:color="auto" w:sz="4" w:space="0"/>
                    <w:right w:val="single" w:color="auto" w:sz="4" w:space="0"/>
                  </w:tcBorders>
                  <w:vAlign w:val="center"/>
                </w:tcPr>
                <w:p w14:paraId="296CCD31">
                  <w:pPr>
                    <w:pStyle w:val="65"/>
                    <w:rPr>
                      <w:rFonts w:cs="Times New Roman"/>
                      <w:color w:val="auto"/>
                    </w:rPr>
                  </w:pPr>
                  <w:r>
                    <w:rPr>
                      <w:rFonts w:cs="Times New Roman"/>
                      <w:color w:val="auto"/>
                      <w:szCs w:val="21"/>
                    </w:rPr>
                    <w:t>方阵S12西南侧8米</w:t>
                  </w:r>
                </w:p>
              </w:tc>
              <w:tc>
                <w:tcPr>
                  <w:tcW w:w="1115" w:type="pct"/>
                  <w:tcBorders>
                    <w:top w:val="single" w:color="auto" w:sz="4" w:space="0"/>
                    <w:left w:val="single" w:color="auto" w:sz="4" w:space="0"/>
                    <w:bottom w:val="single" w:color="auto" w:sz="4" w:space="0"/>
                    <w:right w:val="single" w:color="auto" w:sz="4" w:space="0"/>
                  </w:tcBorders>
                  <w:noWrap/>
                  <w:vAlign w:val="center"/>
                </w:tcPr>
                <w:p w14:paraId="4E0892AA">
                  <w:pPr>
                    <w:pStyle w:val="65"/>
                    <w:rPr>
                      <w:rFonts w:cs="Times New Roman"/>
                      <w:color w:val="auto"/>
                    </w:rPr>
                  </w:pPr>
                  <w:r>
                    <w:rPr>
                      <w:rFonts w:cs="Times New Roman"/>
                      <w:color w:val="auto"/>
                    </w:rPr>
                    <w:t>100°28′10.687″</w:t>
                  </w:r>
                </w:p>
              </w:tc>
              <w:tc>
                <w:tcPr>
                  <w:tcW w:w="998" w:type="pct"/>
                  <w:tcBorders>
                    <w:top w:val="single" w:color="auto" w:sz="4" w:space="0"/>
                    <w:left w:val="single" w:color="auto" w:sz="4" w:space="0"/>
                    <w:bottom w:val="single" w:color="auto" w:sz="4" w:space="0"/>
                    <w:right w:val="single" w:color="auto" w:sz="4" w:space="0"/>
                  </w:tcBorders>
                  <w:noWrap/>
                  <w:vAlign w:val="center"/>
                </w:tcPr>
                <w:p w14:paraId="39EF50A3">
                  <w:pPr>
                    <w:pStyle w:val="65"/>
                    <w:rPr>
                      <w:rFonts w:cs="Times New Roman"/>
                      <w:color w:val="auto"/>
                    </w:rPr>
                  </w:pPr>
                  <w:r>
                    <w:rPr>
                      <w:rFonts w:cs="Times New Roman"/>
                      <w:color w:val="auto"/>
                    </w:rPr>
                    <w:t>24°46′6.211″</w:t>
                  </w:r>
                </w:p>
              </w:tc>
            </w:tr>
            <w:tr w14:paraId="2FB6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tcBorders>
                    <w:top w:val="single" w:color="auto" w:sz="4" w:space="0"/>
                    <w:left w:val="single" w:color="auto" w:sz="4" w:space="0"/>
                    <w:bottom w:val="single" w:color="auto" w:sz="4" w:space="0"/>
                    <w:right w:val="single" w:color="auto" w:sz="4" w:space="0"/>
                  </w:tcBorders>
                  <w:vAlign w:val="center"/>
                </w:tcPr>
                <w:p w14:paraId="57706FEB">
                  <w:pPr>
                    <w:pStyle w:val="65"/>
                    <w:rPr>
                      <w:rFonts w:cs="Times New Roman"/>
                      <w:color w:val="auto"/>
                      <w:szCs w:val="21"/>
                    </w:rPr>
                  </w:pPr>
                  <w:r>
                    <w:rPr>
                      <w:rFonts w:cs="Times New Roman"/>
                      <w:color w:val="auto"/>
                      <w:szCs w:val="21"/>
                    </w:rPr>
                    <w:t>包茂村散户</w:t>
                  </w:r>
                </w:p>
              </w:tc>
              <w:tc>
                <w:tcPr>
                  <w:tcW w:w="1580" w:type="pct"/>
                  <w:tcBorders>
                    <w:top w:val="single" w:color="auto" w:sz="4" w:space="0"/>
                    <w:left w:val="single" w:color="auto" w:sz="4" w:space="0"/>
                    <w:bottom w:val="single" w:color="auto" w:sz="4" w:space="0"/>
                    <w:right w:val="single" w:color="auto" w:sz="4" w:space="0"/>
                  </w:tcBorders>
                  <w:vAlign w:val="center"/>
                </w:tcPr>
                <w:p w14:paraId="0F826483">
                  <w:pPr>
                    <w:pStyle w:val="65"/>
                    <w:rPr>
                      <w:rFonts w:cs="Times New Roman"/>
                      <w:color w:val="auto"/>
                    </w:rPr>
                  </w:pPr>
                  <w:r>
                    <w:rPr>
                      <w:rFonts w:cs="Times New Roman"/>
                      <w:color w:val="auto"/>
                      <w:szCs w:val="21"/>
                    </w:rPr>
                    <w:t>方阵S16中间，最近距离4米</w:t>
                  </w:r>
                </w:p>
              </w:tc>
              <w:tc>
                <w:tcPr>
                  <w:tcW w:w="1115" w:type="pct"/>
                  <w:tcBorders>
                    <w:top w:val="single" w:color="auto" w:sz="4" w:space="0"/>
                    <w:left w:val="single" w:color="auto" w:sz="4" w:space="0"/>
                    <w:bottom w:val="single" w:color="auto" w:sz="4" w:space="0"/>
                    <w:right w:val="single" w:color="auto" w:sz="4" w:space="0"/>
                  </w:tcBorders>
                  <w:noWrap/>
                  <w:vAlign w:val="center"/>
                </w:tcPr>
                <w:p w14:paraId="1856BCC6">
                  <w:pPr>
                    <w:pStyle w:val="65"/>
                    <w:rPr>
                      <w:rFonts w:cs="Times New Roman"/>
                      <w:color w:val="auto"/>
                    </w:rPr>
                  </w:pPr>
                  <w:r>
                    <w:rPr>
                      <w:rFonts w:cs="Times New Roman"/>
                      <w:color w:val="auto"/>
                    </w:rPr>
                    <w:t>100°28′43.344″</w:t>
                  </w:r>
                </w:p>
              </w:tc>
              <w:tc>
                <w:tcPr>
                  <w:tcW w:w="998" w:type="pct"/>
                  <w:tcBorders>
                    <w:top w:val="single" w:color="auto" w:sz="4" w:space="0"/>
                    <w:left w:val="single" w:color="auto" w:sz="4" w:space="0"/>
                    <w:bottom w:val="single" w:color="auto" w:sz="4" w:space="0"/>
                    <w:right w:val="single" w:color="auto" w:sz="4" w:space="0"/>
                  </w:tcBorders>
                  <w:noWrap/>
                  <w:vAlign w:val="center"/>
                </w:tcPr>
                <w:p w14:paraId="5294C0D6">
                  <w:pPr>
                    <w:pStyle w:val="65"/>
                    <w:rPr>
                      <w:rFonts w:cs="Times New Roman"/>
                      <w:color w:val="auto"/>
                    </w:rPr>
                  </w:pPr>
                  <w:r>
                    <w:rPr>
                      <w:rFonts w:cs="Times New Roman"/>
                      <w:color w:val="auto"/>
                    </w:rPr>
                    <w:t>24°46′19.809″</w:t>
                  </w:r>
                </w:p>
              </w:tc>
            </w:tr>
            <w:tr w14:paraId="7A1B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tcBorders>
                    <w:top w:val="single" w:color="auto" w:sz="4" w:space="0"/>
                    <w:left w:val="single" w:color="auto" w:sz="4" w:space="0"/>
                    <w:bottom w:val="single" w:color="auto" w:sz="4" w:space="0"/>
                    <w:right w:val="single" w:color="auto" w:sz="4" w:space="0"/>
                  </w:tcBorders>
                  <w:vAlign w:val="center"/>
                </w:tcPr>
                <w:p w14:paraId="75D5D172">
                  <w:pPr>
                    <w:pStyle w:val="65"/>
                    <w:rPr>
                      <w:rFonts w:cs="Times New Roman"/>
                      <w:color w:val="auto"/>
                      <w:szCs w:val="21"/>
                    </w:rPr>
                  </w:pPr>
                  <w:r>
                    <w:rPr>
                      <w:rFonts w:cs="Times New Roman"/>
                      <w:color w:val="auto"/>
                      <w:szCs w:val="21"/>
                    </w:rPr>
                    <w:t>大歇场</w:t>
                  </w:r>
                </w:p>
              </w:tc>
              <w:tc>
                <w:tcPr>
                  <w:tcW w:w="1580" w:type="pct"/>
                  <w:tcBorders>
                    <w:top w:val="single" w:color="auto" w:sz="4" w:space="0"/>
                    <w:left w:val="single" w:color="auto" w:sz="4" w:space="0"/>
                    <w:bottom w:val="single" w:color="auto" w:sz="4" w:space="0"/>
                    <w:right w:val="single" w:color="auto" w:sz="4" w:space="0"/>
                  </w:tcBorders>
                  <w:vAlign w:val="center"/>
                </w:tcPr>
                <w:p w14:paraId="26D0EED6">
                  <w:pPr>
                    <w:pStyle w:val="65"/>
                    <w:rPr>
                      <w:rFonts w:cs="Times New Roman"/>
                      <w:color w:val="auto"/>
                    </w:rPr>
                  </w:pPr>
                  <w:r>
                    <w:rPr>
                      <w:rFonts w:cs="Times New Roman"/>
                      <w:color w:val="auto"/>
                      <w:szCs w:val="21"/>
                    </w:rPr>
                    <w:t>方阵S17西侧4米</w:t>
                  </w:r>
                </w:p>
              </w:tc>
              <w:tc>
                <w:tcPr>
                  <w:tcW w:w="1115" w:type="pct"/>
                  <w:tcBorders>
                    <w:top w:val="single" w:color="auto" w:sz="4" w:space="0"/>
                    <w:left w:val="single" w:color="auto" w:sz="4" w:space="0"/>
                    <w:bottom w:val="single" w:color="auto" w:sz="4" w:space="0"/>
                    <w:right w:val="single" w:color="auto" w:sz="4" w:space="0"/>
                  </w:tcBorders>
                  <w:noWrap/>
                  <w:vAlign w:val="center"/>
                </w:tcPr>
                <w:p w14:paraId="38675B4A">
                  <w:pPr>
                    <w:pStyle w:val="65"/>
                    <w:rPr>
                      <w:rFonts w:cs="Times New Roman"/>
                      <w:color w:val="auto"/>
                    </w:rPr>
                  </w:pPr>
                  <w:r>
                    <w:rPr>
                      <w:rFonts w:cs="Times New Roman"/>
                      <w:color w:val="auto"/>
                    </w:rPr>
                    <w:t>100°29′3.87735″</w:t>
                  </w:r>
                </w:p>
              </w:tc>
              <w:tc>
                <w:tcPr>
                  <w:tcW w:w="998" w:type="pct"/>
                  <w:tcBorders>
                    <w:top w:val="single" w:color="auto" w:sz="4" w:space="0"/>
                    <w:left w:val="single" w:color="auto" w:sz="4" w:space="0"/>
                    <w:bottom w:val="single" w:color="auto" w:sz="4" w:space="0"/>
                    <w:right w:val="single" w:color="auto" w:sz="4" w:space="0"/>
                  </w:tcBorders>
                  <w:noWrap/>
                  <w:vAlign w:val="center"/>
                </w:tcPr>
                <w:p w14:paraId="7025EDA9">
                  <w:pPr>
                    <w:pStyle w:val="65"/>
                    <w:rPr>
                      <w:rFonts w:cs="Times New Roman"/>
                      <w:color w:val="auto"/>
                    </w:rPr>
                  </w:pPr>
                  <w:r>
                    <w:rPr>
                      <w:rFonts w:cs="Times New Roman"/>
                      <w:color w:val="auto"/>
                    </w:rPr>
                    <w:t>24°46′14.514″</w:t>
                  </w:r>
                </w:p>
              </w:tc>
            </w:tr>
            <w:tr w14:paraId="71D0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tcBorders>
                    <w:top w:val="single" w:color="auto" w:sz="4" w:space="0"/>
                    <w:left w:val="single" w:color="auto" w:sz="4" w:space="0"/>
                    <w:bottom w:val="single" w:color="auto" w:sz="4" w:space="0"/>
                    <w:right w:val="single" w:color="auto" w:sz="4" w:space="0"/>
                  </w:tcBorders>
                  <w:vAlign w:val="center"/>
                </w:tcPr>
                <w:p w14:paraId="09333A8E">
                  <w:pPr>
                    <w:pStyle w:val="65"/>
                    <w:rPr>
                      <w:rFonts w:cs="Times New Roman"/>
                      <w:color w:val="auto"/>
                      <w:szCs w:val="21"/>
                    </w:rPr>
                  </w:pPr>
                  <w:r>
                    <w:rPr>
                      <w:rFonts w:cs="Times New Roman"/>
                      <w:color w:val="auto"/>
                      <w:szCs w:val="21"/>
                    </w:rPr>
                    <w:t>下柏枝</w:t>
                  </w:r>
                </w:p>
              </w:tc>
              <w:tc>
                <w:tcPr>
                  <w:tcW w:w="1580" w:type="pct"/>
                  <w:tcBorders>
                    <w:top w:val="single" w:color="auto" w:sz="4" w:space="0"/>
                    <w:left w:val="single" w:color="auto" w:sz="4" w:space="0"/>
                    <w:bottom w:val="single" w:color="auto" w:sz="4" w:space="0"/>
                    <w:right w:val="single" w:color="auto" w:sz="4" w:space="0"/>
                  </w:tcBorders>
                  <w:vAlign w:val="center"/>
                </w:tcPr>
                <w:p w14:paraId="0D5A214C">
                  <w:pPr>
                    <w:pStyle w:val="65"/>
                    <w:rPr>
                      <w:rFonts w:cs="Times New Roman"/>
                      <w:color w:val="auto"/>
                    </w:rPr>
                  </w:pPr>
                  <w:r>
                    <w:rPr>
                      <w:rFonts w:cs="Times New Roman"/>
                      <w:color w:val="auto"/>
                      <w:szCs w:val="21"/>
                    </w:rPr>
                    <w:t>方阵S19北侧170米</w:t>
                  </w:r>
                </w:p>
              </w:tc>
              <w:tc>
                <w:tcPr>
                  <w:tcW w:w="1115" w:type="pct"/>
                  <w:tcBorders>
                    <w:top w:val="single" w:color="auto" w:sz="4" w:space="0"/>
                    <w:left w:val="single" w:color="auto" w:sz="4" w:space="0"/>
                    <w:bottom w:val="single" w:color="auto" w:sz="4" w:space="0"/>
                    <w:right w:val="single" w:color="auto" w:sz="4" w:space="0"/>
                  </w:tcBorders>
                  <w:noWrap/>
                  <w:vAlign w:val="center"/>
                </w:tcPr>
                <w:p w14:paraId="55BC0D91">
                  <w:pPr>
                    <w:pStyle w:val="65"/>
                    <w:rPr>
                      <w:rFonts w:cs="Times New Roman"/>
                      <w:color w:val="auto"/>
                    </w:rPr>
                  </w:pPr>
                  <w:r>
                    <w:rPr>
                      <w:rFonts w:cs="Times New Roman"/>
                      <w:color w:val="auto"/>
                    </w:rPr>
                    <w:t>100°26′27.359″</w:t>
                  </w:r>
                </w:p>
              </w:tc>
              <w:tc>
                <w:tcPr>
                  <w:tcW w:w="998" w:type="pct"/>
                  <w:tcBorders>
                    <w:top w:val="single" w:color="auto" w:sz="4" w:space="0"/>
                    <w:left w:val="single" w:color="auto" w:sz="4" w:space="0"/>
                    <w:bottom w:val="single" w:color="auto" w:sz="4" w:space="0"/>
                    <w:right w:val="single" w:color="auto" w:sz="4" w:space="0"/>
                  </w:tcBorders>
                  <w:noWrap/>
                  <w:vAlign w:val="center"/>
                </w:tcPr>
                <w:p w14:paraId="2A614CEB">
                  <w:pPr>
                    <w:pStyle w:val="65"/>
                    <w:rPr>
                      <w:rFonts w:cs="Times New Roman"/>
                      <w:color w:val="auto"/>
                    </w:rPr>
                  </w:pPr>
                  <w:r>
                    <w:rPr>
                      <w:rFonts w:cs="Times New Roman"/>
                      <w:color w:val="auto"/>
                    </w:rPr>
                    <w:t>24°45′23.795″</w:t>
                  </w:r>
                </w:p>
              </w:tc>
            </w:tr>
            <w:tr w14:paraId="072B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tcBorders>
                    <w:top w:val="single" w:color="auto" w:sz="4" w:space="0"/>
                    <w:left w:val="single" w:color="auto" w:sz="4" w:space="0"/>
                    <w:bottom w:val="single" w:color="auto" w:sz="4" w:space="0"/>
                    <w:right w:val="single" w:color="auto" w:sz="4" w:space="0"/>
                  </w:tcBorders>
                  <w:vAlign w:val="center"/>
                </w:tcPr>
                <w:p w14:paraId="7E89292D">
                  <w:pPr>
                    <w:pStyle w:val="65"/>
                    <w:rPr>
                      <w:rFonts w:cs="Times New Roman"/>
                      <w:color w:val="auto"/>
                      <w:szCs w:val="21"/>
                    </w:rPr>
                  </w:pPr>
                  <w:r>
                    <w:rPr>
                      <w:rFonts w:cs="Times New Roman"/>
                      <w:color w:val="auto"/>
                      <w:szCs w:val="21"/>
                    </w:rPr>
                    <w:t>大平掌</w:t>
                  </w:r>
                </w:p>
              </w:tc>
              <w:tc>
                <w:tcPr>
                  <w:tcW w:w="1580" w:type="pct"/>
                  <w:tcBorders>
                    <w:top w:val="single" w:color="auto" w:sz="4" w:space="0"/>
                    <w:left w:val="single" w:color="auto" w:sz="4" w:space="0"/>
                    <w:bottom w:val="single" w:color="auto" w:sz="4" w:space="0"/>
                    <w:right w:val="single" w:color="auto" w:sz="4" w:space="0"/>
                  </w:tcBorders>
                  <w:vAlign w:val="center"/>
                </w:tcPr>
                <w:p w14:paraId="6EFD9529">
                  <w:pPr>
                    <w:pStyle w:val="65"/>
                    <w:rPr>
                      <w:rFonts w:cs="Times New Roman"/>
                      <w:color w:val="auto"/>
                    </w:rPr>
                  </w:pPr>
                  <w:r>
                    <w:rPr>
                      <w:rFonts w:cs="Times New Roman"/>
                      <w:color w:val="auto"/>
                      <w:szCs w:val="21"/>
                    </w:rPr>
                    <w:t>方阵S22东侧52米</w:t>
                  </w:r>
                </w:p>
              </w:tc>
              <w:tc>
                <w:tcPr>
                  <w:tcW w:w="1115" w:type="pct"/>
                  <w:tcBorders>
                    <w:top w:val="single" w:color="auto" w:sz="4" w:space="0"/>
                    <w:left w:val="single" w:color="auto" w:sz="4" w:space="0"/>
                    <w:bottom w:val="single" w:color="auto" w:sz="4" w:space="0"/>
                    <w:right w:val="single" w:color="auto" w:sz="4" w:space="0"/>
                  </w:tcBorders>
                  <w:noWrap/>
                  <w:vAlign w:val="center"/>
                </w:tcPr>
                <w:p w14:paraId="115042CE">
                  <w:pPr>
                    <w:pStyle w:val="65"/>
                    <w:rPr>
                      <w:rFonts w:cs="Times New Roman"/>
                      <w:color w:val="auto"/>
                    </w:rPr>
                  </w:pPr>
                  <w:r>
                    <w:rPr>
                      <w:rFonts w:cs="Times New Roman"/>
                      <w:color w:val="auto"/>
                    </w:rPr>
                    <w:t>100°26′42.876″</w:t>
                  </w:r>
                </w:p>
              </w:tc>
              <w:tc>
                <w:tcPr>
                  <w:tcW w:w="998" w:type="pct"/>
                  <w:tcBorders>
                    <w:top w:val="single" w:color="auto" w:sz="4" w:space="0"/>
                    <w:left w:val="single" w:color="auto" w:sz="4" w:space="0"/>
                    <w:bottom w:val="single" w:color="auto" w:sz="4" w:space="0"/>
                    <w:right w:val="single" w:color="auto" w:sz="4" w:space="0"/>
                  </w:tcBorders>
                  <w:noWrap/>
                  <w:vAlign w:val="center"/>
                </w:tcPr>
                <w:p w14:paraId="4F1F8485">
                  <w:pPr>
                    <w:pStyle w:val="65"/>
                    <w:rPr>
                      <w:rFonts w:cs="Times New Roman"/>
                      <w:color w:val="auto"/>
                    </w:rPr>
                  </w:pPr>
                  <w:r>
                    <w:rPr>
                      <w:rFonts w:cs="Times New Roman"/>
                      <w:color w:val="auto"/>
                    </w:rPr>
                    <w:t>24°45′5.473″</w:t>
                  </w:r>
                </w:p>
              </w:tc>
            </w:tr>
            <w:tr w14:paraId="2D0A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tcBorders>
                    <w:top w:val="single" w:color="auto" w:sz="4" w:space="0"/>
                    <w:left w:val="single" w:color="auto" w:sz="4" w:space="0"/>
                    <w:bottom w:val="single" w:color="auto" w:sz="4" w:space="0"/>
                    <w:right w:val="single" w:color="auto" w:sz="4" w:space="0"/>
                  </w:tcBorders>
                  <w:vAlign w:val="center"/>
                </w:tcPr>
                <w:p w14:paraId="3345C30F">
                  <w:pPr>
                    <w:pStyle w:val="65"/>
                    <w:rPr>
                      <w:rFonts w:cs="Times New Roman"/>
                      <w:color w:val="auto"/>
                      <w:szCs w:val="21"/>
                    </w:rPr>
                  </w:pPr>
                  <w:r>
                    <w:rPr>
                      <w:rFonts w:cs="Times New Roman"/>
                      <w:color w:val="auto"/>
                      <w:szCs w:val="21"/>
                    </w:rPr>
                    <w:t>上夺么</w:t>
                  </w:r>
                </w:p>
              </w:tc>
              <w:tc>
                <w:tcPr>
                  <w:tcW w:w="1580" w:type="pct"/>
                  <w:tcBorders>
                    <w:top w:val="single" w:color="auto" w:sz="4" w:space="0"/>
                    <w:left w:val="single" w:color="auto" w:sz="4" w:space="0"/>
                    <w:bottom w:val="single" w:color="auto" w:sz="4" w:space="0"/>
                    <w:right w:val="single" w:color="auto" w:sz="4" w:space="0"/>
                  </w:tcBorders>
                  <w:vAlign w:val="center"/>
                </w:tcPr>
                <w:p w14:paraId="1658E414">
                  <w:pPr>
                    <w:pStyle w:val="65"/>
                    <w:rPr>
                      <w:rFonts w:cs="Times New Roman"/>
                      <w:color w:val="auto"/>
                    </w:rPr>
                  </w:pPr>
                  <w:r>
                    <w:rPr>
                      <w:rFonts w:cs="Times New Roman"/>
                      <w:color w:val="auto"/>
                      <w:szCs w:val="21"/>
                    </w:rPr>
                    <w:t>方阵S02东侧40米</w:t>
                  </w:r>
                </w:p>
              </w:tc>
              <w:tc>
                <w:tcPr>
                  <w:tcW w:w="1115" w:type="pct"/>
                  <w:tcBorders>
                    <w:top w:val="single" w:color="auto" w:sz="4" w:space="0"/>
                    <w:left w:val="single" w:color="auto" w:sz="4" w:space="0"/>
                    <w:bottom w:val="single" w:color="auto" w:sz="4" w:space="0"/>
                    <w:right w:val="single" w:color="auto" w:sz="4" w:space="0"/>
                  </w:tcBorders>
                  <w:noWrap/>
                  <w:vAlign w:val="center"/>
                </w:tcPr>
                <w:p w14:paraId="6B328DA2">
                  <w:pPr>
                    <w:pStyle w:val="65"/>
                    <w:rPr>
                      <w:rFonts w:cs="Times New Roman"/>
                      <w:color w:val="auto"/>
                    </w:rPr>
                  </w:pPr>
                  <w:r>
                    <w:rPr>
                      <w:rFonts w:cs="Times New Roman"/>
                      <w:color w:val="auto"/>
                    </w:rPr>
                    <w:t>100°29′14.368″</w:t>
                  </w:r>
                </w:p>
              </w:tc>
              <w:tc>
                <w:tcPr>
                  <w:tcW w:w="998" w:type="pct"/>
                  <w:tcBorders>
                    <w:top w:val="single" w:color="auto" w:sz="4" w:space="0"/>
                    <w:left w:val="single" w:color="auto" w:sz="4" w:space="0"/>
                    <w:bottom w:val="single" w:color="auto" w:sz="4" w:space="0"/>
                    <w:right w:val="single" w:color="auto" w:sz="4" w:space="0"/>
                  </w:tcBorders>
                  <w:noWrap/>
                  <w:vAlign w:val="center"/>
                </w:tcPr>
                <w:p w14:paraId="0D706CCD">
                  <w:pPr>
                    <w:pStyle w:val="65"/>
                    <w:rPr>
                      <w:rFonts w:cs="Times New Roman"/>
                      <w:color w:val="auto"/>
                    </w:rPr>
                  </w:pPr>
                  <w:r>
                    <w:rPr>
                      <w:rFonts w:cs="Times New Roman"/>
                      <w:color w:val="auto"/>
                    </w:rPr>
                    <w:t>24°45′4.263″</w:t>
                  </w:r>
                </w:p>
              </w:tc>
            </w:tr>
            <w:tr w14:paraId="20D05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tcBorders>
                    <w:top w:val="single" w:color="auto" w:sz="4" w:space="0"/>
                    <w:left w:val="single" w:color="auto" w:sz="4" w:space="0"/>
                    <w:bottom w:val="single" w:color="auto" w:sz="4" w:space="0"/>
                    <w:right w:val="single" w:color="auto" w:sz="4" w:space="0"/>
                  </w:tcBorders>
                  <w:vAlign w:val="center"/>
                </w:tcPr>
                <w:p w14:paraId="141887BC">
                  <w:pPr>
                    <w:pStyle w:val="65"/>
                    <w:rPr>
                      <w:rFonts w:cs="Times New Roman"/>
                      <w:color w:val="auto"/>
                      <w:szCs w:val="21"/>
                    </w:rPr>
                  </w:pPr>
                  <w:r>
                    <w:rPr>
                      <w:rFonts w:cs="Times New Roman"/>
                      <w:color w:val="auto"/>
                      <w:szCs w:val="21"/>
                    </w:rPr>
                    <w:t>下朵么（南侧厂界）</w:t>
                  </w:r>
                </w:p>
              </w:tc>
              <w:tc>
                <w:tcPr>
                  <w:tcW w:w="1580" w:type="pct"/>
                  <w:tcBorders>
                    <w:top w:val="single" w:color="auto" w:sz="4" w:space="0"/>
                    <w:left w:val="single" w:color="auto" w:sz="4" w:space="0"/>
                    <w:bottom w:val="single" w:color="auto" w:sz="4" w:space="0"/>
                    <w:right w:val="single" w:color="auto" w:sz="4" w:space="0"/>
                  </w:tcBorders>
                  <w:vAlign w:val="center"/>
                </w:tcPr>
                <w:p w14:paraId="0C1BE7A1">
                  <w:pPr>
                    <w:pStyle w:val="65"/>
                    <w:rPr>
                      <w:rFonts w:cs="Times New Roman"/>
                      <w:color w:val="auto"/>
                    </w:rPr>
                  </w:pPr>
                  <w:r>
                    <w:rPr>
                      <w:rFonts w:cs="Times New Roman"/>
                      <w:color w:val="auto"/>
                      <w:szCs w:val="21"/>
                    </w:rPr>
                    <w:t>方阵S02南侧163米</w:t>
                  </w:r>
                </w:p>
              </w:tc>
              <w:tc>
                <w:tcPr>
                  <w:tcW w:w="1115" w:type="pct"/>
                  <w:tcBorders>
                    <w:top w:val="single" w:color="auto" w:sz="4" w:space="0"/>
                    <w:left w:val="single" w:color="auto" w:sz="4" w:space="0"/>
                    <w:bottom w:val="single" w:color="auto" w:sz="4" w:space="0"/>
                    <w:right w:val="single" w:color="auto" w:sz="4" w:space="0"/>
                  </w:tcBorders>
                  <w:noWrap/>
                  <w:vAlign w:val="center"/>
                </w:tcPr>
                <w:p w14:paraId="2591C509">
                  <w:pPr>
                    <w:pStyle w:val="65"/>
                    <w:rPr>
                      <w:rFonts w:cs="Times New Roman"/>
                      <w:color w:val="auto"/>
                    </w:rPr>
                  </w:pPr>
                  <w:r>
                    <w:rPr>
                      <w:rFonts w:cs="Times New Roman"/>
                      <w:color w:val="auto"/>
                    </w:rPr>
                    <w:t>100°29′1.009″</w:t>
                  </w:r>
                </w:p>
              </w:tc>
              <w:tc>
                <w:tcPr>
                  <w:tcW w:w="998" w:type="pct"/>
                  <w:tcBorders>
                    <w:top w:val="single" w:color="auto" w:sz="4" w:space="0"/>
                    <w:left w:val="single" w:color="auto" w:sz="4" w:space="0"/>
                    <w:bottom w:val="single" w:color="auto" w:sz="4" w:space="0"/>
                    <w:right w:val="single" w:color="auto" w:sz="4" w:space="0"/>
                  </w:tcBorders>
                  <w:noWrap/>
                  <w:vAlign w:val="center"/>
                </w:tcPr>
                <w:p w14:paraId="6440B0ED">
                  <w:pPr>
                    <w:pStyle w:val="65"/>
                    <w:rPr>
                      <w:rFonts w:cs="Times New Roman"/>
                      <w:color w:val="auto"/>
                    </w:rPr>
                  </w:pPr>
                  <w:r>
                    <w:rPr>
                      <w:rFonts w:cs="Times New Roman"/>
                      <w:color w:val="auto"/>
                    </w:rPr>
                    <w:t>24°44′56.840″</w:t>
                  </w:r>
                </w:p>
              </w:tc>
            </w:tr>
            <w:tr w14:paraId="3348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7" w:type="pct"/>
                  <w:tcBorders>
                    <w:top w:val="single" w:color="auto" w:sz="4" w:space="0"/>
                    <w:left w:val="single" w:color="auto" w:sz="4" w:space="0"/>
                    <w:bottom w:val="single" w:color="auto" w:sz="4" w:space="0"/>
                    <w:right w:val="single" w:color="auto" w:sz="4" w:space="0"/>
                  </w:tcBorders>
                  <w:vAlign w:val="center"/>
                </w:tcPr>
                <w:p w14:paraId="73F14ED8">
                  <w:pPr>
                    <w:pStyle w:val="65"/>
                    <w:rPr>
                      <w:rFonts w:cs="Times New Roman"/>
                      <w:color w:val="auto"/>
                      <w:szCs w:val="21"/>
                    </w:rPr>
                  </w:pPr>
                  <w:r>
                    <w:rPr>
                      <w:rFonts w:cs="Times New Roman"/>
                      <w:color w:val="auto"/>
                      <w:szCs w:val="21"/>
                    </w:rPr>
                    <w:t>安召（东侧厂界）</w:t>
                  </w:r>
                </w:p>
              </w:tc>
              <w:tc>
                <w:tcPr>
                  <w:tcW w:w="1580" w:type="pct"/>
                  <w:tcBorders>
                    <w:top w:val="single" w:color="auto" w:sz="4" w:space="0"/>
                    <w:left w:val="single" w:color="auto" w:sz="4" w:space="0"/>
                    <w:bottom w:val="single" w:color="auto" w:sz="4" w:space="0"/>
                    <w:right w:val="single" w:color="auto" w:sz="4" w:space="0"/>
                  </w:tcBorders>
                  <w:vAlign w:val="center"/>
                </w:tcPr>
                <w:p w14:paraId="0B6ABC3E">
                  <w:pPr>
                    <w:pStyle w:val="65"/>
                    <w:rPr>
                      <w:rFonts w:cs="Times New Roman"/>
                      <w:color w:val="auto"/>
                    </w:rPr>
                  </w:pPr>
                  <w:r>
                    <w:rPr>
                      <w:rFonts w:cs="Times New Roman"/>
                      <w:color w:val="auto"/>
                      <w:szCs w:val="21"/>
                    </w:rPr>
                    <w:t>方阵S11东侧10米</w:t>
                  </w:r>
                </w:p>
              </w:tc>
              <w:tc>
                <w:tcPr>
                  <w:tcW w:w="1115" w:type="pct"/>
                  <w:tcBorders>
                    <w:top w:val="single" w:color="auto" w:sz="4" w:space="0"/>
                    <w:left w:val="single" w:color="auto" w:sz="4" w:space="0"/>
                    <w:bottom w:val="single" w:color="auto" w:sz="4" w:space="0"/>
                    <w:right w:val="single" w:color="auto" w:sz="4" w:space="0"/>
                  </w:tcBorders>
                  <w:noWrap/>
                  <w:vAlign w:val="center"/>
                </w:tcPr>
                <w:p w14:paraId="18C44F19">
                  <w:pPr>
                    <w:pStyle w:val="65"/>
                    <w:rPr>
                      <w:rFonts w:cs="Times New Roman"/>
                      <w:color w:val="auto"/>
                    </w:rPr>
                  </w:pPr>
                  <w:r>
                    <w:rPr>
                      <w:rFonts w:cs="Times New Roman"/>
                      <w:color w:val="auto"/>
                    </w:rPr>
                    <w:t>100°30′8.789″</w:t>
                  </w:r>
                </w:p>
              </w:tc>
              <w:tc>
                <w:tcPr>
                  <w:tcW w:w="998" w:type="pct"/>
                  <w:tcBorders>
                    <w:top w:val="single" w:color="auto" w:sz="4" w:space="0"/>
                    <w:left w:val="single" w:color="auto" w:sz="4" w:space="0"/>
                    <w:bottom w:val="single" w:color="auto" w:sz="4" w:space="0"/>
                    <w:right w:val="single" w:color="auto" w:sz="4" w:space="0"/>
                  </w:tcBorders>
                  <w:noWrap/>
                  <w:vAlign w:val="center"/>
                </w:tcPr>
                <w:p w14:paraId="3E1B2AE1">
                  <w:pPr>
                    <w:pStyle w:val="65"/>
                    <w:rPr>
                      <w:rFonts w:cs="Times New Roman"/>
                      <w:color w:val="auto"/>
                    </w:rPr>
                  </w:pPr>
                  <w:r>
                    <w:rPr>
                      <w:rFonts w:cs="Times New Roman"/>
                      <w:color w:val="auto"/>
                    </w:rPr>
                    <w:t>24°44′42.691″</w:t>
                  </w:r>
                </w:p>
              </w:tc>
            </w:tr>
            <w:bookmarkEnd w:id="679"/>
            <w:bookmarkEnd w:id="680"/>
          </w:tbl>
          <w:p w14:paraId="7AB66B41">
            <w:pPr>
              <w:ind w:firstLine="482"/>
              <w:rPr>
                <w:b/>
                <w:color w:val="auto"/>
              </w:rPr>
            </w:pPr>
            <w:r>
              <w:rPr>
                <w:rFonts w:hint="eastAsia"/>
                <w:b/>
                <w:color w:val="auto"/>
              </w:rPr>
              <w:t>（</w:t>
            </w:r>
            <w:r>
              <w:rPr>
                <w:b/>
                <w:color w:val="auto"/>
              </w:rPr>
              <w:t>2</w:t>
            </w:r>
            <w:r>
              <w:rPr>
                <w:rFonts w:hint="eastAsia"/>
                <w:b/>
                <w:color w:val="auto"/>
              </w:rPr>
              <w:t>）监测因子、频率</w:t>
            </w:r>
          </w:p>
          <w:p w14:paraId="433D839A">
            <w:pPr>
              <w:ind w:firstLine="480"/>
              <w:rPr>
                <w:color w:val="auto"/>
              </w:rPr>
            </w:pPr>
            <w:r>
              <w:rPr>
                <w:rFonts w:hint="eastAsia"/>
                <w:color w:val="auto"/>
              </w:rPr>
              <w:t>监测因子：等效连续</w:t>
            </w:r>
            <w:r>
              <w:rPr>
                <w:color w:val="auto"/>
              </w:rPr>
              <w:t>A</w:t>
            </w:r>
            <w:r>
              <w:rPr>
                <w:rFonts w:hint="eastAsia"/>
                <w:color w:val="auto"/>
              </w:rPr>
              <w:t>声级</w:t>
            </w:r>
            <w:r>
              <w:rPr>
                <w:color w:val="auto"/>
              </w:rPr>
              <w:t>Leq</w:t>
            </w:r>
            <w:r>
              <w:rPr>
                <w:rFonts w:hint="eastAsia"/>
                <w:color w:val="auto"/>
              </w:rPr>
              <w:t>（</w:t>
            </w:r>
            <w:r>
              <w:rPr>
                <w:color w:val="auto"/>
              </w:rPr>
              <w:t>A</w:t>
            </w:r>
            <w:r>
              <w:rPr>
                <w:rFonts w:hint="eastAsia"/>
                <w:color w:val="auto"/>
              </w:rPr>
              <w:t>）。</w:t>
            </w:r>
          </w:p>
          <w:p w14:paraId="29EE8B3B">
            <w:pPr>
              <w:ind w:firstLine="480"/>
              <w:rPr>
                <w:color w:val="auto"/>
              </w:rPr>
            </w:pPr>
            <w:r>
              <w:rPr>
                <w:rFonts w:hint="eastAsia"/>
                <w:color w:val="auto"/>
              </w:rPr>
              <w:t>监测周期及频率：连续监测</w:t>
            </w:r>
            <w:r>
              <w:rPr>
                <w:color w:val="auto"/>
              </w:rPr>
              <w:t>2</w:t>
            </w:r>
            <w:r>
              <w:rPr>
                <w:rFonts w:hint="eastAsia"/>
                <w:color w:val="auto"/>
              </w:rPr>
              <w:t>天，每天昼间和夜间各监测</w:t>
            </w:r>
            <w:r>
              <w:rPr>
                <w:color w:val="auto"/>
              </w:rPr>
              <w:t>1</w:t>
            </w:r>
            <w:r>
              <w:rPr>
                <w:rFonts w:hint="eastAsia"/>
                <w:color w:val="auto"/>
              </w:rPr>
              <w:t>次。</w:t>
            </w:r>
          </w:p>
          <w:p w14:paraId="3F601992">
            <w:pPr>
              <w:ind w:firstLine="482"/>
              <w:rPr>
                <w:color w:val="auto"/>
              </w:rPr>
            </w:pPr>
            <w:r>
              <w:rPr>
                <w:rFonts w:hint="eastAsia"/>
                <w:b/>
                <w:color w:val="auto"/>
              </w:rPr>
              <w:t>（</w:t>
            </w:r>
            <w:r>
              <w:rPr>
                <w:b/>
                <w:color w:val="auto"/>
              </w:rPr>
              <w:t>3</w:t>
            </w:r>
            <w:r>
              <w:rPr>
                <w:rFonts w:hint="eastAsia"/>
                <w:b/>
                <w:color w:val="auto"/>
              </w:rPr>
              <w:t>）监测及分析方法</w:t>
            </w:r>
          </w:p>
          <w:p w14:paraId="64C1C649">
            <w:pPr>
              <w:ind w:firstLine="480"/>
              <w:rPr>
                <w:color w:val="auto"/>
              </w:rPr>
            </w:pPr>
            <w:r>
              <w:rPr>
                <w:rFonts w:hint="eastAsia"/>
                <w:color w:val="auto"/>
              </w:rPr>
              <w:t>按《声环境质量标准》（</w:t>
            </w:r>
            <w:r>
              <w:rPr>
                <w:color w:val="auto"/>
              </w:rPr>
              <w:t>GB3096-2008</w:t>
            </w:r>
            <w:r>
              <w:rPr>
                <w:rFonts w:hint="eastAsia"/>
                <w:color w:val="auto"/>
              </w:rPr>
              <w:t>）附录B声环境功能区监测方法和附录C噪声敏感建筑物监测方法规定的方法进行监测及分析。</w:t>
            </w:r>
          </w:p>
          <w:p w14:paraId="78E0CCF6">
            <w:pPr>
              <w:ind w:firstLine="482"/>
              <w:rPr>
                <w:b/>
                <w:color w:val="auto"/>
              </w:rPr>
            </w:pPr>
            <w:bookmarkStart w:id="681" w:name="OLE_LINK12"/>
            <w:r>
              <w:rPr>
                <w:rFonts w:hint="eastAsia"/>
                <w:b/>
                <w:color w:val="auto"/>
              </w:rPr>
              <w:t>（</w:t>
            </w:r>
            <w:r>
              <w:rPr>
                <w:b/>
                <w:color w:val="auto"/>
              </w:rPr>
              <w:t>4</w:t>
            </w:r>
            <w:r>
              <w:rPr>
                <w:rFonts w:hint="eastAsia"/>
                <w:b/>
                <w:color w:val="auto"/>
              </w:rPr>
              <w:t>）监测结果</w:t>
            </w:r>
          </w:p>
          <w:p w14:paraId="6323EF87">
            <w:pPr>
              <w:ind w:firstLine="480"/>
              <w:rPr>
                <w:color w:val="auto"/>
              </w:rPr>
            </w:pPr>
            <w:r>
              <w:rPr>
                <w:rFonts w:hint="eastAsia"/>
                <w:color w:val="auto"/>
              </w:rPr>
              <w:t>监测结果及达标分析见下表。</w:t>
            </w:r>
          </w:p>
          <w:p w14:paraId="74A8F91D">
            <w:pPr>
              <w:pStyle w:val="63"/>
              <w:ind w:firstLine="480"/>
              <w:rPr>
                <w:bCs/>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3.2</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8</w:t>
            </w:r>
            <w:r>
              <w:rPr>
                <w:color w:val="auto"/>
              </w:rPr>
              <w:fldChar w:fldCharType="end"/>
            </w:r>
            <w:r>
              <w:rPr>
                <w:color w:val="auto"/>
              </w:rPr>
              <w:t xml:space="preserve">  </w:t>
            </w:r>
            <w:r>
              <w:rPr>
                <w:rFonts w:hint="eastAsia"/>
                <w:color w:val="auto"/>
              </w:rPr>
              <w:t>噪声监测结果及达标分析表</w:t>
            </w:r>
            <w:r>
              <w:rPr>
                <w:color w:val="auto"/>
              </w:rPr>
              <w:t xml:space="preserve">    </w:t>
            </w:r>
            <w:r>
              <w:rPr>
                <w:rFonts w:hint="eastAsia"/>
                <w:color w:val="auto"/>
              </w:rPr>
              <w:t>单位：</w:t>
            </w:r>
            <w:r>
              <w:rPr>
                <w:bCs/>
                <w:color w:val="auto"/>
              </w:rPr>
              <w:t>Leq(dB(A))</w:t>
            </w:r>
          </w:p>
          <w:bookmarkEnd w:id="681"/>
          <w:tbl>
            <w:tblPr>
              <w:tblStyle w:val="41"/>
              <w:tblW w:w="5000" w:type="pct"/>
              <w:tblInd w:w="0" w:type="dxa"/>
              <w:tblLayout w:type="autofit"/>
              <w:tblCellMar>
                <w:top w:w="0" w:type="dxa"/>
                <w:left w:w="108" w:type="dxa"/>
                <w:bottom w:w="0" w:type="dxa"/>
                <w:right w:w="108" w:type="dxa"/>
              </w:tblCellMar>
            </w:tblPr>
            <w:tblGrid>
              <w:gridCol w:w="1279"/>
              <w:gridCol w:w="1408"/>
              <w:gridCol w:w="1266"/>
              <w:gridCol w:w="1285"/>
              <w:gridCol w:w="1309"/>
              <w:gridCol w:w="1309"/>
            </w:tblGrid>
            <w:tr w14:paraId="7FD51298">
              <w:tblPrEx>
                <w:tblCellMar>
                  <w:top w:w="0" w:type="dxa"/>
                  <w:left w:w="108" w:type="dxa"/>
                  <w:bottom w:w="0" w:type="dxa"/>
                  <w:right w:w="108" w:type="dxa"/>
                </w:tblCellMar>
              </w:tblPrEx>
              <w:trPr>
                <w:trHeight w:val="454" w:hRule="atLeast"/>
                <w:tblHeader/>
              </w:trPr>
              <w:tc>
                <w:tcPr>
                  <w:tcW w:w="814" w:type="pct"/>
                  <w:tcBorders>
                    <w:top w:val="single" w:color="auto" w:sz="4" w:space="0"/>
                    <w:left w:val="single" w:color="auto" w:sz="4" w:space="0"/>
                    <w:bottom w:val="single" w:color="auto" w:sz="4" w:space="0"/>
                    <w:right w:val="single" w:color="auto" w:sz="4" w:space="0"/>
                  </w:tcBorders>
                  <w:vAlign w:val="center"/>
                </w:tcPr>
                <w:p w14:paraId="70FB90AE">
                  <w:pPr>
                    <w:pStyle w:val="65"/>
                    <w:rPr>
                      <w:b/>
                      <w:bCs/>
                      <w:color w:val="auto"/>
                    </w:rPr>
                  </w:pPr>
                  <w:r>
                    <w:rPr>
                      <w:rFonts w:hint="eastAsia"/>
                      <w:b/>
                      <w:bCs/>
                      <w:color w:val="auto"/>
                    </w:rPr>
                    <w:t>监测点位</w:t>
                  </w:r>
                </w:p>
              </w:tc>
              <w:tc>
                <w:tcPr>
                  <w:tcW w:w="896" w:type="pct"/>
                  <w:tcBorders>
                    <w:top w:val="single" w:color="auto" w:sz="4" w:space="0"/>
                    <w:left w:val="nil"/>
                    <w:bottom w:val="single" w:color="auto" w:sz="4" w:space="0"/>
                    <w:right w:val="single" w:color="auto" w:sz="4" w:space="0"/>
                  </w:tcBorders>
                  <w:vAlign w:val="center"/>
                </w:tcPr>
                <w:p w14:paraId="7DEA5972">
                  <w:pPr>
                    <w:pStyle w:val="65"/>
                    <w:rPr>
                      <w:b/>
                      <w:bCs/>
                      <w:color w:val="auto"/>
                    </w:rPr>
                  </w:pPr>
                  <w:r>
                    <w:rPr>
                      <w:rFonts w:hint="eastAsia"/>
                      <w:b/>
                      <w:bCs/>
                      <w:color w:val="auto"/>
                    </w:rPr>
                    <w:t>监测日期</w:t>
                  </w:r>
                </w:p>
              </w:tc>
              <w:tc>
                <w:tcPr>
                  <w:tcW w:w="806" w:type="pct"/>
                  <w:tcBorders>
                    <w:top w:val="single" w:color="auto" w:sz="4" w:space="0"/>
                    <w:left w:val="nil"/>
                    <w:bottom w:val="single" w:color="auto" w:sz="4" w:space="0"/>
                    <w:right w:val="single" w:color="auto" w:sz="4" w:space="0"/>
                  </w:tcBorders>
                  <w:vAlign w:val="center"/>
                </w:tcPr>
                <w:p w14:paraId="22765C88">
                  <w:pPr>
                    <w:pStyle w:val="65"/>
                    <w:rPr>
                      <w:b/>
                      <w:bCs/>
                      <w:color w:val="auto"/>
                    </w:rPr>
                  </w:pPr>
                  <w:r>
                    <w:rPr>
                      <w:rFonts w:hint="eastAsia"/>
                      <w:b/>
                      <w:bCs/>
                      <w:color w:val="auto"/>
                    </w:rPr>
                    <w:t>采样时段</w:t>
                  </w:r>
                </w:p>
              </w:tc>
              <w:tc>
                <w:tcPr>
                  <w:tcW w:w="818" w:type="pct"/>
                  <w:tcBorders>
                    <w:top w:val="single" w:color="auto" w:sz="4" w:space="0"/>
                    <w:left w:val="nil"/>
                    <w:bottom w:val="single" w:color="auto" w:sz="4" w:space="0"/>
                    <w:right w:val="single" w:color="auto" w:sz="4" w:space="0"/>
                  </w:tcBorders>
                  <w:vAlign w:val="center"/>
                </w:tcPr>
                <w:p w14:paraId="31C89976">
                  <w:pPr>
                    <w:pStyle w:val="65"/>
                    <w:rPr>
                      <w:b/>
                      <w:bCs/>
                      <w:color w:val="auto"/>
                    </w:rPr>
                  </w:pPr>
                  <w:r>
                    <w:rPr>
                      <w:rFonts w:hint="eastAsia"/>
                      <w:b/>
                      <w:bCs/>
                      <w:color w:val="auto"/>
                    </w:rPr>
                    <w:t>噪声值</w:t>
                  </w:r>
                  <w:r>
                    <w:rPr>
                      <w:rFonts w:cs="Times New Roman"/>
                      <w:b/>
                      <w:bCs/>
                      <w:color w:val="auto"/>
                    </w:rPr>
                    <w:t>dB(A)</w:t>
                  </w:r>
                </w:p>
              </w:tc>
              <w:tc>
                <w:tcPr>
                  <w:tcW w:w="833" w:type="pct"/>
                  <w:tcBorders>
                    <w:top w:val="single" w:color="auto" w:sz="4" w:space="0"/>
                    <w:left w:val="nil"/>
                    <w:bottom w:val="single" w:color="auto" w:sz="4" w:space="0"/>
                    <w:right w:val="single" w:color="auto" w:sz="4" w:space="0"/>
                  </w:tcBorders>
                  <w:noWrap/>
                  <w:vAlign w:val="center"/>
                </w:tcPr>
                <w:p w14:paraId="77B4055A">
                  <w:pPr>
                    <w:pStyle w:val="65"/>
                    <w:rPr>
                      <w:b/>
                      <w:bCs/>
                      <w:color w:val="auto"/>
                    </w:rPr>
                  </w:pPr>
                  <w:r>
                    <w:rPr>
                      <w:rFonts w:hint="eastAsia"/>
                      <w:b/>
                      <w:bCs/>
                      <w:color w:val="auto"/>
                    </w:rPr>
                    <w:t>标准限值</w:t>
                  </w:r>
                </w:p>
              </w:tc>
              <w:tc>
                <w:tcPr>
                  <w:tcW w:w="833" w:type="pct"/>
                  <w:tcBorders>
                    <w:top w:val="single" w:color="auto" w:sz="4" w:space="0"/>
                    <w:left w:val="nil"/>
                    <w:bottom w:val="single" w:color="auto" w:sz="4" w:space="0"/>
                    <w:right w:val="single" w:color="auto" w:sz="4" w:space="0"/>
                  </w:tcBorders>
                  <w:noWrap/>
                  <w:vAlign w:val="center"/>
                </w:tcPr>
                <w:p w14:paraId="503E4475">
                  <w:pPr>
                    <w:pStyle w:val="65"/>
                    <w:rPr>
                      <w:b/>
                      <w:bCs/>
                      <w:color w:val="auto"/>
                    </w:rPr>
                  </w:pPr>
                  <w:r>
                    <w:rPr>
                      <w:rFonts w:hint="eastAsia"/>
                      <w:b/>
                      <w:bCs/>
                      <w:color w:val="auto"/>
                    </w:rPr>
                    <w:t>达标情况</w:t>
                  </w:r>
                </w:p>
              </w:tc>
            </w:tr>
            <w:tr w14:paraId="33406478">
              <w:tblPrEx>
                <w:tblCellMar>
                  <w:top w:w="0" w:type="dxa"/>
                  <w:left w:w="108" w:type="dxa"/>
                  <w:bottom w:w="0" w:type="dxa"/>
                  <w:right w:w="108" w:type="dxa"/>
                </w:tblCellMar>
              </w:tblPrEx>
              <w:trPr>
                <w:trHeight w:val="454" w:hRule="atLeast"/>
              </w:trPr>
              <w:tc>
                <w:tcPr>
                  <w:tcW w:w="814" w:type="pct"/>
                  <w:vMerge w:val="restart"/>
                  <w:tcBorders>
                    <w:top w:val="nil"/>
                    <w:left w:val="single" w:color="auto" w:sz="4" w:space="0"/>
                    <w:bottom w:val="single" w:color="auto" w:sz="4" w:space="0"/>
                    <w:right w:val="single" w:color="auto" w:sz="4" w:space="0"/>
                  </w:tcBorders>
                  <w:vAlign w:val="center"/>
                </w:tcPr>
                <w:p w14:paraId="2C37461C">
                  <w:pPr>
                    <w:pStyle w:val="65"/>
                    <w:rPr>
                      <w:color w:val="auto"/>
                      <w:szCs w:val="24"/>
                    </w:rPr>
                  </w:pPr>
                  <w:r>
                    <w:rPr>
                      <w:rFonts w:hint="eastAsia"/>
                      <w:color w:val="auto"/>
                      <w:szCs w:val="24"/>
                    </w:rPr>
                    <w:t>旧村（西侧厂界）</w:t>
                  </w:r>
                </w:p>
              </w:tc>
              <w:tc>
                <w:tcPr>
                  <w:tcW w:w="896" w:type="pct"/>
                  <w:tcBorders>
                    <w:top w:val="nil"/>
                    <w:left w:val="nil"/>
                    <w:bottom w:val="single" w:color="auto" w:sz="4" w:space="0"/>
                    <w:right w:val="single" w:color="auto" w:sz="4" w:space="0"/>
                  </w:tcBorders>
                  <w:vAlign w:val="center"/>
                </w:tcPr>
                <w:p w14:paraId="5F89616F">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346BC12E">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24DEE418">
                  <w:pPr>
                    <w:pStyle w:val="65"/>
                    <w:rPr>
                      <w:rFonts w:eastAsia="等线" w:cs="Times New Roman"/>
                      <w:color w:val="auto"/>
                      <w:szCs w:val="24"/>
                    </w:rPr>
                  </w:pPr>
                  <w:r>
                    <w:rPr>
                      <w:rFonts w:eastAsia="等线" w:cs="Times New Roman"/>
                      <w:color w:val="auto"/>
                      <w:szCs w:val="24"/>
                    </w:rPr>
                    <w:t>42</w:t>
                  </w:r>
                </w:p>
              </w:tc>
              <w:tc>
                <w:tcPr>
                  <w:tcW w:w="833" w:type="pct"/>
                  <w:tcBorders>
                    <w:top w:val="nil"/>
                    <w:left w:val="nil"/>
                    <w:bottom w:val="single" w:color="auto" w:sz="4" w:space="0"/>
                    <w:right w:val="single" w:color="auto" w:sz="4" w:space="0"/>
                  </w:tcBorders>
                  <w:noWrap/>
                  <w:vAlign w:val="center"/>
                </w:tcPr>
                <w:p w14:paraId="15E13327">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7B742F1D">
                  <w:pPr>
                    <w:pStyle w:val="65"/>
                    <w:rPr>
                      <w:color w:val="auto"/>
                    </w:rPr>
                  </w:pPr>
                  <w:r>
                    <w:rPr>
                      <w:rFonts w:hint="eastAsia"/>
                      <w:color w:val="auto"/>
                    </w:rPr>
                    <w:t>达标</w:t>
                  </w:r>
                </w:p>
              </w:tc>
            </w:tr>
            <w:tr w14:paraId="09C6EBB8">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485B3007">
                  <w:pPr>
                    <w:pStyle w:val="65"/>
                    <w:rPr>
                      <w:color w:val="auto"/>
                      <w:szCs w:val="24"/>
                    </w:rPr>
                  </w:pPr>
                </w:p>
              </w:tc>
              <w:tc>
                <w:tcPr>
                  <w:tcW w:w="896" w:type="pct"/>
                  <w:tcBorders>
                    <w:top w:val="nil"/>
                    <w:left w:val="nil"/>
                    <w:bottom w:val="single" w:color="auto" w:sz="4" w:space="0"/>
                    <w:right w:val="single" w:color="auto" w:sz="4" w:space="0"/>
                  </w:tcBorders>
                  <w:vAlign w:val="center"/>
                </w:tcPr>
                <w:p w14:paraId="6D4E4D9D">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70046E67">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750C54AF">
                  <w:pPr>
                    <w:pStyle w:val="65"/>
                    <w:rPr>
                      <w:rFonts w:eastAsia="等线" w:cs="Times New Roman"/>
                      <w:color w:val="auto"/>
                      <w:szCs w:val="24"/>
                    </w:rPr>
                  </w:pPr>
                  <w:r>
                    <w:rPr>
                      <w:rFonts w:eastAsia="等线" w:cs="Times New Roman"/>
                      <w:color w:val="auto"/>
                      <w:szCs w:val="24"/>
                    </w:rPr>
                    <w:t>39</w:t>
                  </w:r>
                </w:p>
              </w:tc>
              <w:tc>
                <w:tcPr>
                  <w:tcW w:w="833" w:type="pct"/>
                  <w:tcBorders>
                    <w:top w:val="nil"/>
                    <w:left w:val="nil"/>
                    <w:bottom w:val="single" w:color="auto" w:sz="4" w:space="0"/>
                    <w:right w:val="single" w:color="auto" w:sz="4" w:space="0"/>
                  </w:tcBorders>
                  <w:noWrap/>
                  <w:vAlign w:val="center"/>
                </w:tcPr>
                <w:p w14:paraId="7519B3BC">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76111E5E">
                  <w:pPr>
                    <w:pStyle w:val="65"/>
                    <w:rPr>
                      <w:color w:val="auto"/>
                    </w:rPr>
                  </w:pPr>
                  <w:r>
                    <w:rPr>
                      <w:rFonts w:hint="eastAsia"/>
                      <w:color w:val="auto"/>
                    </w:rPr>
                    <w:t>达标</w:t>
                  </w:r>
                </w:p>
              </w:tc>
            </w:tr>
            <w:tr w14:paraId="099F7205">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2F4DB727">
                  <w:pPr>
                    <w:pStyle w:val="65"/>
                    <w:rPr>
                      <w:color w:val="auto"/>
                      <w:szCs w:val="24"/>
                    </w:rPr>
                  </w:pPr>
                </w:p>
              </w:tc>
              <w:tc>
                <w:tcPr>
                  <w:tcW w:w="896" w:type="pct"/>
                  <w:tcBorders>
                    <w:top w:val="nil"/>
                    <w:left w:val="nil"/>
                    <w:bottom w:val="single" w:color="auto" w:sz="4" w:space="0"/>
                    <w:right w:val="single" w:color="auto" w:sz="4" w:space="0"/>
                  </w:tcBorders>
                  <w:vAlign w:val="center"/>
                </w:tcPr>
                <w:p w14:paraId="53782DAE">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447D563C">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17621677">
                  <w:pPr>
                    <w:pStyle w:val="65"/>
                    <w:rPr>
                      <w:rFonts w:eastAsia="等线" w:cs="Times New Roman"/>
                      <w:color w:val="auto"/>
                      <w:szCs w:val="24"/>
                    </w:rPr>
                  </w:pPr>
                  <w:r>
                    <w:rPr>
                      <w:rFonts w:eastAsia="等线" w:cs="Times New Roman"/>
                      <w:color w:val="auto"/>
                      <w:szCs w:val="24"/>
                    </w:rPr>
                    <w:t>43</w:t>
                  </w:r>
                </w:p>
              </w:tc>
              <w:tc>
                <w:tcPr>
                  <w:tcW w:w="833" w:type="pct"/>
                  <w:tcBorders>
                    <w:top w:val="nil"/>
                    <w:left w:val="nil"/>
                    <w:bottom w:val="single" w:color="auto" w:sz="4" w:space="0"/>
                    <w:right w:val="single" w:color="auto" w:sz="4" w:space="0"/>
                  </w:tcBorders>
                  <w:noWrap/>
                  <w:vAlign w:val="center"/>
                </w:tcPr>
                <w:p w14:paraId="29047E77">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2C746DA7">
                  <w:pPr>
                    <w:pStyle w:val="65"/>
                    <w:rPr>
                      <w:color w:val="auto"/>
                    </w:rPr>
                  </w:pPr>
                  <w:r>
                    <w:rPr>
                      <w:rFonts w:hint="eastAsia"/>
                      <w:color w:val="auto"/>
                    </w:rPr>
                    <w:t>达标</w:t>
                  </w:r>
                </w:p>
              </w:tc>
            </w:tr>
            <w:tr w14:paraId="1B64B6C3">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44E5CED5">
                  <w:pPr>
                    <w:pStyle w:val="65"/>
                    <w:rPr>
                      <w:color w:val="auto"/>
                      <w:szCs w:val="24"/>
                    </w:rPr>
                  </w:pPr>
                </w:p>
              </w:tc>
              <w:tc>
                <w:tcPr>
                  <w:tcW w:w="896" w:type="pct"/>
                  <w:tcBorders>
                    <w:top w:val="nil"/>
                    <w:left w:val="nil"/>
                    <w:bottom w:val="single" w:color="auto" w:sz="4" w:space="0"/>
                    <w:right w:val="single" w:color="auto" w:sz="4" w:space="0"/>
                  </w:tcBorders>
                  <w:vAlign w:val="center"/>
                </w:tcPr>
                <w:p w14:paraId="3F3C90E1">
                  <w:pPr>
                    <w:pStyle w:val="65"/>
                    <w:rPr>
                      <w:rFonts w:eastAsia="等线" w:cs="Times New Roman"/>
                      <w:color w:val="auto"/>
                      <w:szCs w:val="24"/>
                    </w:rPr>
                  </w:pPr>
                  <w:r>
                    <w:rPr>
                      <w:rFonts w:eastAsia="等线" w:cs="Times New Roman"/>
                      <w:color w:val="auto"/>
                      <w:szCs w:val="24"/>
                    </w:rPr>
                    <w:t>2025.12.25</w:t>
                  </w:r>
                </w:p>
              </w:tc>
              <w:tc>
                <w:tcPr>
                  <w:tcW w:w="806" w:type="pct"/>
                  <w:tcBorders>
                    <w:top w:val="nil"/>
                    <w:left w:val="nil"/>
                    <w:bottom w:val="single" w:color="auto" w:sz="4" w:space="0"/>
                    <w:right w:val="single" w:color="auto" w:sz="4" w:space="0"/>
                  </w:tcBorders>
                  <w:vAlign w:val="center"/>
                </w:tcPr>
                <w:p w14:paraId="118ED6DE">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2FD5AEEF">
                  <w:pPr>
                    <w:pStyle w:val="65"/>
                    <w:rPr>
                      <w:rFonts w:eastAsia="等线" w:cs="Times New Roman"/>
                      <w:color w:val="auto"/>
                      <w:szCs w:val="24"/>
                    </w:rPr>
                  </w:pPr>
                  <w:r>
                    <w:rPr>
                      <w:rFonts w:eastAsia="等线" w:cs="Times New Roman"/>
                      <w:color w:val="auto"/>
                      <w:szCs w:val="24"/>
                    </w:rPr>
                    <w:t>39</w:t>
                  </w:r>
                </w:p>
              </w:tc>
              <w:tc>
                <w:tcPr>
                  <w:tcW w:w="833" w:type="pct"/>
                  <w:tcBorders>
                    <w:top w:val="nil"/>
                    <w:left w:val="nil"/>
                    <w:bottom w:val="single" w:color="auto" w:sz="4" w:space="0"/>
                    <w:right w:val="single" w:color="auto" w:sz="4" w:space="0"/>
                  </w:tcBorders>
                  <w:noWrap/>
                  <w:vAlign w:val="center"/>
                </w:tcPr>
                <w:p w14:paraId="33A4C7B7">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538E767F">
                  <w:pPr>
                    <w:pStyle w:val="65"/>
                    <w:rPr>
                      <w:color w:val="auto"/>
                    </w:rPr>
                  </w:pPr>
                  <w:r>
                    <w:rPr>
                      <w:rFonts w:hint="eastAsia"/>
                      <w:color w:val="auto"/>
                    </w:rPr>
                    <w:t>达标</w:t>
                  </w:r>
                </w:p>
              </w:tc>
            </w:tr>
            <w:tr w14:paraId="09B49584">
              <w:tblPrEx>
                <w:tblCellMar>
                  <w:top w:w="0" w:type="dxa"/>
                  <w:left w:w="108" w:type="dxa"/>
                  <w:bottom w:w="0" w:type="dxa"/>
                  <w:right w:w="108" w:type="dxa"/>
                </w:tblCellMar>
              </w:tblPrEx>
              <w:trPr>
                <w:trHeight w:val="454" w:hRule="atLeast"/>
              </w:trPr>
              <w:tc>
                <w:tcPr>
                  <w:tcW w:w="814" w:type="pct"/>
                  <w:vMerge w:val="restart"/>
                  <w:tcBorders>
                    <w:top w:val="nil"/>
                    <w:left w:val="single" w:color="auto" w:sz="4" w:space="0"/>
                    <w:bottom w:val="single" w:color="auto" w:sz="4" w:space="0"/>
                    <w:right w:val="single" w:color="auto" w:sz="4" w:space="0"/>
                  </w:tcBorders>
                  <w:vAlign w:val="center"/>
                </w:tcPr>
                <w:p w14:paraId="01C41B67">
                  <w:pPr>
                    <w:pStyle w:val="65"/>
                    <w:rPr>
                      <w:color w:val="auto"/>
                      <w:szCs w:val="24"/>
                    </w:rPr>
                  </w:pPr>
                  <w:r>
                    <w:rPr>
                      <w:rFonts w:hint="eastAsia"/>
                      <w:color w:val="auto"/>
                      <w:szCs w:val="24"/>
                    </w:rPr>
                    <w:t>蚂蟥箐（北侧厂界）</w:t>
                  </w:r>
                </w:p>
              </w:tc>
              <w:tc>
                <w:tcPr>
                  <w:tcW w:w="896" w:type="pct"/>
                  <w:tcBorders>
                    <w:top w:val="nil"/>
                    <w:left w:val="nil"/>
                    <w:bottom w:val="single" w:color="auto" w:sz="4" w:space="0"/>
                    <w:right w:val="single" w:color="auto" w:sz="4" w:space="0"/>
                  </w:tcBorders>
                  <w:vAlign w:val="center"/>
                </w:tcPr>
                <w:p w14:paraId="5B5BF99C">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7283C28B">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43CB3C6A">
                  <w:pPr>
                    <w:pStyle w:val="65"/>
                    <w:rPr>
                      <w:rFonts w:eastAsia="等线" w:cs="Times New Roman"/>
                      <w:color w:val="auto"/>
                      <w:szCs w:val="24"/>
                    </w:rPr>
                  </w:pPr>
                  <w:r>
                    <w:rPr>
                      <w:rFonts w:eastAsia="等线" w:cs="Times New Roman"/>
                      <w:color w:val="auto"/>
                      <w:szCs w:val="24"/>
                    </w:rPr>
                    <w:t>44</w:t>
                  </w:r>
                </w:p>
              </w:tc>
              <w:tc>
                <w:tcPr>
                  <w:tcW w:w="833" w:type="pct"/>
                  <w:tcBorders>
                    <w:top w:val="nil"/>
                    <w:left w:val="nil"/>
                    <w:bottom w:val="single" w:color="auto" w:sz="4" w:space="0"/>
                    <w:right w:val="single" w:color="auto" w:sz="4" w:space="0"/>
                  </w:tcBorders>
                  <w:noWrap/>
                  <w:vAlign w:val="center"/>
                </w:tcPr>
                <w:p w14:paraId="66D99A54">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450270F7">
                  <w:pPr>
                    <w:pStyle w:val="65"/>
                    <w:rPr>
                      <w:color w:val="auto"/>
                    </w:rPr>
                  </w:pPr>
                  <w:r>
                    <w:rPr>
                      <w:rFonts w:hint="eastAsia"/>
                      <w:color w:val="auto"/>
                    </w:rPr>
                    <w:t>达标</w:t>
                  </w:r>
                </w:p>
              </w:tc>
            </w:tr>
            <w:tr w14:paraId="001B1D63">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6FD89E00">
                  <w:pPr>
                    <w:pStyle w:val="65"/>
                    <w:rPr>
                      <w:color w:val="auto"/>
                      <w:szCs w:val="24"/>
                    </w:rPr>
                  </w:pPr>
                </w:p>
              </w:tc>
              <w:tc>
                <w:tcPr>
                  <w:tcW w:w="896" w:type="pct"/>
                  <w:tcBorders>
                    <w:top w:val="nil"/>
                    <w:left w:val="nil"/>
                    <w:bottom w:val="single" w:color="auto" w:sz="4" w:space="0"/>
                    <w:right w:val="single" w:color="auto" w:sz="4" w:space="0"/>
                  </w:tcBorders>
                  <w:vAlign w:val="center"/>
                </w:tcPr>
                <w:p w14:paraId="643256EA">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7A3D4504">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1B8DADE1">
                  <w:pPr>
                    <w:pStyle w:val="65"/>
                    <w:rPr>
                      <w:rFonts w:eastAsia="等线" w:cs="Times New Roman"/>
                      <w:color w:val="auto"/>
                      <w:szCs w:val="24"/>
                    </w:rPr>
                  </w:pPr>
                  <w:r>
                    <w:rPr>
                      <w:rFonts w:eastAsia="等线" w:cs="Times New Roman"/>
                      <w:color w:val="auto"/>
                      <w:szCs w:val="24"/>
                    </w:rPr>
                    <w:t>39</w:t>
                  </w:r>
                </w:p>
              </w:tc>
              <w:tc>
                <w:tcPr>
                  <w:tcW w:w="833" w:type="pct"/>
                  <w:tcBorders>
                    <w:top w:val="nil"/>
                    <w:left w:val="nil"/>
                    <w:bottom w:val="single" w:color="auto" w:sz="4" w:space="0"/>
                    <w:right w:val="single" w:color="auto" w:sz="4" w:space="0"/>
                  </w:tcBorders>
                  <w:noWrap/>
                  <w:vAlign w:val="center"/>
                </w:tcPr>
                <w:p w14:paraId="25545B4B">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303F1BD2">
                  <w:pPr>
                    <w:pStyle w:val="65"/>
                    <w:rPr>
                      <w:color w:val="auto"/>
                    </w:rPr>
                  </w:pPr>
                  <w:r>
                    <w:rPr>
                      <w:rFonts w:hint="eastAsia"/>
                      <w:color w:val="auto"/>
                    </w:rPr>
                    <w:t>达标</w:t>
                  </w:r>
                </w:p>
              </w:tc>
            </w:tr>
            <w:tr w14:paraId="6474D4CE">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2B430721">
                  <w:pPr>
                    <w:pStyle w:val="65"/>
                    <w:rPr>
                      <w:color w:val="auto"/>
                      <w:szCs w:val="24"/>
                    </w:rPr>
                  </w:pPr>
                </w:p>
              </w:tc>
              <w:tc>
                <w:tcPr>
                  <w:tcW w:w="896" w:type="pct"/>
                  <w:tcBorders>
                    <w:top w:val="nil"/>
                    <w:left w:val="nil"/>
                    <w:bottom w:val="single" w:color="auto" w:sz="4" w:space="0"/>
                    <w:right w:val="single" w:color="auto" w:sz="4" w:space="0"/>
                  </w:tcBorders>
                  <w:vAlign w:val="center"/>
                </w:tcPr>
                <w:p w14:paraId="45753E41">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3DE20D7E">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242C785C">
                  <w:pPr>
                    <w:pStyle w:val="65"/>
                    <w:rPr>
                      <w:rFonts w:eastAsia="等线" w:cs="Times New Roman"/>
                      <w:color w:val="auto"/>
                      <w:szCs w:val="24"/>
                    </w:rPr>
                  </w:pPr>
                  <w:r>
                    <w:rPr>
                      <w:rFonts w:eastAsia="等线" w:cs="Times New Roman"/>
                      <w:color w:val="auto"/>
                      <w:szCs w:val="24"/>
                    </w:rPr>
                    <w:t>42</w:t>
                  </w:r>
                </w:p>
              </w:tc>
              <w:tc>
                <w:tcPr>
                  <w:tcW w:w="833" w:type="pct"/>
                  <w:tcBorders>
                    <w:top w:val="nil"/>
                    <w:left w:val="nil"/>
                    <w:bottom w:val="single" w:color="auto" w:sz="4" w:space="0"/>
                    <w:right w:val="single" w:color="auto" w:sz="4" w:space="0"/>
                  </w:tcBorders>
                  <w:noWrap/>
                  <w:vAlign w:val="center"/>
                </w:tcPr>
                <w:p w14:paraId="5912363D">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2AB7B3AE">
                  <w:pPr>
                    <w:pStyle w:val="65"/>
                    <w:rPr>
                      <w:color w:val="auto"/>
                    </w:rPr>
                  </w:pPr>
                  <w:r>
                    <w:rPr>
                      <w:rFonts w:hint="eastAsia"/>
                      <w:color w:val="auto"/>
                    </w:rPr>
                    <w:t>达标</w:t>
                  </w:r>
                </w:p>
              </w:tc>
            </w:tr>
            <w:tr w14:paraId="05CF888B">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7114BE52">
                  <w:pPr>
                    <w:pStyle w:val="65"/>
                    <w:rPr>
                      <w:color w:val="auto"/>
                      <w:szCs w:val="24"/>
                    </w:rPr>
                  </w:pPr>
                </w:p>
              </w:tc>
              <w:tc>
                <w:tcPr>
                  <w:tcW w:w="896" w:type="pct"/>
                  <w:tcBorders>
                    <w:top w:val="nil"/>
                    <w:left w:val="nil"/>
                    <w:bottom w:val="single" w:color="auto" w:sz="4" w:space="0"/>
                    <w:right w:val="single" w:color="auto" w:sz="4" w:space="0"/>
                  </w:tcBorders>
                  <w:vAlign w:val="center"/>
                </w:tcPr>
                <w:p w14:paraId="43D647AD">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0E88834E">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2621F771">
                  <w:pPr>
                    <w:pStyle w:val="65"/>
                    <w:rPr>
                      <w:rFonts w:eastAsia="等线" w:cs="Times New Roman"/>
                      <w:color w:val="auto"/>
                      <w:szCs w:val="24"/>
                    </w:rPr>
                  </w:pPr>
                  <w:r>
                    <w:rPr>
                      <w:rFonts w:eastAsia="等线" w:cs="Times New Roman"/>
                      <w:color w:val="auto"/>
                      <w:szCs w:val="24"/>
                    </w:rPr>
                    <w:t>37</w:t>
                  </w:r>
                </w:p>
              </w:tc>
              <w:tc>
                <w:tcPr>
                  <w:tcW w:w="833" w:type="pct"/>
                  <w:tcBorders>
                    <w:top w:val="nil"/>
                    <w:left w:val="nil"/>
                    <w:bottom w:val="single" w:color="auto" w:sz="4" w:space="0"/>
                    <w:right w:val="single" w:color="auto" w:sz="4" w:space="0"/>
                  </w:tcBorders>
                  <w:noWrap/>
                  <w:vAlign w:val="center"/>
                </w:tcPr>
                <w:p w14:paraId="001E750F">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2B7D6D1C">
                  <w:pPr>
                    <w:pStyle w:val="65"/>
                    <w:rPr>
                      <w:color w:val="auto"/>
                    </w:rPr>
                  </w:pPr>
                  <w:r>
                    <w:rPr>
                      <w:rFonts w:hint="eastAsia"/>
                      <w:color w:val="auto"/>
                    </w:rPr>
                    <w:t>达标</w:t>
                  </w:r>
                </w:p>
              </w:tc>
            </w:tr>
            <w:tr w14:paraId="48B5D245">
              <w:tblPrEx>
                <w:tblCellMar>
                  <w:top w:w="0" w:type="dxa"/>
                  <w:left w:w="108" w:type="dxa"/>
                  <w:bottom w:w="0" w:type="dxa"/>
                  <w:right w:w="108" w:type="dxa"/>
                </w:tblCellMar>
              </w:tblPrEx>
              <w:trPr>
                <w:trHeight w:val="454" w:hRule="atLeast"/>
              </w:trPr>
              <w:tc>
                <w:tcPr>
                  <w:tcW w:w="814" w:type="pct"/>
                  <w:vMerge w:val="restart"/>
                  <w:tcBorders>
                    <w:top w:val="nil"/>
                    <w:left w:val="single" w:color="auto" w:sz="4" w:space="0"/>
                    <w:bottom w:val="single" w:color="auto" w:sz="4" w:space="0"/>
                    <w:right w:val="single" w:color="auto" w:sz="4" w:space="0"/>
                  </w:tcBorders>
                  <w:vAlign w:val="center"/>
                </w:tcPr>
                <w:p w14:paraId="05B5F54C">
                  <w:pPr>
                    <w:pStyle w:val="65"/>
                    <w:rPr>
                      <w:color w:val="auto"/>
                      <w:szCs w:val="24"/>
                    </w:rPr>
                  </w:pPr>
                  <w:r>
                    <w:rPr>
                      <w:rFonts w:hint="eastAsia"/>
                      <w:color w:val="auto"/>
                      <w:szCs w:val="24"/>
                    </w:rPr>
                    <w:t>包茂村</w:t>
                  </w:r>
                </w:p>
              </w:tc>
              <w:tc>
                <w:tcPr>
                  <w:tcW w:w="896" w:type="pct"/>
                  <w:tcBorders>
                    <w:top w:val="nil"/>
                    <w:left w:val="nil"/>
                    <w:bottom w:val="single" w:color="auto" w:sz="4" w:space="0"/>
                    <w:right w:val="single" w:color="auto" w:sz="4" w:space="0"/>
                  </w:tcBorders>
                  <w:vAlign w:val="center"/>
                </w:tcPr>
                <w:p w14:paraId="30900BF3">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21272A9E">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769AB1DB">
                  <w:pPr>
                    <w:pStyle w:val="65"/>
                    <w:rPr>
                      <w:rFonts w:eastAsia="等线" w:cs="Times New Roman"/>
                      <w:color w:val="auto"/>
                      <w:szCs w:val="24"/>
                    </w:rPr>
                  </w:pPr>
                  <w:r>
                    <w:rPr>
                      <w:rFonts w:eastAsia="等线" w:cs="Times New Roman"/>
                      <w:color w:val="auto"/>
                      <w:szCs w:val="24"/>
                    </w:rPr>
                    <w:t>44</w:t>
                  </w:r>
                </w:p>
              </w:tc>
              <w:tc>
                <w:tcPr>
                  <w:tcW w:w="833" w:type="pct"/>
                  <w:tcBorders>
                    <w:top w:val="nil"/>
                    <w:left w:val="nil"/>
                    <w:bottom w:val="single" w:color="auto" w:sz="4" w:space="0"/>
                    <w:right w:val="single" w:color="auto" w:sz="4" w:space="0"/>
                  </w:tcBorders>
                  <w:noWrap/>
                  <w:vAlign w:val="center"/>
                </w:tcPr>
                <w:p w14:paraId="27A6232F">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2BA08908">
                  <w:pPr>
                    <w:pStyle w:val="65"/>
                    <w:rPr>
                      <w:color w:val="auto"/>
                    </w:rPr>
                  </w:pPr>
                  <w:r>
                    <w:rPr>
                      <w:rFonts w:hint="eastAsia"/>
                      <w:color w:val="auto"/>
                    </w:rPr>
                    <w:t>达标</w:t>
                  </w:r>
                </w:p>
              </w:tc>
            </w:tr>
            <w:tr w14:paraId="65063BC8">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02507D28">
                  <w:pPr>
                    <w:pStyle w:val="65"/>
                    <w:rPr>
                      <w:color w:val="auto"/>
                      <w:szCs w:val="24"/>
                    </w:rPr>
                  </w:pPr>
                </w:p>
              </w:tc>
              <w:tc>
                <w:tcPr>
                  <w:tcW w:w="896" w:type="pct"/>
                  <w:tcBorders>
                    <w:top w:val="nil"/>
                    <w:left w:val="nil"/>
                    <w:bottom w:val="single" w:color="auto" w:sz="4" w:space="0"/>
                    <w:right w:val="single" w:color="auto" w:sz="4" w:space="0"/>
                  </w:tcBorders>
                  <w:vAlign w:val="center"/>
                </w:tcPr>
                <w:p w14:paraId="64DE2412">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391ABDC1">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51EE5F37">
                  <w:pPr>
                    <w:pStyle w:val="65"/>
                    <w:rPr>
                      <w:rFonts w:eastAsia="等线" w:cs="Times New Roman"/>
                      <w:color w:val="auto"/>
                      <w:szCs w:val="24"/>
                    </w:rPr>
                  </w:pPr>
                  <w:r>
                    <w:rPr>
                      <w:rFonts w:eastAsia="等线" w:cs="Times New Roman"/>
                      <w:color w:val="auto"/>
                      <w:szCs w:val="24"/>
                    </w:rPr>
                    <w:t>39</w:t>
                  </w:r>
                </w:p>
              </w:tc>
              <w:tc>
                <w:tcPr>
                  <w:tcW w:w="833" w:type="pct"/>
                  <w:tcBorders>
                    <w:top w:val="nil"/>
                    <w:left w:val="nil"/>
                    <w:bottom w:val="single" w:color="auto" w:sz="4" w:space="0"/>
                    <w:right w:val="single" w:color="auto" w:sz="4" w:space="0"/>
                  </w:tcBorders>
                  <w:noWrap/>
                  <w:vAlign w:val="center"/>
                </w:tcPr>
                <w:p w14:paraId="40C7B379">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483CF16A">
                  <w:pPr>
                    <w:pStyle w:val="65"/>
                    <w:rPr>
                      <w:color w:val="auto"/>
                    </w:rPr>
                  </w:pPr>
                  <w:r>
                    <w:rPr>
                      <w:rFonts w:hint="eastAsia"/>
                      <w:color w:val="auto"/>
                    </w:rPr>
                    <w:t>达标</w:t>
                  </w:r>
                </w:p>
              </w:tc>
            </w:tr>
            <w:tr w14:paraId="6F81659F">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3B30646A">
                  <w:pPr>
                    <w:pStyle w:val="65"/>
                    <w:rPr>
                      <w:color w:val="auto"/>
                      <w:szCs w:val="24"/>
                    </w:rPr>
                  </w:pPr>
                </w:p>
              </w:tc>
              <w:tc>
                <w:tcPr>
                  <w:tcW w:w="896" w:type="pct"/>
                  <w:tcBorders>
                    <w:top w:val="nil"/>
                    <w:left w:val="nil"/>
                    <w:bottom w:val="single" w:color="auto" w:sz="4" w:space="0"/>
                    <w:right w:val="single" w:color="auto" w:sz="4" w:space="0"/>
                  </w:tcBorders>
                  <w:vAlign w:val="center"/>
                </w:tcPr>
                <w:p w14:paraId="4A88FA8B">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04007DA4">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21E0B992">
                  <w:pPr>
                    <w:pStyle w:val="65"/>
                    <w:rPr>
                      <w:rFonts w:eastAsia="等线" w:cs="Times New Roman"/>
                      <w:color w:val="auto"/>
                      <w:szCs w:val="24"/>
                    </w:rPr>
                  </w:pPr>
                  <w:r>
                    <w:rPr>
                      <w:rFonts w:eastAsia="等线" w:cs="Times New Roman"/>
                      <w:color w:val="auto"/>
                      <w:szCs w:val="24"/>
                    </w:rPr>
                    <w:t>45</w:t>
                  </w:r>
                </w:p>
              </w:tc>
              <w:tc>
                <w:tcPr>
                  <w:tcW w:w="833" w:type="pct"/>
                  <w:tcBorders>
                    <w:top w:val="nil"/>
                    <w:left w:val="nil"/>
                    <w:bottom w:val="single" w:color="auto" w:sz="4" w:space="0"/>
                    <w:right w:val="single" w:color="auto" w:sz="4" w:space="0"/>
                  </w:tcBorders>
                  <w:noWrap/>
                  <w:vAlign w:val="center"/>
                </w:tcPr>
                <w:p w14:paraId="453BEA55">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2699A5FB">
                  <w:pPr>
                    <w:pStyle w:val="65"/>
                    <w:rPr>
                      <w:color w:val="auto"/>
                    </w:rPr>
                  </w:pPr>
                  <w:r>
                    <w:rPr>
                      <w:rFonts w:hint="eastAsia"/>
                      <w:color w:val="auto"/>
                    </w:rPr>
                    <w:t>达标</w:t>
                  </w:r>
                </w:p>
              </w:tc>
            </w:tr>
            <w:tr w14:paraId="167E782D">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522483FD">
                  <w:pPr>
                    <w:pStyle w:val="65"/>
                    <w:rPr>
                      <w:color w:val="auto"/>
                      <w:szCs w:val="24"/>
                    </w:rPr>
                  </w:pPr>
                </w:p>
              </w:tc>
              <w:tc>
                <w:tcPr>
                  <w:tcW w:w="896" w:type="pct"/>
                  <w:tcBorders>
                    <w:top w:val="nil"/>
                    <w:left w:val="nil"/>
                    <w:bottom w:val="single" w:color="auto" w:sz="4" w:space="0"/>
                    <w:right w:val="single" w:color="auto" w:sz="4" w:space="0"/>
                  </w:tcBorders>
                  <w:vAlign w:val="center"/>
                </w:tcPr>
                <w:p w14:paraId="5DE86B3B">
                  <w:pPr>
                    <w:pStyle w:val="65"/>
                    <w:rPr>
                      <w:rFonts w:eastAsia="等线" w:cs="Times New Roman"/>
                      <w:color w:val="auto"/>
                      <w:szCs w:val="24"/>
                    </w:rPr>
                  </w:pPr>
                  <w:r>
                    <w:rPr>
                      <w:rFonts w:eastAsia="等线" w:cs="Times New Roman"/>
                      <w:color w:val="auto"/>
                      <w:szCs w:val="24"/>
                    </w:rPr>
                    <w:t>2025.12.25</w:t>
                  </w:r>
                </w:p>
              </w:tc>
              <w:tc>
                <w:tcPr>
                  <w:tcW w:w="806" w:type="pct"/>
                  <w:tcBorders>
                    <w:top w:val="nil"/>
                    <w:left w:val="nil"/>
                    <w:bottom w:val="single" w:color="auto" w:sz="4" w:space="0"/>
                    <w:right w:val="single" w:color="auto" w:sz="4" w:space="0"/>
                  </w:tcBorders>
                  <w:vAlign w:val="center"/>
                </w:tcPr>
                <w:p w14:paraId="3866ACF9">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56068D92">
                  <w:pPr>
                    <w:pStyle w:val="65"/>
                    <w:rPr>
                      <w:rFonts w:eastAsia="等线" w:cs="Times New Roman"/>
                      <w:color w:val="auto"/>
                      <w:szCs w:val="24"/>
                    </w:rPr>
                  </w:pPr>
                  <w:r>
                    <w:rPr>
                      <w:rFonts w:eastAsia="等线" w:cs="Times New Roman"/>
                      <w:color w:val="auto"/>
                      <w:szCs w:val="24"/>
                    </w:rPr>
                    <w:t>39</w:t>
                  </w:r>
                </w:p>
              </w:tc>
              <w:tc>
                <w:tcPr>
                  <w:tcW w:w="833" w:type="pct"/>
                  <w:tcBorders>
                    <w:top w:val="nil"/>
                    <w:left w:val="nil"/>
                    <w:bottom w:val="single" w:color="auto" w:sz="4" w:space="0"/>
                    <w:right w:val="single" w:color="auto" w:sz="4" w:space="0"/>
                  </w:tcBorders>
                  <w:noWrap/>
                  <w:vAlign w:val="center"/>
                </w:tcPr>
                <w:p w14:paraId="5471EDF5">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31C2BAA1">
                  <w:pPr>
                    <w:pStyle w:val="65"/>
                    <w:rPr>
                      <w:color w:val="auto"/>
                    </w:rPr>
                  </w:pPr>
                  <w:r>
                    <w:rPr>
                      <w:rFonts w:hint="eastAsia"/>
                      <w:color w:val="auto"/>
                    </w:rPr>
                    <w:t>达标</w:t>
                  </w:r>
                </w:p>
              </w:tc>
            </w:tr>
            <w:tr w14:paraId="7E26E7FA">
              <w:tblPrEx>
                <w:tblCellMar>
                  <w:top w:w="0" w:type="dxa"/>
                  <w:left w:w="108" w:type="dxa"/>
                  <w:bottom w:w="0" w:type="dxa"/>
                  <w:right w:w="108" w:type="dxa"/>
                </w:tblCellMar>
              </w:tblPrEx>
              <w:trPr>
                <w:trHeight w:val="454" w:hRule="atLeast"/>
              </w:trPr>
              <w:tc>
                <w:tcPr>
                  <w:tcW w:w="814" w:type="pct"/>
                  <w:vMerge w:val="restart"/>
                  <w:tcBorders>
                    <w:top w:val="nil"/>
                    <w:left w:val="single" w:color="auto" w:sz="4" w:space="0"/>
                    <w:bottom w:val="single" w:color="auto" w:sz="4" w:space="0"/>
                    <w:right w:val="single" w:color="auto" w:sz="4" w:space="0"/>
                  </w:tcBorders>
                  <w:vAlign w:val="center"/>
                </w:tcPr>
                <w:p w14:paraId="0CD506FB">
                  <w:pPr>
                    <w:pStyle w:val="65"/>
                    <w:rPr>
                      <w:color w:val="auto"/>
                      <w:szCs w:val="24"/>
                    </w:rPr>
                  </w:pPr>
                  <w:r>
                    <w:rPr>
                      <w:rFonts w:hint="eastAsia"/>
                      <w:color w:val="auto"/>
                      <w:szCs w:val="24"/>
                    </w:rPr>
                    <w:t>包茂村散户</w:t>
                  </w:r>
                </w:p>
              </w:tc>
              <w:tc>
                <w:tcPr>
                  <w:tcW w:w="896" w:type="pct"/>
                  <w:tcBorders>
                    <w:top w:val="nil"/>
                    <w:left w:val="nil"/>
                    <w:bottom w:val="single" w:color="auto" w:sz="4" w:space="0"/>
                    <w:right w:val="single" w:color="auto" w:sz="4" w:space="0"/>
                  </w:tcBorders>
                  <w:vAlign w:val="center"/>
                </w:tcPr>
                <w:p w14:paraId="63797A3D">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465352B2">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05985D05">
                  <w:pPr>
                    <w:pStyle w:val="65"/>
                    <w:rPr>
                      <w:rFonts w:eastAsia="等线" w:cs="Times New Roman"/>
                      <w:color w:val="auto"/>
                      <w:szCs w:val="24"/>
                    </w:rPr>
                  </w:pPr>
                  <w:r>
                    <w:rPr>
                      <w:rFonts w:eastAsia="等线" w:cs="Times New Roman"/>
                      <w:color w:val="auto"/>
                      <w:szCs w:val="24"/>
                    </w:rPr>
                    <w:t>43</w:t>
                  </w:r>
                </w:p>
              </w:tc>
              <w:tc>
                <w:tcPr>
                  <w:tcW w:w="833" w:type="pct"/>
                  <w:tcBorders>
                    <w:top w:val="nil"/>
                    <w:left w:val="nil"/>
                    <w:bottom w:val="single" w:color="auto" w:sz="4" w:space="0"/>
                    <w:right w:val="single" w:color="auto" w:sz="4" w:space="0"/>
                  </w:tcBorders>
                  <w:noWrap/>
                  <w:vAlign w:val="center"/>
                </w:tcPr>
                <w:p w14:paraId="413540F0">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330912E7">
                  <w:pPr>
                    <w:pStyle w:val="65"/>
                    <w:rPr>
                      <w:color w:val="auto"/>
                    </w:rPr>
                  </w:pPr>
                  <w:r>
                    <w:rPr>
                      <w:rFonts w:hint="eastAsia"/>
                      <w:color w:val="auto"/>
                    </w:rPr>
                    <w:t>达标</w:t>
                  </w:r>
                </w:p>
              </w:tc>
            </w:tr>
            <w:tr w14:paraId="636A58A9">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359E6DA3">
                  <w:pPr>
                    <w:pStyle w:val="65"/>
                    <w:rPr>
                      <w:color w:val="auto"/>
                      <w:szCs w:val="24"/>
                    </w:rPr>
                  </w:pPr>
                </w:p>
              </w:tc>
              <w:tc>
                <w:tcPr>
                  <w:tcW w:w="896" w:type="pct"/>
                  <w:tcBorders>
                    <w:top w:val="nil"/>
                    <w:left w:val="nil"/>
                    <w:bottom w:val="single" w:color="auto" w:sz="4" w:space="0"/>
                    <w:right w:val="single" w:color="auto" w:sz="4" w:space="0"/>
                  </w:tcBorders>
                  <w:vAlign w:val="center"/>
                </w:tcPr>
                <w:p w14:paraId="19E0DDF5">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62AFCE61">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0D8D38EE">
                  <w:pPr>
                    <w:pStyle w:val="65"/>
                    <w:rPr>
                      <w:rFonts w:eastAsia="等线" w:cs="Times New Roman"/>
                      <w:color w:val="auto"/>
                      <w:szCs w:val="24"/>
                    </w:rPr>
                  </w:pPr>
                  <w:r>
                    <w:rPr>
                      <w:rFonts w:eastAsia="等线" w:cs="Times New Roman"/>
                      <w:color w:val="auto"/>
                      <w:szCs w:val="24"/>
                    </w:rPr>
                    <w:t>38</w:t>
                  </w:r>
                </w:p>
              </w:tc>
              <w:tc>
                <w:tcPr>
                  <w:tcW w:w="833" w:type="pct"/>
                  <w:tcBorders>
                    <w:top w:val="nil"/>
                    <w:left w:val="nil"/>
                    <w:bottom w:val="single" w:color="auto" w:sz="4" w:space="0"/>
                    <w:right w:val="single" w:color="auto" w:sz="4" w:space="0"/>
                  </w:tcBorders>
                  <w:noWrap/>
                  <w:vAlign w:val="center"/>
                </w:tcPr>
                <w:p w14:paraId="7DCDC631">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5A394DCB">
                  <w:pPr>
                    <w:pStyle w:val="65"/>
                    <w:rPr>
                      <w:color w:val="auto"/>
                    </w:rPr>
                  </w:pPr>
                  <w:r>
                    <w:rPr>
                      <w:rFonts w:hint="eastAsia"/>
                      <w:color w:val="auto"/>
                    </w:rPr>
                    <w:t>达标</w:t>
                  </w:r>
                </w:p>
              </w:tc>
            </w:tr>
            <w:tr w14:paraId="19CAD934">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01D8252A">
                  <w:pPr>
                    <w:pStyle w:val="65"/>
                    <w:rPr>
                      <w:color w:val="auto"/>
                      <w:szCs w:val="24"/>
                    </w:rPr>
                  </w:pPr>
                </w:p>
              </w:tc>
              <w:tc>
                <w:tcPr>
                  <w:tcW w:w="896" w:type="pct"/>
                  <w:tcBorders>
                    <w:top w:val="nil"/>
                    <w:left w:val="nil"/>
                    <w:bottom w:val="single" w:color="auto" w:sz="4" w:space="0"/>
                    <w:right w:val="single" w:color="auto" w:sz="4" w:space="0"/>
                  </w:tcBorders>
                  <w:vAlign w:val="center"/>
                </w:tcPr>
                <w:p w14:paraId="5C166099">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6184AB18">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39A49C93">
                  <w:pPr>
                    <w:pStyle w:val="65"/>
                    <w:rPr>
                      <w:rFonts w:eastAsia="等线" w:cs="Times New Roman"/>
                      <w:color w:val="auto"/>
                      <w:szCs w:val="24"/>
                    </w:rPr>
                  </w:pPr>
                  <w:r>
                    <w:rPr>
                      <w:rFonts w:eastAsia="等线" w:cs="Times New Roman"/>
                      <w:color w:val="auto"/>
                      <w:szCs w:val="24"/>
                    </w:rPr>
                    <w:t>43</w:t>
                  </w:r>
                </w:p>
              </w:tc>
              <w:tc>
                <w:tcPr>
                  <w:tcW w:w="833" w:type="pct"/>
                  <w:tcBorders>
                    <w:top w:val="nil"/>
                    <w:left w:val="nil"/>
                    <w:bottom w:val="single" w:color="auto" w:sz="4" w:space="0"/>
                    <w:right w:val="single" w:color="auto" w:sz="4" w:space="0"/>
                  </w:tcBorders>
                  <w:noWrap/>
                  <w:vAlign w:val="center"/>
                </w:tcPr>
                <w:p w14:paraId="7B17799B">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4EA13714">
                  <w:pPr>
                    <w:pStyle w:val="65"/>
                    <w:rPr>
                      <w:color w:val="auto"/>
                    </w:rPr>
                  </w:pPr>
                  <w:r>
                    <w:rPr>
                      <w:rFonts w:hint="eastAsia"/>
                      <w:color w:val="auto"/>
                    </w:rPr>
                    <w:t>达标</w:t>
                  </w:r>
                </w:p>
              </w:tc>
            </w:tr>
            <w:tr w14:paraId="5FB1D777">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15FB58B0">
                  <w:pPr>
                    <w:pStyle w:val="65"/>
                    <w:rPr>
                      <w:color w:val="auto"/>
                      <w:szCs w:val="24"/>
                    </w:rPr>
                  </w:pPr>
                </w:p>
              </w:tc>
              <w:tc>
                <w:tcPr>
                  <w:tcW w:w="896" w:type="pct"/>
                  <w:tcBorders>
                    <w:top w:val="nil"/>
                    <w:left w:val="nil"/>
                    <w:bottom w:val="single" w:color="auto" w:sz="4" w:space="0"/>
                    <w:right w:val="single" w:color="auto" w:sz="4" w:space="0"/>
                  </w:tcBorders>
                  <w:vAlign w:val="center"/>
                </w:tcPr>
                <w:p w14:paraId="668625A3">
                  <w:pPr>
                    <w:pStyle w:val="65"/>
                    <w:rPr>
                      <w:rFonts w:eastAsia="等线" w:cs="Times New Roman"/>
                      <w:color w:val="auto"/>
                      <w:szCs w:val="24"/>
                    </w:rPr>
                  </w:pPr>
                  <w:r>
                    <w:rPr>
                      <w:rFonts w:eastAsia="等线" w:cs="Times New Roman"/>
                      <w:color w:val="auto"/>
                      <w:szCs w:val="24"/>
                    </w:rPr>
                    <w:t>2025.12.25</w:t>
                  </w:r>
                </w:p>
              </w:tc>
              <w:tc>
                <w:tcPr>
                  <w:tcW w:w="806" w:type="pct"/>
                  <w:tcBorders>
                    <w:top w:val="nil"/>
                    <w:left w:val="nil"/>
                    <w:bottom w:val="single" w:color="auto" w:sz="4" w:space="0"/>
                    <w:right w:val="single" w:color="auto" w:sz="4" w:space="0"/>
                  </w:tcBorders>
                  <w:vAlign w:val="center"/>
                </w:tcPr>
                <w:p w14:paraId="435EC5EA">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25DB8AD6">
                  <w:pPr>
                    <w:pStyle w:val="65"/>
                    <w:rPr>
                      <w:rFonts w:eastAsia="等线" w:cs="Times New Roman"/>
                      <w:color w:val="auto"/>
                      <w:szCs w:val="24"/>
                    </w:rPr>
                  </w:pPr>
                  <w:r>
                    <w:rPr>
                      <w:rFonts w:eastAsia="等线" w:cs="Times New Roman"/>
                      <w:color w:val="auto"/>
                      <w:szCs w:val="24"/>
                    </w:rPr>
                    <w:t>38</w:t>
                  </w:r>
                </w:p>
              </w:tc>
              <w:tc>
                <w:tcPr>
                  <w:tcW w:w="833" w:type="pct"/>
                  <w:tcBorders>
                    <w:top w:val="nil"/>
                    <w:left w:val="nil"/>
                    <w:bottom w:val="single" w:color="auto" w:sz="4" w:space="0"/>
                    <w:right w:val="single" w:color="auto" w:sz="4" w:space="0"/>
                  </w:tcBorders>
                  <w:noWrap/>
                  <w:vAlign w:val="center"/>
                </w:tcPr>
                <w:p w14:paraId="7269EBA3">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6481B962">
                  <w:pPr>
                    <w:pStyle w:val="65"/>
                    <w:rPr>
                      <w:color w:val="auto"/>
                    </w:rPr>
                  </w:pPr>
                  <w:r>
                    <w:rPr>
                      <w:rFonts w:hint="eastAsia"/>
                      <w:color w:val="auto"/>
                    </w:rPr>
                    <w:t>达标</w:t>
                  </w:r>
                </w:p>
              </w:tc>
            </w:tr>
            <w:tr w14:paraId="4D3D47FE">
              <w:tblPrEx>
                <w:tblCellMar>
                  <w:top w:w="0" w:type="dxa"/>
                  <w:left w:w="108" w:type="dxa"/>
                  <w:bottom w:w="0" w:type="dxa"/>
                  <w:right w:w="108" w:type="dxa"/>
                </w:tblCellMar>
              </w:tblPrEx>
              <w:trPr>
                <w:trHeight w:val="454" w:hRule="atLeast"/>
              </w:trPr>
              <w:tc>
                <w:tcPr>
                  <w:tcW w:w="814" w:type="pct"/>
                  <w:vMerge w:val="restart"/>
                  <w:tcBorders>
                    <w:top w:val="nil"/>
                    <w:left w:val="single" w:color="auto" w:sz="4" w:space="0"/>
                    <w:bottom w:val="single" w:color="auto" w:sz="4" w:space="0"/>
                    <w:right w:val="single" w:color="auto" w:sz="4" w:space="0"/>
                  </w:tcBorders>
                  <w:vAlign w:val="center"/>
                </w:tcPr>
                <w:p w14:paraId="44A3DB87">
                  <w:pPr>
                    <w:pStyle w:val="65"/>
                    <w:rPr>
                      <w:color w:val="auto"/>
                      <w:szCs w:val="24"/>
                    </w:rPr>
                  </w:pPr>
                  <w:r>
                    <w:rPr>
                      <w:rFonts w:hint="eastAsia"/>
                      <w:color w:val="auto"/>
                      <w:szCs w:val="24"/>
                    </w:rPr>
                    <w:t>大歇场</w:t>
                  </w:r>
                </w:p>
              </w:tc>
              <w:tc>
                <w:tcPr>
                  <w:tcW w:w="896" w:type="pct"/>
                  <w:tcBorders>
                    <w:top w:val="nil"/>
                    <w:left w:val="nil"/>
                    <w:bottom w:val="single" w:color="auto" w:sz="4" w:space="0"/>
                    <w:right w:val="single" w:color="auto" w:sz="4" w:space="0"/>
                  </w:tcBorders>
                  <w:vAlign w:val="center"/>
                </w:tcPr>
                <w:p w14:paraId="5D29A814">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2221DF89">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08893D33">
                  <w:pPr>
                    <w:pStyle w:val="65"/>
                    <w:rPr>
                      <w:rFonts w:eastAsia="等线" w:cs="Times New Roman"/>
                      <w:color w:val="auto"/>
                      <w:szCs w:val="24"/>
                    </w:rPr>
                  </w:pPr>
                  <w:r>
                    <w:rPr>
                      <w:rFonts w:eastAsia="等线" w:cs="Times New Roman"/>
                      <w:color w:val="auto"/>
                      <w:szCs w:val="24"/>
                    </w:rPr>
                    <w:t>45</w:t>
                  </w:r>
                </w:p>
              </w:tc>
              <w:tc>
                <w:tcPr>
                  <w:tcW w:w="833" w:type="pct"/>
                  <w:tcBorders>
                    <w:top w:val="nil"/>
                    <w:left w:val="nil"/>
                    <w:bottom w:val="single" w:color="auto" w:sz="4" w:space="0"/>
                    <w:right w:val="single" w:color="auto" w:sz="4" w:space="0"/>
                  </w:tcBorders>
                  <w:noWrap/>
                  <w:vAlign w:val="center"/>
                </w:tcPr>
                <w:p w14:paraId="13FD8A5F">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00B224E0">
                  <w:pPr>
                    <w:pStyle w:val="65"/>
                    <w:rPr>
                      <w:color w:val="auto"/>
                    </w:rPr>
                  </w:pPr>
                  <w:r>
                    <w:rPr>
                      <w:rFonts w:hint="eastAsia"/>
                      <w:color w:val="auto"/>
                    </w:rPr>
                    <w:t>达标</w:t>
                  </w:r>
                </w:p>
              </w:tc>
            </w:tr>
            <w:tr w14:paraId="41C07E05">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42FFB1F7">
                  <w:pPr>
                    <w:pStyle w:val="65"/>
                    <w:rPr>
                      <w:color w:val="auto"/>
                      <w:szCs w:val="24"/>
                    </w:rPr>
                  </w:pPr>
                </w:p>
              </w:tc>
              <w:tc>
                <w:tcPr>
                  <w:tcW w:w="896" w:type="pct"/>
                  <w:tcBorders>
                    <w:top w:val="nil"/>
                    <w:left w:val="nil"/>
                    <w:bottom w:val="single" w:color="auto" w:sz="4" w:space="0"/>
                    <w:right w:val="single" w:color="auto" w:sz="4" w:space="0"/>
                  </w:tcBorders>
                  <w:vAlign w:val="center"/>
                </w:tcPr>
                <w:p w14:paraId="665B3C1A">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551D9673">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6B218DEB">
                  <w:pPr>
                    <w:pStyle w:val="65"/>
                    <w:rPr>
                      <w:rFonts w:eastAsia="等线" w:cs="Times New Roman"/>
                      <w:color w:val="auto"/>
                      <w:szCs w:val="24"/>
                    </w:rPr>
                  </w:pPr>
                  <w:r>
                    <w:rPr>
                      <w:rFonts w:eastAsia="等线" w:cs="Times New Roman"/>
                      <w:color w:val="auto"/>
                      <w:szCs w:val="24"/>
                    </w:rPr>
                    <w:t>40</w:t>
                  </w:r>
                </w:p>
              </w:tc>
              <w:tc>
                <w:tcPr>
                  <w:tcW w:w="833" w:type="pct"/>
                  <w:tcBorders>
                    <w:top w:val="nil"/>
                    <w:left w:val="nil"/>
                    <w:bottom w:val="single" w:color="auto" w:sz="4" w:space="0"/>
                    <w:right w:val="single" w:color="auto" w:sz="4" w:space="0"/>
                  </w:tcBorders>
                  <w:noWrap/>
                  <w:vAlign w:val="center"/>
                </w:tcPr>
                <w:p w14:paraId="014E6FE7">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3927AA64">
                  <w:pPr>
                    <w:pStyle w:val="65"/>
                    <w:rPr>
                      <w:color w:val="auto"/>
                    </w:rPr>
                  </w:pPr>
                  <w:r>
                    <w:rPr>
                      <w:rFonts w:hint="eastAsia"/>
                      <w:color w:val="auto"/>
                    </w:rPr>
                    <w:t>达标</w:t>
                  </w:r>
                </w:p>
              </w:tc>
            </w:tr>
            <w:tr w14:paraId="4F80714B">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10AF53E5">
                  <w:pPr>
                    <w:pStyle w:val="65"/>
                    <w:rPr>
                      <w:color w:val="auto"/>
                      <w:szCs w:val="24"/>
                    </w:rPr>
                  </w:pPr>
                </w:p>
              </w:tc>
              <w:tc>
                <w:tcPr>
                  <w:tcW w:w="896" w:type="pct"/>
                  <w:tcBorders>
                    <w:top w:val="nil"/>
                    <w:left w:val="nil"/>
                    <w:bottom w:val="single" w:color="auto" w:sz="4" w:space="0"/>
                    <w:right w:val="single" w:color="auto" w:sz="4" w:space="0"/>
                  </w:tcBorders>
                  <w:vAlign w:val="center"/>
                </w:tcPr>
                <w:p w14:paraId="31323602">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6E4EBEF2">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5E002A0C">
                  <w:pPr>
                    <w:pStyle w:val="65"/>
                    <w:rPr>
                      <w:rFonts w:eastAsia="等线" w:cs="Times New Roman"/>
                      <w:color w:val="auto"/>
                      <w:szCs w:val="24"/>
                    </w:rPr>
                  </w:pPr>
                  <w:r>
                    <w:rPr>
                      <w:rFonts w:eastAsia="等线" w:cs="Times New Roman"/>
                      <w:color w:val="auto"/>
                      <w:szCs w:val="24"/>
                    </w:rPr>
                    <w:t>43</w:t>
                  </w:r>
                </w:p>
              </w:tc>
              <w:tc>
                <w:tcPr>
                  <w:tcW w:w="833" w:type="pct"/>
                  <w:tcBorders>
                    <w:top w:val="nil"/>
                    <w:left w:val="nil"/>
                    <w:bottom w:val="single" w:color="auto" w:sz="4" w:space="0"/>
                    <w:right w:val="single" w:color="auto" w:sz="4" w:space="0"/>
                  </w:tcBorders>
                  <w:noWrap/>
                  <w:vAlign w:val="center"/>
                </w:tcPr>
                <w:p w14:paraId="4759E9FF">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5F72BB18">
                  <w:pPr>
                    <w:pStyle w:val="65"/>
                    <w:rPr>
                      <w:color w:val="auto"/>
                    </w:rPr>
                  </w:pPr>
                  <w:r>
                    <w:rPr>
                      <w:rFonts w:hint="eastAsia"/>
                      <w:color w:val="auto"/>
                    </w:rPr>
                    <w:t>达标</w:t>
                  </w:r>
                </w:p>
              </w:tc>
            </w:tr>
            <w:tr w14:paraId="40A84E2C">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0D872177">
                  <w:pPr>
                    <w:pStyle w:val="65"/>
                    <w:rPr>
                      <w:color w:val="auto"/>
                      <w:szCs w:val="24"/>
                    </w:rPr>
                  </w:pPr>
                </w:p>
              </w:tc>
              <w:tc>
                <w:tcPr>
                  <w:tcW w:w="896" w:type="pct"/>
                  <w:tcBorders>
                    <w:top w:val="nil"/>
                    <w:left w:val="nil"/>
                    <w:bottom w:val="single" w:color="auto" w:sz="4" w:space="0"/>
                    <w:right w:val="single" w:color="auto" w:sz="4" w:space="0"/>
                  </w:tcBorders>
                  <w:vAlign w:val="center"/>
                </w:tcPr>
                <w:p w14:paraId="141B9632">
                  <w:pPr>
                    <w:pStyle w:val="65"/>
                    <w:rPr>
                      <w:rFonts w:eastAsia="等线" w:cs="Times New Roman"/>
                      <w:color w:val="auto"/>
                      <w:szCs w:val="24"/>
                    </w:rPr>
                  </w:pPr>
                  <w:r>
                    <w:rPr>
                      <w:rFonts w:eastAsia="等线" w:cs="Times New Roman"/>
                      <w:color w:val="auto"/>
                      <w:szCs w:val="24"/>
                    </w:rPr>
                    <w:t>2025.12.25</w:t>
                  </w:r>
                </w:p>
              </w:tc>
              <w:tc>
                <w:tcPr>
                  <w:tcW w:w="806" w:type="pct"/>
                  <w:tcBorders>
                    <w:top w:val="nil"/>
                    <w:left w:val="nil"/>
                    <w:bottom w:val="single" w:color="auto" w:sz="4" w:space="0"/>
                    <w:right w:val="single" w:color="auto" w:sz="4" w:space="0"/>
                  </w:tcBorders>
                  <w:vAlign w:val="center"/>
                </w:tcPr>
                <w:p w14:paraId="015DA5FA">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00B528F0">
                  <w:pPr>
                    <w:pStyle w:val="65"/>
                    <w:rPr>
                      <w:rFonts w:eastAsia="等线" w:cs="Times New Roman"/>
                      <w:color w:val="auto"/>
                      <w:szCs w:val="24"/>
                    </w:rPr>
                  </w:pPr>
                  <w:r>
                    <w:rPr>
                      <w:rFonts w:eastAsia="等线" w:cs="Times New Roman"/>
                      <w:color w:val="auto"/>
                      <w:szCs w:val="24"/>
                    </w:rPr>
                    <w:t>38</w:t>
                  </w:r>
                </w:p>
              </w:tc>
              <w:tc>
                <w:tcPr>
                  <w:tcW w:w="833" w:type="pct"/>
                  <w:tcBorders>
                    <w:top w:val="nil"/>
                    <w:left w:val="nil"/>
                    <w:bottom w:val="single" w:color="auto" w:sz="4" w:space="0"/>
                    <w:right w:val="single" w:color="auto" w:sz="4" w:space="0"/>
                  </w:tcBorders>
                  <w:noWrap/>
                  <w:vAlign w:val="center"/>
                </w:tcPr>
                <w:p w14:paraId="40F02CBF">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58F16B25">
                  <w:pPr>
                    <w:pStyle w:val="65"/>
                    <w:rPr>
                      <w:color w:val="auto"/>
                    </w:rPr>
                  </w:pPr>
                  <w:r>
                    <w:rPr>
                      <w:rFonts w:hint="eastAsia"/>
                      <w:color w:val="auto"/>
                    </w:rPr>
                    <w:t>达标</w:t>
                  </w:r>
                </w:p>
              </w:tc>
            </w:tr>
            <w:tr w14:paraId="74EAE8E6">
              <w:tblPrEx>
                <w:tblCellMar>
                  <w:top w:w="0" w:type="dxa"/>
                  <w:left w:w="108" w:type="dxa"/>
                  <w:bottom w:w="0" w:type="dxa"/>
                  <w:right w:w="108" w:type="dxa"/>
                </w:tblCellMar>
              </w:tblPrEx>
              <w:trPr>
                <w:trHeight w:val="454" w:hRule="atLeast"/>
              </w:trPr>
              <w:tc>
                <w:tcPr>
                  <w:tcW w:w="814" w:type="pct"/>
                  <w:vMerge w:val="restart"/>
                  <w:tcBorders>
                    <w:top w:val="nil"/>
                    <w:left w:val="single" w:color="auto" w:sz="4" w:space="0"/>
                    <w:bottom w:val="single" w:color="auto" w:sz="4" w:space="0"/>
                    <w:right w:val="single" w:color="auto" w:sz="4" w:space="0"/>
                  </w:tcBorders>
                  <w:vAlign w:val="center"/>
                </w:tcPr>
                <w:p w14:paraId="13CBBEC3">
                  <w:pPr>
                    <w:pStyle w:val="65"/>
                    <w:rPr>
                      <w:color w:val="auto"/>
                      <w:szCs w:val="24"/>
                    </w:rPr>
                  </w:pPr>
                  <w:r>
                    <w:rPr>
                      <w:rFonts w:hint="eastAsia"/>
                      <w:color w:val="auto"/>
                      <w:szCs w:val="24"/>
                    </w:rPr>
                    <w:t>下柏枝</w:t>
                  </w:r>
                </w:p>
              </w:tc>
              <w:tc>
                <w:tcPr>
                  <w:tcW w:w="896" w:type="pct"/>
                  <w:tcBorders>
                    <w:top w:val="nil"/>
                    <w:left w:val="nil"/>
                    <w:bottom w:val="single" w:color="auto" w:sz="4" w:space="0"/>
                    <w:right w:val="single" w:color="auto" w:sz="4" w:space="0"/>
                  </w:tcBorders>
                  <w:vAlign w:val="center"/>
                </w:tcPr>
                <w:p w14:paraId="0A61EAFA">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69802BC5">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751C122F">
                  <w:pPr>
                    <w:pStyle w:val="65"/>
                    <w:rPr>
                      <w:rFonts w:eastAsia="等线" w:cs="Times New Roman"/>
                      <w:color w:val="auto"/>
                      <w:szCs w:val="24"/>
                    </w:rPr>
                  </w:pPr>
                  <w:r>
                    <w:rPr>
                      <w:rFonts w:eastAsia="等线" w:cs="Times New Roman"/>
                      <w:color w:val="auto"/>
                      <w:szCs w:val="24"/>
                    </w:rPr>
                    <w:t>42</w:t>
                  </w:r>
                </w:p>
              </w:tc>
              <w:tc>
                <w:tcPr>
                  <w:tcW w:w="833" w:type="pct"/>
                  <w:tcBorders>
                    <w:top w:val="nil"/>
                    <w:left w:val="nil"/>
                    <w:bottom w:val="single" w:color="auto" w:sz="4" w:space="0"/>
                    <w:right w:val="single" w:color="auto" w:sz="4" w:space="0"/>
                  </w:tcBorders>
                  <w:noWrap/>
                  <w:vAlign w:val="center"/>
                </w:tcPr>
                <w:p w14:paraId="50F28B4F">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03D747D2">
                  <w:pPr>
                    <w:pStyle w:val="65"/>
                    <w:rPr>
                      <w:color w:val="auto"/>
                    </w:rPr>
                  </w:pPr>
                  <w:r>
                    <w:rPr>
                      <w:rFonts w:hint="eastAsia"/>
                      <w:color w:val="auto"/>
                    </w:rPr>
                    <w:t>达标</w:t>
                  </w:r>
                </w:p>
              </w:tc>
            </w:tr>
            <w:tr w14:paraId="4A100AFC">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72F5C6CC">
                  <w:pPr>
                    <w:pStyle w:val="65"/>
                    <w:rPr>
                      <w:color w:val="auto"/>
                      <w:szCs w:val="24"/>
                    </w:rPr>
                  </w:pPr>
                </w:p>
              </w:tc>
              <w:tc>
                <w:tcPr>
                  <w:tcW w:w="896" w:type="pct"/>
                  <w:tcBorders>
                    <w:top w:val="nil"/>
                    <w:left w:val="nil"/>
                    <w:bottom w:val="single" w:color="auto" w:sz="4" w:space="0"/>
                    <w:right w:val="single" w:color="auto" w:sz="4" w:space="0"/>
                  </w:tcBorders>
                  <w:vAlign w:val="center"/>
                </w:tcPr>
                <w:p w14:paraId="59D87B11">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60F617DC">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5BFE4736">
                  <w:pPr>
                    <w:pStyle w:val="65"/>
                    <w:rPr>
                      <w:rFonts w:eastAsia="等线" w:cs="Times New Roman"/>
                      <w:color w:val="auto"/>
                      <w:szCs w:val="24"/>
                    </w:rPr>
                  </w:pPr>
                  <w:r>
                    <w:rPr>
                      <w:rFonts w:eastAsia="等线" w:cs="Times New Roman"/>
                      <w:color w:val="auto"/>
                      <w:szCs w:val="24"/>
                    </w:rPr>
                    <w:t>39</w:t>
                  </w:r>
                </w:p>
              </w:tc>
              <w:tc>
                <w:tcPr>
                  <w:tcW w:w="833" w:type="pct"/>
                  <w:tcBorders>
                    <w:top w:val="nil"/>
                    <w:left w:val="nil"/>
                    <w:bottom w:val="single" w:color="auto" w:sz="4" w:space="0"/>
                    <w:right w:val="single" w:color="auto" w:sz="4" w:space="0"/>
                  </w:tcBorders>
                  <w:noWrap/>
                  <w:vAlign w:val="center"/>
                </w:tcPr>
                <w:p w14:paraId="44FEB8DC">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7B06AC61">
                  <w:pPr>
                    <w:pStyle w:val="65"/>
                    <w:rPr>
                      <w:color w:val="auto"/>
                    </w:rPr>
                  </w:pPr>
                  <w:r>
                    <w:rPr>
                      <w:rFonts w:hint="eastAsia"/>
                      <w:color w:val="auto"/>
                    </w:rPr>
                    <w:t>达标</w:t>
                  </w:r>
                </w:p>
              </w:tc>
            </w:tr>
            <w:tr w14:paraId="4FA0D51A">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6482483A">
                  <w:pPr>
                    <w:pStyle w:val="65"/>
                    <w:rPr>
                      <w:color w:val="auto"/>
                      <w:szCs w:val="24"/>
                    </w:rPr>
                  </w:pPr>
                </w:p>
              </w:tc>
              <w:tc>
                <w:tcPr>
                  <w:tcW w:w="896" w:type="pct"/>
                  <w:tcBorders>
                    <w:top w:val="nil"/>
                    <w:left w:val="nil"/>
                    <w:bottom w:val="single" w:color="auto" w:sz="4" w:space="0"/>
                    <w:right w:val="single" w:color="auto" w:sz="4" w:space="0"/>
                  </w:tcBorders>
                  <w:vAlign w:val="center"/>
                </w:tcPr>
                <w:p w14:paraId="7519BB60">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773637B3">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7603C888">
                  <w:pPr>
                    <w:pStyle w:val="65"/>
                    <w:rPr>
                      <w:rFonts w:eastAsia="等线" w:cs="Times New Roman"/>
                      <w:color w:val="auto"/>
                      <w:szCs w:val="24"/>
                    </w:rPr>
                  </w:pPr>
                  <w:r>
                    <w:rPr>
                      <w:rFonts w:eastAsia="等线" w:cs="Times New Roman"/>
                      <w:color w:val="auto"/>
                      <w:szCs w:val="24"/>
                    </w:rPr>
                    <w:t>42</w:t>
                  </w:r>
                </w:p>
              </w:tc>
              <w:tc>
                <w:tcPr>
                  <w:tcW w:w="833" w:type="pct"/>
                  <w:tcBorders>
                    <w:top w:val="nil"/>
                    <w:left w:val="nil"/>
                    <w:bottom w:val="single" w:color="auto" w:sz="4" w:space="0"/>
                    <w:right w:val="single" w:color="auto" w:sz="4" w:space="0"/>
                  </w:tcBorders>
                  <w:noWrap/>
                  <w:vAlign w:val="center"/>
                </w:tcPr>
                <w:p w14:paraId="0A310903">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16337875">
                  <w:pPr>
                    <w:pStyle w:val="65"/>
                    <w:rPr>
                      <w:color w:val="auto"/>
                    </w:rPr>
                  </w:pPr>
                  <w:r>
                    <w:rPr>
                      <w:rFonts w:hint="eastAsia"/>
                      <w:color w:val="auto"/>
                    </w:rPr>
                    <w:t>达标</w:t>
                  </w:r>
                </w:p>
              </w:tc>
            </w:tr>
            <w:tr w14:paraId="19F727D8">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681C33EA">
                  <w:pPr>
                    <w:pStyle w:val="65"/>
                    <w:rPr>
                      <w:color w:val="auto"/>
                      <w:szCs w:val="24"/>
                    </w:rPr>
                  </w:pPr>
                </w:p>
              </w:tc>
              <w:tc>
                <w:tcPr>
                  <w:tcW w:w="896" w:type="pct"/>
                  <w:tcBorders>
                    <w:top w:val="nil"/>
                    <w:left w:val="nil"/>
                    <w:bottom w:val="single" w:color="auto" w:sz="4" w:space="0"/>
                    <w:right w:val="single" w:color="auto" w:sz="4" w:space="0"/>
                  </w:tcBorders>
                  <w:vAlign w:val="center"/>
                </w:tcPr>
                <w:p w14:paraId="1D00804F">
                  <w:pPr>
                    <w:pStyle w:val="65"/>
                    <w:rPr>
                      <w:rFonts w:eastAsia="等线" w:cs="Times New Roman"/>
                      <w:color w:val="auto"/>
                      <w:szCs w:val="24"/>
                    </w:rPr>
                  </w:pPr>
                  <w:r>
                    <w:rPr>
                      <w:rFonts w:eastAsia="等线" w:cs="Times New Roman"/>
                      <w:color w:val="auto"/>
                      <w:szCs w:val="24"/>
                    </w:rPr>
                    <w:t>2025.12.25</w:t>
                  </w:r>
                </w:p>
              </w:tc>
              <w:tc>
                <w:tcPr>
                  <w:tcW w:w="806" w:type="pct"/>
                  <w:tcBorders>
                    <w:top w:val="nil"/>
                    <w:left w:val="nil"/>
                    <w:bottom w:val="single" w:color="auto" w:sz="4" w:space="0"/>
                    <w:right w:val="single" w:color="auto" w:sz="4" w:space="0"/>
                  </w:tcBorders>
                  <w:vAlign w:val="center"/>
                </w:tcPr>
                <w:p w14:paraId="37472A8B">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4037FA27">
                  <w:pPr>
                    <w:pStyle w:val="65"/>
                    <w:rPr>
                      <w:rFonts w:eastAsia="等线" w:cs="Times New Roman"/>
                      <w:color w:val="auto"/>
                      <w:szCs w:val="24"/>
                    </w:rPr>
                  </w:pPr>
                  <w:r>
                    <w:rPr>
                      <w:rFonts w:eastAsia="等线" w:cs="Times New Roman"/>
                      <w:color w:val="auto"/>
                      <w:szCs w:val="24"/>
                    </w:rPr>
                    <w:t>38</w:t>
                  </w:r>
                </w:p>
              </w:tc>
              <w:tc>
                <w:tcPr>
                  <w:tcW w:w="833" w:type="pct"/>
                  <w:tcBorders>
                    <w:top w:val="nil"/>
                    <w:left w:val="nil"/>
                    <w:bottom w:val="single" w:color="auto" w:sz="4" w:space="0"/>
                    <w:right w:val="single" w:color="auto" w:sz="4" w:space="0"/>
                  </w:tcBorders>
                  <w:noWrap/>
                  <w:vAlign w:val="center"/>
                </w:tcPr>
                <w:p w14:paraId="3E8473F9">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7A61EE12">
                  <w:pPr>
                    <w:pStyle w:val="65"/>
                    <w:rPr>
                      <w:color w:val="auto"/>
                    </w:rPr>
                  </w:pPr>
                  <w:r>
                    <w:rPr>
                      <w:rFonts w:hint="eastAsia"/>
                      <w:color w:val="auto"/>
                    </w:rPr>
                    <w:t>达标</w:t>
                  </w:r>
                </w:p>
              </w:tc>
            </w:tr>
            <w:tr w14:paraId="0421CC39">
              <w:tblPrEx>
                <w:tblCellMar>
                  <w:top w:w="0" w:type="dxa"/>
                  <w:left w:w="108" w:type="dxa"/>
                  <w:bottom w:w="0" w:type="dxa"/>
                  <w:right w:w="108" w:type="dxa"/>
                </w:tblCellMar>
              </w:tblPrEx>
              <w:trPr>
                <w:trHeight w:val="454" w:hRule="atLeast"/>
              </w:trPr>
              <w:tc>
                <w:tcPr>
                  <w:tcW w:w="814" w:type="pct"/>
                  <w:vMerge w:val="restart"/>
                  <w:tcBorders>
                    <w:top w:val="nil"/>
                    <w:left w:val="single" w:color="auto" w:sz="4" w:space="0"/>
                    <w:bottom w:val="single" w:color="auto" w:sz="4" w:space="0"/>
                    <w:right w:val="single" w:color="auto" w:sz="4" w:space="0"/>
                  </w:tcBorders>
                  <w:vAlign w:val="center"/>
                </w:tcPr>
                <w:p w14:paraId="39C05453">
                  <w:pPr>
                    <w:pStyle w:val="65"/>
                    <w:rPr>
                      <w:color w:val="auto"/>
                      <w:szCs w:val="24"/>
                    </w:rPr>
                  </w:pPr>
                  <w:r>
                    <w:rPr>
                      <w:rFonts w:hint="eastAsia"/>
                      <w:color w:val="auto"/>
                      <w:szCs w:val="24"/>
                    </w:rPr>
                    <w:t>大平掌</w:t>
                  </w:r>
                </w:p>
              </w:tc>
              <w:tc>
                <w:tcPr>
                  <w:tcW w:w="896" w:type="pct"/>
                  <w:tcBorders>
                    <w:top w:val="nil"/>
                    <w:left w:val="nil"/>
                    <w:bottom w:val="single" w:color="auto" w:sz="4" w:space="0"/>
                    <w:right w:val="single" w:color="auto" w:sz="4" w:space="0"/>
                  </w:tcBorders>
                  <w:vAlign w:val="center"/>
                </w:tcPr>
                <w:p w14:paraId="226FB93D">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33221EC5">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3F033B97">
                  <w:pPr>
                    <w:pStyle w:val="65"/>
                    <w:rPr>
                      <w:rFonts w:eastAsia="等线" w:cs="Times New Roman"/>
                      <w:color w:val="auto"/>
                      <w:szCs w:val="24"/>
                    </w:rPr>
                  </w:pPr>
                  <w:r>
                    <w:rPr>
                      <w:rFonts w:eastAsia="等线" w:cs="Times New Roman"/>
                      <w:color w:val="auto"/>
                      <w:szCs w:val="24"/>
                    </w:rPr>
                    <w:t>41</w:t>
                  </w:r>
                </w:p>
              </w:tc>
              <w:tc>
                <w:tcPr>
                  <w:tcW w:w="833" w:type="pct"/>
                  <w:tcBorders>
                    <w:top w:val="nil"/>
                    <w:left w:val="nil"/>
                    <w:bottom w:val="single" w:color="auto" w:sz="4" w:space="0"/>
                    <w:right w:val="single" w:color="auto" w:sz="4" w:space="0"/>
                  </w:tcBorders>
                  <w:noWrap/>
                  <w:vAlign w:val="center"/>
                </w:tcPr>
                <w:p w14:paraId="7A11E964">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1C33A3DB">
                  <w:pPr>
                    <w:pStyle w:val="65"/>
                    <w:rPr>
                      <w:color w:val="auto"/>
                    </w:rPr>
                  </w:pPr>
                  <w:r>
                    <w:rPr>
                      <w:rFonts w:hint="eastAsia"/>
                      <w:color w:val="auto"/>
                    </w:rPr>
                    <w:t>达标</w:t>
                  </w:r>
                </w:p>
              </w:tc>
            </w:tr>
            <w:tr w14:paraId="52BBB26D">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1FA45B02">
                  <w:pPr>
                    <w:pStyle w:val="65"/>
                    <w:rPr>
                      <w:color w:val="auto"/>
                      <w:szCs w:val="24"/>
                    </w:rPr>
                  </w:pPr>
                </w:p>
              </w:tc>
              <w:tc>
                <w:tcPr>
                  <w:tcW w:w="896" w:type="pct"/>
                  <w:tcBorders>
                    <w:top w:val="nil"/>
                    <w:left w:val="nil"/>
                    <w:bottom w:val="single" w:color="auto" w:sz="4" w:space="0"/>
                    <w:right w:val="single" w:color="auto" w:sz="4" w:space="0"/>
                  </w:tcBorders>
                  <w:vAlign w:val="center"/>
                </w:tcPr>
                <w:p w14:paraId="7F442D52">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758B9B92">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07DC28C1">
                  <w:pPr>
                    <w:pStyle w:val="65"/>
                    <w:rPr>
                      <w:rFonts w:eastAsia="等线" w:cs="Times New Roman"/>
                      <w:color w:val="auto"/>
                      <w:szCs w:val="24"/>
                    </w:rPr>
                  </w:pPr>
                  <w:r>
                    <w:rPr>
                      <w:rFonts w:eastAsia="等线" w:cs="Times New Roman"/>
                      <w:color w:val="auto"/>
                      <w:szCs w:val="24"/>
                    </w:rPr>
                    <w:t>38</w:t>
                  </w:r>
                </w:p>
              </w:tc>
              <w:tc>
                <w:tcPr>
                  <w:tcW w:w="833" w:type="pct"/>
                  <w:tcBorders>
                    <w:top w:val="nil"/>
                    <w:left w:val="nil"/>
                    <w:bottom w:val="single" w:color="auto" w:sz="4" w:space="0"/>
                    <w:right w:val="single" w:color="auto" w:sz="4" w:space="0"/>
                  </w:tcBorders>
                  <w:noWrap/>
                  <w:vAlign w:val="center"/>
                </w:tcPr>
                <w:p w14:paraId="24141934">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3217B65C">
                  <w:pPr>
                    <w:pStyle w:val="65"/>
                    <w:rPr>
                      <w:color w:val="auto"/>
                    </w:rPr>
                  </w:pPr>
                  <w:r>
                    <w:rPr>
                      <w:rFonts w:hint="eastAsia"/>
                      <w:color w:val="auto"/>
                    </w:rPr>
                    <w:t>达标</w:t>
                  </w:r>
                </w:p>
              </w:tc>
            </w:tr>
            <w:tr w14:paraId="625AF620">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05B8D29F">
                  <w:pPr>
                    <w:pStyle w:val="65"/>
                    <w:rPr>
                      <w:color w:val="auto"/>
                      <w:szCs w:val="24"/>
                    </w:rPr>
                  </w:pPr>
                </w:p>
              </w:tc>
              <w:tc>
                <w:tcPr>
                  <w:tcW w:w="896" w:type="pct"/>
                  <w:tcBorders>
                    <w:top w:val="nil"/>
                    <w:left w:val="nil"/>
                    <w:bottom w:val="single" w:color="auto" w:sz="4" w:space="0"/>
                    <w:right w:val="single" w:color="auto" w:sz="4" w:space="0"/>
                  </w:tcBorders>
                  <w:vAlign w:val="center"/>
                </w:tcPr>
                <w:p w14:paraId="1E74DB21">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040751C4">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27D87856">
                  <w:pPr>
                    <w:pStyle w:val="65"/>
                    <w:rPr>
                      <w:rFonts w:eastAsia="等线" w:cs="Times New Roman"/>
                      <w:color w:val="auto"/>
                      <w:szCs w:val="24"/>
                    </w:rPr>
                  </w:pPr>
                  <w:r>
                    <w:rPr>
                      <w:rFonts w:eastAsia="等线" w:cs="Times New Roman"/>
                      <w:color w:val="auto"/>
                      <w:szCs w:val="24"/>
                    </w:rPr>
                    <w:t>43</w:t>
                  </w:r>
                </w:p>
              </w:tc>
              <w:tc>
                <w:tcPr>
                  <w:tcW w:w="833" w:type="pct"/>
                  <w:tcBorders>
                    <w:top w:val="nil"/>
                    <w:left w:val="nil"/>
                    <w:bottom w:val="single" w:color="auto" w:sz="4" w:space="0"/>
                    <w:right w:val="single" w:color="auto" w:sz="4" w:space="0"/>
                  </w:tcBorders>
                  <w:noWrap/>
                  <w:vAlign w:val="center"/>
                </w:tcPr>
                <w:p w14:paraId="368D548F">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66F1B934">
                  <w:pPr>
                    <w:pStyle w:val="65"/>
                    <w:rPr>
                      <w:color w:val="auto"/>
                    </w:rPr>
                  </w:pPr>
                  <w:r>
                    <w:rPr>
                      <w:rFonts w:hint="eastAsia"/>
                      <w:color w:val="auto"/>
                    </w:rPr>
                    <w:t>达标</w:t>
                  </w:r>
                </w:p>
              </w:tc>
            </w:tr>
            <w:tr w14:paraId="689610CD">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56A11B97">
                  <w:pPr>
                    <w:pStyle w:val="65"/>
                    <w:rPr>
                      <w:color w:val="auto"/>
                      <w:szCs w:val="24"/>
                    </w:rPr>
                  </w:pPr>
                </w:p>
              </w:tc>
              <w:tc>
                <w:tcPr>
                  <w:tcW w:w="896" w:type="pct"/>
                  <w:tcBorders>
                    <w:top w:val="nil"/>
                    <w:left w:val="nil"/>
                    <w:bottom w:val="single" w:color="auto" w:sz="4" w:space="0"/>
                    <w:right w:val="single" w:color="auto" w:sz="4" w:space="0"/>
                  </w:tcBorders>
                  <w:vAlign w:val="center"/>
                </w:tcPr>
                <w:p w14:paraId="7DAC5442">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5729511A">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6719264A">
                  <w:pPr>
                    <w:pStyle w:val="65"/>
                    <w:rPr>
                      <w:rFonts w:eastAsia="等线" w:cs="Times New Roman"/>
                      <w:color w:val="auto"/>
                      <w:szCs w:val="24"/>
                    </w:rPr>
                  </w:pPr>
                  <w:r>
                    <w:rPr>
                      <w:rFonts w:eastAsia="等线" w:cs="Times New Roman"/>
                      <w:color w:val="auto"/>
                      <w:szCs w:val="24"/>
                    </w:rPr>
                    <w:t>38</w:t>
                  </w:r>
                </w:p>
              </w:tc>
              <w:tc>
                <w:tcPr>
                  <w:tcW w:w="833" w:type="pct"/>
                  <w:tcBorders>
                    <w:top w:val="nil"/>
                    <w:left w:val="nil"/>
                    <w:bottom w:val="single" w:color="auto" w:sz="4" w:space="0"/>
                    <w:right w:val="single" w:color="auto" w:sz="4" w:space="0"/>
                  </w:tcBorders>
                  <w:noWrap/>
                  <w:vAlign w:val="center"/>
                </w:tcPr>
                <w:p w14:paraId="4ADEC889">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5FC01FF0">
                  <w:pPr>
                    <w:pStyle w:val="65"/>
                    <w:rPr>
                      <w:color w:val="auto"/>
                    </w:rPr>
                  </w:pPr>
                  <w:r>
                    <w:rPr>
                      <w:rFonts w:hint="eastAsia"/>
                      <w:color w:val="auto"/>
                    </w:rPr>
                    <w:t>达标</w:t>
                  </w:r>
                </w:p>
              </w:tc>
            </w:tr>
            <w:tr w14:paraId="454ECF28">
              <w:tblPrEx>
                <w:tblCellMar>
                  <w:top w:w="0" w:type="dxa"/>
                  <w:left w:w="108" w:type="dxa"/>
                  <w:bottom w:w="0" w:type="dxa"/>
                  <w:right w:w="108" w:type="dxa"/>
                </w:tblCellMar>
              </w:tblPrEx>
              <w:trPr>
                <w:trHeight w:val="454" w:hRule="atLeast"/>
              </w:trPr>
              <w:tc>
                <w:tcPr>
                  <w:tcW w:w="814" w:type="pct"/>
                  <w:vMerge w:val="restart"/>
                  <w:tcBorders>
                    <w:top w:val="nil"/>
                    <w:left w:val="single" w:color="auto" w:sz="4" w:space="0"/>
                    <w:bottom w:val="single" w:color="auto" w:sz="4" w:space="0"/>
                    <w:right w:val="single" w:color="auto" w:sz="4" w:space="0"/>
                  </w:tcBorders>
                  <w:vAlign w:val="center"/>
                </w:tcPr>
                <w:p w14:paraId="600F87C6">
                  <w:pPr>
                    <w:pStyle w:val="65"/>
                    <w:rPr>
                      <w:color w:val="auto"/>
                      <w:szCs w:val="24"/>
                    </w:rPr>
                  </w:pPr>
                  <w:r>
                    <w:rPr>
                      <w:rFonts w:hint="eastAsia"/>
                      <w:color w:val="auto"/>
                      <w:szCs w:val="24"/>
                    </w:rPr>
                    <w:t>上夺么</w:t>
                  </w:r>
                </w:p>
              </w:tc>
              <w:tc>
                <w:tcPr>
                  <w:tcW w:w="896" w:type="pct"/>
                  <w:tcBorders>
                    <w:top w:val="nil"/>
                    <w:left w:val="nil"/>
                    <w:bottom w:val="single" w:color="auto" w:sz="4" w:space="0"/>
                    <w:right w:val="single" w:color="auto" w:sz="4" w:space="0"/>
                  </w:tcBorders>
                  <w:vAlign w:val="center"/>
                </w:tcPr>
                <w:p w14:paraId="4ED8A812">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68B49F04">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74454C8B">
                  <w:pPr>
                    <w:pStyle w:val="65"/>
                    <w:rPr>
                      <w:rFonts w:eastAsia="等线" w:cs="Times New Roman"/>
                      <w:color w:val="auto"/>
                      <w:szCs w:val="24"/>
                    </w:rPr>
                  </w:pPr>
                  <w:r>
                    <w:rPr>
                      <w:rFonts w:eastAsia="等线" w:cs="Times New Roman"/>
                      <w:color w:val="auto"/>
                      <w:szCs w:val="24"/>
                    </w:rPr>
                    <w:t>40</w:t>
                  </w:r>
                </w:p>
              </w:tc>
              <w:tc>
                <w:tcPr>
                  <w:tcW w:w="833" w:type="pct"/>
                  <w:tcBorders>
                    <w:top w:val="nil"/>
                    <w:left w:val="nil"/>
                    <w:bottom w:val="single" w:color="auto" w:sz="4" w:space="0"/>
                    <w:right w:val="single" w:color="auto" w:sz="4" w:space="0"/>
                  </w:tcBorders>
                  <w:noWrap/>
                  <w:vAlign w:val="center"/>
                </w:tcPr>
                <w:p w14:paraId="21966683">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21E7665D">
                  <w:pPr>
                    <w:pStyle w:val="65"/>
                    <w:rPr>
                      <w:color w:val="auto"/>
                    </w:rPr>
                  </w:pPr>
                  <w:r>
                    <w:rPr>
                      <w:rFonts w:hint="eastAsia"/>
                      <w:color w:val="auto"/>
                    </w:rPr>
                    <w:t>达标</w:t>
                  </w:r>
                </w:p>
              </w:tc>
            </w:tr>
            <w:tr w14:paraId="2C06E939">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7B6E1568">
                  <w:pPr>
                    <w:pStyle w:val="65"/>
                    <w:rPr>
                      <w:color w:val="auto"/>
                      <w:szCs w:val="24"/>
                    </w:rPr>
                  </w:pPr>
                </w:p>
              </w:tc>
              <w:tc>
                <w:tcPr>
                  <w:tcW w:w="896" w:type="pct"/>
                  <w:tcBorders>
                    <w:top w:val="nil"/>
                    <w:left w:val="nil"/>
                    <w:bottom w:val="single" w:color="auto" w:sz="4" w:space="0"/>
                    <w:right w:val="single" w:color="auto" w:sz="4" w:space="0"/>
                  </w:tcBorders>
                  <w:vAlign w:val="center"/>
                </w:tcPr>
                <w:p w14:paraId="49383BDB">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0D5D0AD1">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4574A7A0">
                  <w:pPr>
                    <w:pStyle w:val="65"/>
                    <w:rPr>
                      <w:rFonts w:eastAsia="等线" w:cs="Times New Roman"/>
                      <w:color w:val="auto"/>
                      <w:szCs w:val="24"/>
                    </w:rPr>
                  </w:pPr>
                  <w:r>
                    <w:rPr>
                      <w:rFonts w:eastAsia="等线" w:cs="Times New Roman"/>
                      <w:color w:val="auto"/>
                      <w:szCs w:val="24"/>
                    </w:rPr>
                    <w:t>38</w:t>
                  </w:r>
                </w:p>
              </w:tc>
              <w:tc>
                <w:tcPr>
                  <w:tcW w:w="833" w:type="pct"/>
                  <w:tcBorders>
                    <w:top w:val="nil"/>
                    <w:left w:val="nil"/>
                    <w:bottom w:val="single" w:color="auto" w:sz="4" w:space="0"/>
                    <w:right w:val="single" w:color="auto" w:sz="4" w:space="0"/>
                  </w:tcBorders>
                  <w:noWrap/>
                  <w:vAlign w:val="center"/>
                </w:tcPr>
                <w:p w14:paraId="274F8BB4">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31AF456B">
                  <w:pPr>
                    <w:pStyle w:val="65"/>
                    <w:rPr>
                      <w:color w:val="auto"/>
                    </w:rPr>
                  </w:pPr>
                  <w:r>
                    <w:rPr>
                      <w:rFonts w:hint="eastAsia"/>
                      <w:color w:val="auto"/>
                    </w:rPr>
                    <w:t>达标</w:t>
                  </w:r>
                </w:p>
              </w:tc>
            </w:tr>
            <w:tr w14:paraId="1024C42E">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202DF0E6">
                  <w:pPr>
                    <w:pStyle w:val="65"/>
                    <w:rPr>
                      <w:color w:val="auto"/>
                      <w:szCs w:val="24"/>
                    </w:rPr>
                  </w:pPr>
                </w:p>
              </w:tc>
              <w:tc>
                <w:tcPr>
                  <w:tcW w:w="896" w:type="pct"/>
                  <w:tcBorders>
                    <w:top w:val="nil"/>
                    <w:left w:val="nil"/>
                    <w:bottom w:val="single" w:color="auto" w:sz="4" w:space="0"/>
                    <w:right w:val="single" w:color="auto" w:sz="4" w:space="0"/>
                  </w:tcBorders>
                  <w:vAlign w:val="center"/>
                </w:tcPr>
                <w:p w14:paraId="1D7F5C15">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39FC51C5">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1FD9B8A0">
                  <w:pPr>
                    <w:pStyle w:val="65"/>
                    <w:rPr>
                      <w:rFonts w:eastAsia="等线" w:cs="Times New Roman"/>
                      <w:color w:val="auto"/>
                      <w:szCs w:val="24"/>
                    </w:rPr>
                  </w:pPr>
                  <w:r>
                    <w:rPr>
                      <w:rFonts w:eastAsia="等线" w:cs="Times New Roman"/>
                      <w:color w:val="auto"/>
                      <w:szCs w:val="24"/>
                    </w:rPr>
                    <w:t>42</w:t>
                  </w:r>
                </w:p>
              </w:tc>
              <w:tc>
                <w:tcPr>
                  <w:tcW w:w="833" w:type="pct"/>
                  <w:tcBorders>
                    <w:top w:val="nil"/>
                    <w:left w:val="nil"/>
                    <w:bottom w:val="single" w:color="auto" w:sz="4" w:space="0"/>
                    <w:right w:val="single" w:color="auto" w:sz="4" w:space="0"/>
                  </w:tcBorders>
                  <w:noWrap/>
                  <w:vAlign w:val="center"/>
                </w:tcPr>
                <w:p w14:paraId="7E8CA597">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74B99F64">
                  <w:pPr>
                    <w:pStyle w:val="65"/>
                    <w:rPr>
                      <w:color w:val="auto"/>
                    </w:rPr>
                  </w:pPr>
                  <w:r>
                    <w:rPr>
                      <w:rFonts w:hint="eastAsia"/>
                      <w:color w:val="auto"/>
                    </w:rPr>
                    <w:t>达标</w:t>
                  </w:r>
                </w:p>
              </w:tc>
            </w:tr>
            <w:tr w14:paraId="38EF7CF3">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6D86CE22">
                  <w:pPr>
                    <w:pStyle w:val="65"/>
                    <w:rPr>
                      <w:color w:val="auto"/>
                      <w:szCs w:val="24"/>
                    </w:rPr>
                  </w:pPr>
                </w:p>
              </w:tc>
              <w:tc>
                <w:tcPr>
                  <w:tcW w:w="896" w:type="pct"/>
                  <w:tcBorders>
                    <w:top w:val="nil"/>
                    <w:left w:val="nil"/>
                    <w:bottom w:val="single" w:color="auto" w:sz="4" w:space="0"/>
                    <w:right w:val="single" w:color="auto" w:sz="4" w:space="0"/>
                  </w:tcBorders>
                  <w:vAlign w:val="center"/>
                </w:tcPr>
                <w:p w14:paraId="679EDBBF">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54610FB8">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2AA4DDD0">
                  <w:pPr>
                    <w:pStyle w:val="65"/>
                    <w:rPr>
                      <w:rFonts w:eastAsia="等线" w:cs="Times New Roman"/>
                      <w:color w:val="auto"/>
                      <w:szCs w:val="24"/>
                    </w:rPr>
                  </w:pPr>
                  <w:r>
                    <w:rPr>
                      <w:rFonts w:eastAsia="等线" w:cs="Times New Roman"/>
                      <w:color w:val="auto"/>
                      <w:szCs w:val="24"/>
                    </w:rPr>
                    <w:t>38</w:t>
                  </w:r>
                </w:p>
              </w:tc>
              <w:tc>
                <w:tcPr>
                  <w:tcW w:w="833" w:type="pct"/>
                  <w:tcBorders>
                    <w:top w:val="nil"/>
                    <w:left w:val="nil"/>
                    <w:bottom w:val="single" w:color="auto" w:sz="4" w:space="0"/>
                    <w:right w:val="single" w:color="auto" w:sz="4" w:space="0"/>
                  </w:tcBorders>
                  <w:noWrap/>
                  <w:vAlign w:val="center"/>
                </w:tcPr>
                <w:p w14:paraId="11DE317B">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141D0903">
                  <w:pPr>
                    <w:pStyle w:val="65"/>
                    <w:rPr>
                      <w:color w:val="auto"/>
                    </w:rPr>
                  </w:pPr>
                  <w:r>
                    <w:rPr>
                      <w:rFonts w:hint="eastAsia"/>
                      <w:color w:val="auto"/>
                    </w:rPr>
                    <w:t>达标</w:t>
                  </w:r>
                </w:p>
              </w:tc>
            </w:tr>
            <w:tr w14:paraId="5DC0DF80">
              <w:tblPrEx>
                <w:tblCellMar>
                  <w:top w:w="0" w:type="dxa"/>
                  <w:left w:w="108" w:type="dxa"/>
                  <w:bottom w:w="0" w:type="dxa"/>
                  <w:right w:w="108" w:type="dxa"/>
                </w:tblCellMar>
              </w:tblPrEx>
              <w:trPr>
                <w:trHeight w:val="454" w:hRule="atLeast"/>
              </w:trPr>
              <w:tc>
                <w:tcPr>
                  <w:tcW w:w="814" w:type="pct"/>
                  <w:vMerge w:val="restart"/>
                  <w:tcBorders>
                    <w:top w:val="nil"/>
                    <w:left w:val="single" w:color="auto" w:sz="4" w:space="0"/>
                    <w:bottom w:val="single" w:color="auto" w:sz="4" w:space="0"/>
                    <w:right w:val="single" w:color="auto" w:sz="4" w:space="0"/>
                  </w:tcBorders>
                  <w:vAlign w:val="center"/>
                </w:tcPr>
                <w:p w14:paraId="56994D58">
                  <w:pPr>
                    <w:pStyle w:val="65"/>
                    <w:rPr>
                      <w:color w:val="auto"/>
                      <w:szCs w:val="24"/>
                    </w:rPr>
                  </w:pPr>
                  <w:r>
                    <w:rPr>
                      <w:rFonts w:hint="eastAsia"/>
                      <w:color w:val="auto"/>
                      <w:szCs w:val="24"/>
                    </w:rPr>
                    <w:t>下朵么（南侧厂界）</w:t>
                  </w:r>
                </w:p>
              </w:tc>
              <w:tc>
                <w:tcPr>
                  <w:tcW w:w="896" w:type="pct"/>
                  <w:tcBorders>
                    <w:top w:val="nil"/>
                    <w:left w:val="nil"/>
                    <w:bottom w:val="single" w:color="auto" w:sz="4" w:space="0"/>
                    <w:right w:val="single" w:color="auto" w:sz="4" w:space="0"/>
                  </w:tcBorders>
                  <w:vAlign w:val="center"/>
                </w:tcPr>
                <w:p w14:paraId="5239055B">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708F4C79">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4475A4AF">
                  <w:pPr>
                    <w:pStyle w:val="65"/>
                    <w:rPr>
                      <w:rFonts w:eastAsia="等线" w:cs="Times New Roman"/>
                      <w:color w:val="auto"/>
                      <w:szCs w:val="24"/>
                    </w:rPr>
                  </w:pPr>
                  <w:r>
                    <w:rPr>
                      <w:rFonts w:eastAsia="等线" w:cs="Times New Roman"/>
                      <w:color w:val="auto"/>
                      <w:szCs w:val="24"/>
                    </w:rPr>
                    <w:t>43</w:t>
                  </w:r>
                </w:p>
              </w:tc>
              <w:tc>
                <w:tcPr>
                  <w:tcW w:w="833" w:type="pct"/>
                  <w:tcBorders>
                    <w:top w:val="nil"/>
                    <w:left w:val="nil"/>
                    <w:bottom w:val="single" w:color="auto" w:sz="4" w:space="0"/>
                    <w:right w:val="single" w:color="auto" w:sz="4" w:space="0"/>
                  </w:tcBorders>
                  <w:noWrap/>
                  <w:vAlign w:val="center"/>
                </w:tcPr>
                <w:p w14:paraId="703BA89C">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3BC05D1C">
                  <w:pPr>
                    <w:pStyle w:val="65"/>
                    <w:rPr>
                      <w:color w:val="auto"/>
                    </w:rPr>
                  </w:pPr>
                  <w:r>
                    <w:rPr>
                      <w:rFonts w:hint="eastAsia"/>
                      <w:color w:val="auto"/>
                    </w:rPr>
                    <w:t>达标</w:t>
                  </w:r>
                </w:p>
              </w:tc>
            </w:tr>
            <w:tr w14:paraId="159024E4">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4B4B13A8">
                  <w:pPr>
                    <w:pStyle w:val="65"/>
                    <w:rPr>
                      <w:color w:val="auto"/>
                      <w:szCs w:val="24"/>
                    </w:rPr>
                  </w:pPr>
                </w:p>
              </w:tc>
              <w:tc>
                <w:tcPr>
                  <w:tcW w:w="896" w:type="pct"/>
                  <w:tcBorders>
                    <w:top w:val="nil"/>
                    <w:left w:val="nil"/>
                    <w:bottom w:val="single" w:color="auto" w:sz="4" w:space="0"/>
                    <w:right w:val="single" w:color="auto" w:sz="4" w:space="0"/>
                  </w:tcBorders>
                  <w:vAlign w:val="center"/>
                </w:tcPr>
                <w:p w14:paraId="1A3DEBED">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5490990C">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4A4C32CE">
                  <w:pPr>
                    <w:pStyle w:val="65"/>
                    <w:rPr>
                      <w:rFonts w:eastAsia="等线" w:cs="Times New Roman"/>
                      <w:color w:val="auto"/>
                      <w:szCs w:val="24"/>
                    </w:rPr>
                  </w:pPr>
                  <w:r>
                    <w:rPr>
                      <w:rFonts w:eastAsia="等线" w:cs="Times New Roman"/>
                      <w:color w:val="auto"/>
                      <w:szCs w:val="24"/>
                    </w:rPr>
                    <w:t>39</w:t>
                  </w:r>
                </w:p>
              </w:tc>
              <w:tc>
                <w:tcPr>
                  <w:tcW w:w="833" w:type="pct"/>
                  <w:tcBorders>
                    <w:top w:val="nil"/>
                    <w:left w:val="nil"/>
                    <w:bottom w:val="single" w:color="auto" w:sz="4" w:space="0"/>
                    <w:right w:val="single" w:color="auto" w:sz="4" w:space="0"/>
                  </w:tcBorders>
                  <w:noWrap/>
                  <w:vAlign w:val="center"/>
                </w:tcPr>
                <w:p w14:paraId="6845F3AE">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5EA25B29">
                  <w:pPr>
                    <w:pStyle w:val="65"/>
                    <w:rPr>
                      <w:color w:val="auto"/>
                    </w:rPr>
                  </w:pPr>
                  <w:r>
                    <w:rPr>
                      <w:rFonts w:hint="eastAsia"/>
                      <w:color w:val="auto"/>
                    </w:rPr>
                    <w:t>达标</w:t>
                  </w:r>
                </w:p>
              </w:tc>
            </w:tr>
            <w:tr w14:paraId="26EA0B12">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55E3EF02">
                  <w:pPr>
                    <w:pStyle w:val="65"/>
                    <w:rPr>
                      <w:color w:val="auto"/>
                      <w:szCs w:val="24"/>
                    </w:rPr>
                  </w:pPr>
                </w:p>
              </w:tc>
              <w:tc>
                <w:tcPr>
                  <w:tcW w:w="896" w:type="pct"/>
                  <w:tcBorders>
                    <w:top w:val="nil"/>
                    <w:left w:val="nil"/>
                    <w:bottom w:val="single" w:color="auto" w:sz="4" w:space="0"/>
                    <w:right w:val="single" w:color="auto" w:sz="4" w:space="0"/>
                  </w:tcBorders>
                  <w:vAlign w:val="center"/>
                </w:tcPr>
                <w:p w14:paraId="2454F1B3">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69C92EED">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661A1E33">
                  <w:pPr>
                    <w:pStyle w:val="65"/>
                    <w:rPr>
                      <w:rFonts w:eastAsia="等线" w:cs="Times New Roman"/>
                      <w:color w:val="auto"/>
                      <w:szCs w:val="24"/>
                    </w:rPr>
                  </w:pPr>
                  <w:r>
                    <w:rPr>
                      <w:rFonts w:eastAsia="等线" w:cs="Times New Roman"/>
                      <w:color w:val="auto"/>
                      <w:szCs w:val="24"/>
                    </w:rPr>
                    <w:t>42</w:t>
                  </w:r>
                </w:p>
              </w:tc>
              <w:tc>
                <w:tcPr>
                  <w:tcW w:w="833" w:type="pct"/>
                  <w:tcBorders>
                    <w:top w:val="nil"/>
                    <w:left w:val="nil"/>
                    <w:bottom w:val="single" w:color="auto" w:sz="4" w:space="0"/>
                    <w:right w:val="single" w:color="auto" w:sz="4" w:space="0"/>
                  </w:tcBorders>
                  <w:noWrap/>
                  <w:vAlign w:val="center"/>
                </w:tcPr>
                <w:p w14:paraId="13057E25">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54C50F55">
                  <w:pPr>
                    <w:pStyle w:val="65"/>
                    <w:rPr>
                      <w:color w:val="auto"/>
                    </w:rPr>
                  </w:pPr>
                  <w:r>
                    <w:rPr>
                      <w:rFonts w:hint="eastAsia"/>
                      <w:color w:val="auto"/>
                    </w:rPr>
                    <w:t>达标</w:t>
                  </w:r>
                </w:p>
              </w:tc>
            </w:tr>
            <w:tr w14:paraId="65DDC17C">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7BB7672F">
                  <w:pPr>
                    <w:pStyle w:val="65"/>
                    <w:rPr>
                      <w:color w:val="auto"/>
                      <w:szCs w:val="24"/>
                    </w:rPr>
                  </w:pPr>
                </w:p>
              </w:tc>
              <w:tc>
                <w:tcPr>
                  <w:tcW w:w="896" w:type="pct"/>
                  <w:tcBorders>
                    <w:top w:val="nil"/>
                    <w:left w:val="nil"/>
                    <w:bottom w:val="single" w:color="auto" w:sz="4" w:space="0"/>
                    <w:right w:val="single" w:color="auto" w:sz="4" w:space="0"/>
                  </w:tcBorders>
                  <w:vAlign w:val="center"/>
                </w:tcPr>
                <w:p w14:paraId="45FE7860">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4E5CCFEB">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59A14A6E">
                  <w:pPr>
                    <w:pStyle w:val="65"/>
                    <w:rPr>
                      <w:rFonts w:eastAsia="等线" w:cs="Times New Roman"/>
                      <w:color w:val="auto"/>
                      <w:szCs w:val="24"/>
                    </w:rPr>
                  </w:pPr>
                  <w:r>
                    <w:rPr>
                      <w:rFonts w:eastAsia="等线" w:cs="Times New Roman"/>
                      <w:color w:val="auto"/>
                      <w:szCs w:val="24"/>
                    </w:rPr>
                    <w:t>39</w:t>
                  </w:r>
                </w:p>
              </w:tc>
              <w:tc>
                <w:tcPr>
                  <w:tcW w:w="833" w:type="pct"/>
                  <w:tcBorders>
                    <w:top w:val="nil"/>
                    <w:left w:val="nil"/>
                    <w:bottom w:val="single" w:color="auto" w:sz="4" w:space="0"/>
                    <w:right w:val="single" w:color="auto" w:sz="4" w:space="0"/>
                  </w:tcBorders>
                  <w:noWrap/>
                  <w:vAlign w:val="center"/>
                </w:tcPr>
                <w:p w14:paraId="1BB1328F">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77ED4E32">
                  <w:pPr>
                    <w:pStyle w:val="65"/>
                    <w:rPr>
                      <w:color w:val="auto"/>
                    </w:rPr>
                  </w:pPr>
                  <w:r>
                    <w:rPr>
                      <w:rFonts w:hint="eastAsia"/>
                      <w:color w:val="auto"/>
                    </w:rPr>
                    <w:t>达标</w:t>
                  </w:r>
                </w:p>
              </w:tc>
            </w:tr>
            <w:tr w14:paraId="7E5222A5">
              <w:tblPrEx>
                <w:tblCellMar>
                  <w:top w:w="0" w:type="dxa"/>
                  <w:left w:w="108" w:type="dxa"/>
                  <w:bottom w:w="0" w:type="dxa"/>
                  <w:right w:w="108" w:type="dxa"/>
                </w:tblCellMar>
              </w:tblPrEx>
              <w:trPr>
                <w:trHeight w:val="454" w:hRule="atLeast"/>
              </w:trPr>
              <w:tc>
                <w:tcPr>
                  <w:tcW w:w="814" w:type="pct"/>
                  <w:vMerge w:val="restart"/>
                  <w:tcBorders>
                    <w:top w:val="nil"/>
                    <w:left w:val="single" w:color="auto" w:sz="4" w:space="0"/>
                    <w:bottom w:val="single" w:color="auto" w:sz="4" w:space="0"/>
                    <w:right w:val="single" w:color="auto" w:sz="4" w:space="0"/>
                  </w:tcBorders>
                  <w:vAlign w:val="center"/>
                </w:tcPr>
                <w:p w14:paraId="07548C7D">
                  <w:pPr>
                    <w:pStyle w:val="65"/>
                    <w:rPr>
                      <w:color w:val="auto"/>
                      <w:szCs w:val="24"/>
                    </w:rPr>
                  </w:pPr>
                  <w:r>
                    <w:rPr>
                      <w:rFonts w:hint="eastAsia"/>
                      <w:color w:val="auto"/>
                      <w:szCs w:val="24"/>
                    </w:rPr>
                    <w:t>安召（东侧厂界）</w:t>
                  </w:r>
                </w:p>
              </w:tc>
              <w:tc>
                <w:tcPr>
                  <w:tcW w:w="896" w:type="pct"/>
                  <w:tcBorders>
                    <w:top w:val="nil"/>
                    <w:left w:val="nil"/>
                    <w:bottom w:val="single" w:color="auto" w:sz="4" w:space="0"/>
                    <w:right w:val="single" w:color="auto" w:sz="4" w:space="0"/>
                  </w:tcBorders>
                  <w:vAlign w:val="center"/>
                </w:tcPr>
                <w:p w14:paraId="519E541A">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420D483B">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1298D0A9">
                  <w:pPr>
                    <w:pStyle w:val="65"/>
                    <w:rPr>
                      <w:rFonts w:eastAsia="等线" w:cs="Times New Roman"/>
                      <w:color w:val="auto"/>
                      <w:szCs w:val="24"/>
                    </w:rPr>
                  </w:pPr>
                  <w:r>
                    <w:rPr>
                      <w:rFonts w:eastAsia="等线" w:cs="Times New Roman"/>
                      <w:color w:val="auto"/>
                      <w:szCs w:val="24"/>
                    </w:rPr>
                    <w:t>45</w:t>
                  </w:r>
                </w:p>
              </w:tc>
              <w:tc>
                <w:tcPr>
                  <w:tcW w:w="833" w:type="pct"/>
                  <w:tcBorders>
                    <w:top w:val="nil"/>
                    <w:left w:val="nil"/>
                    <w:bottom w:val="single" w:color="auto" w:sz="4" w:space="0"/>
                    <w:right w:val="single" w:color="auto" w:sz="4" w:space="0"/>
                  </w:tcBorders>
                  <w:noWrap/>
                  <w:vAlign w:val="center"/>
                </w:tcPr>
                <w:p w14:paraId="0B8992FA">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37D84169">
                  <w:pPr>
                    <w:pStyle w:val="65"/>
                    <w:rPr>
                      <w:color w:val="auto"/>
                    </w:rPr>
                  </w:pPr>
                  <w:r>
                    <w:rPr>
                      <w:rFonts w:hint="eastAsia"/>
                      <w:color w:val="auto"/>
                    </w:rPr>
                    <w:t>达标</w:t>
                  </w:r>
                </w:p>
              </w:tc>
            </w:tr>
            <w:tr w14:paraId="0310DED8">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30081B6A">
                  <w:pPr>
                    <w:pStyle w:val="65"/>
                    <w:rPr>
                      <w:color w:val="auto"/>
                      <w:szCs w:val="24"/>
                    </w:rPr>
                  </w:pPr>
                </w:p>
              </w:tc>
              <w:tc>
                <w:tcPr>
                  <w:tcW w:w="896" w:type="pct"/>
                  <w:tcBorders>
                    <w:top w:val="nil"/>
                    <w:left w:val="nil"/>
                    <w:bottom w:val="single" w:color="auto" w:sz="4" w:space="0"/>
                    <w:right w:val="single" w:color="auto" w:sz="4" w:space="0"/>
                  </w:tcBorders>
                  <w:vAlign w:val="center"/>
                </w:tcPr>
                <w:p w14:paraId="42107492">
                  <w:pPr>
                    <w:pStyle w:val="65"/>
                    <w:rPr>
                      <w:rFonts w:eastAsia="等线" w:cs="Times New Roman"/>
                      <w:color w:val="auto"/>
                      <w:szCs w:val="24"/>
                    </w:rPr>
                  </w:pPr>
                  <w:r>
                    <w:rPr>
                      <w:rFonts w:eastAsia="等线" w:cs="Times New Roman"/>
                      <w:color w:val="auto"/>
                      <w:szCs w:val="24"/>
                    </w:rPr>
                    <w:t>2025.12.23</w:t>
                  </w:r>
                </w:p>
              </w:tc>
              <w:tc>
                <w:tcPr>
                  <w:tcW w:w="806" w:type="pct"/>
                  <w:tcBorders>
                    <w:top w:val="nil"/>
                    <w:left w:val="nil"/>
                    <w:bottom w:val="single" w:color="auto" w:sz="4" w:space="0"/>
                    <w:right w:val="single" w:color="auto" w:sz="4" w:space="0"/>
                  </w:tcBorders>
                  <w:vAlign w:val="center"/>
                </w:tcPr>
                <w:p w14:paraId="0C54CE53">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2C7BEBFE">
                  <w:pPr>
                    <w:pStyle w:val="65"/>
                    <w:rPr>
                      <w:rFonts w:eastAsia="等线" w:cs="Times New Roman"/>
                      <w:color w:val="auto"/>
                      <w:szCs w:val="24"/>
                    </w:rPr>
                  </w:pPr>
                  <w:r>
                    <w:rPr>
                      <w:rFonts w:eastAsia="等线" w:cs="Times New Roman"/>
                      <w:color w:val="auto"/>
                      <w:szCs w:val="24"/>
                    </w:rPr>
                    <w:t>41</w:t>
                  </w:r>
                </w:p>
              </w:tc>
              <w:tc>
                <w:tcPr>
                  <w:tcW w:w="833" w:type="pct"/>
                  <w:tcBorders>
                    <w:top w:val="nil"/>
                    <w:left w:val="nil"/>
                    <w:bottom w:val="single" w:color="auto" w:sz="4" w:space="0"/>
                    <w:right w:val="single" w:color="auto" w:sz="4" w:space="0"/>
                  </w:tcBorders>
                  <w:noWrap/>
                  <w:vAlign w:val="center"/>
                </w:tcPr>
                <w:p w14:paraId="29193EB3">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4887212F">
                  <w:pPr>
                    <w:pStyle w:val="65"/>
                    <w:rPr>
                      <w:color w:val="auto"/>
                    </w:rPr>
                  </w:pPr>
                  <w:r>
                    <w:rPr>
                      <w:rFonts w:hint="eastAsia"/>
                      <w:color w:val="auto"/>
                    </w:rPr>
                    <w:t>达标</w:t>
                  </w:r>
                </w:p>
              </w:tc>
            </w:tr>
            <w:tr w14:paraId="2C69970A">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3941C4FC">
                  <w:pPr>
                    <w:pStyle w:val="65"/>
                    <w:rPr>
                      <w:color w:val="auto"/>
                      <w:szCs w:val="24"/>
                    </w:rPr>
                  </w:pPr>
                </w:p>
              </w:tc>
              <w:tc>
                <w:tcPr>
                  <w:tcW w:w="896" w:type="pct"/>
                  <w:tcBorders>
                    <w:top w:val="nil"/>
                    <w:left w:val="nil"/>
                    <w:bottom w:val="single" w:color="auto" w:sz="4" w:space="0"/>
                    <w:right w:val="single" w:color="auto" w:sz="4" w:space="0"/>
                  </w:tcBorders>
                  <w:vAlign w:val="center"/>
                </w:tcPr>
                <w:p w14:paraId="2B2EBA16">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3AA5B3DC">
                  <w:pPr>
                    <w:pStyle w:val="65"/>
                    <w:rPr>
                      <w:color w:val="auto"/>
                      <w:szCs w:val="24"/>
                    </w:rPr>
                  </w:pPr>
                  <w:r>
                    <w:rPr>
                      <w:rFonts w:hint="eastAsia"/>
                      <w:color w:val="auto"/>
                      <w:szCs w:val="24"/>
                    </w:rPr>
                    <w:t>昼间</w:t>
                  </w:r>
                </w:p>
              </w:tc>
              <w:tc>
                <w:tcPr>
                  <w:tcW w:w="818" w:type="pct"/>
                  <w:tcBorders>
                    <w:top w:val="nil"/>
                    <w:left w:val="nil"/>
                    <w:bottom w:val="single" w:color="auto" w:sz="4" w:space="0"/>
                    <w:right w:val="single" w:color="auto" w:sz="4" w:space="0"/>
                  </w:tcBorders>
                  <w:vAlign w:val="center"/>
                </w:tcPr>
                <w:p w14:paraId="01F1DEE9">
                  <w:pPr>
                    <w:pStyle w:val="65"/>
                    <w:rPr>
                      <w:rFonts w:eastAsia="等线" w:cs="Times New Roman"/>
                      <w:color w:val="auto"/>
                      <w:szCs w:val="24"/>
                    </w:rPr>
                  </w:pPr>
                  <w:r>
                    <w:rPr>
                      <w:rFonts w:eastAsia="等线" w:cs="Times New Roman"/>
                      <w:color w:val="auto"/>
                      <w:szCs w:val="24"/>
                    </w:rPr>
                    <w:t>46</w:t>
                  </w:r>
                </w:p>
              </w:tc>
              <w:tc>
                <w:tcPr>
                  <w:tcW w:w="833" w:type="pct"/>
                  <w:tcBorders>
                    <w:top w:val="nil"/>
                    <w:left w:val="nil"/>
                    <w:bottom w:val="single" w:color="auto" w:sz="4" w:space="0"/>
                    <w:right w:val="single" w:color="auto" w:sz="4" w:space="0"/>
                  </w:tcBorders>
                  <w:noWrap/>
                  <w:vAlign w:val="center"/>
                </w:tcPr>
                <w:p w14:paraId="370137E8">
                  <w:pPr>
                    <w:pStyle w:val="65"/>
                    <w:rPr>
                      <w:rFonts w:eastAsia="等线" w:cs="Times New Roman"/>
                      <w:color w:val="auto"/>
                    </w:rPr>
                  </w:pPr>
                  <w:r>
                    <w:rPr>
                      <w:rFonts w:eastAsia="等线" w:cs="Times New Roman"/>
                      <w:color w:val="auto"/>
                    </w:rPr>
                    <w:t>55</w:t>
                  </w:r>
                </w:p>
              </w:tc>
              <w:tc>
                <w:tcPr>
                  <w:tcW w:w="833" w:type="pct"/>
                  <w:tcBorders>
                    <w:top w:val="nil"/>
                    <w:left w:val="nil"/>
                    <w:bottom w:val="single" w:color="auto" w:sz="4" w:space="0"/>
                    <w:right w:val="single" w:color="auto" w:sz="4" w:space="0"/>
                  </w:tcBorders>
                  <w:noWrap/>
                  <w:vAlign w:val="center"/>
                </w:tcPr>
                <w:p w14:paraId="44CAA004">
                  <w:pPr>
                    <w:pStyle w:val="65"/>
                    <w:rPr>
                      <w:color w:val="auto"/>
                    </w:rPr>
                  </w:pPr>
                  <w:r>
                    <w:rPr>
                      <w:rFonts w:hint="eastAsia"/>
                      <w:color w:val="auto"/>
                    </w:rPr>
                    <w:t>达标</w:t>
                  </w:r>
                </w:p>
              </w:tc>
            </w:tr>
            <w:tr w14:paraId="649D2DB6">
              <w:tblPrEx>
                <w:tblCellMar>
                  <w:top w:w="0" w:type="dxa"/>
                  <w:left w:w="108" w:type="dxa"/>
                  <w:bottom w:w="0" w:type="dxa"/>
                  <w:right w:w="108" w:type="dxa"/>
                </w:tblCellMar>
              </w:tblPrEx>
              <w:trPr>
                <w:trHeight w:val="454" w:hRule="atLeast"/>
              </w:trPr>
              <w:tc>
                <w:tcPr>
                  <w:tcW w:w="814" w:type="pct"/>
                  <w:vMerge w:val="continue"/>
                  <w:tcBorders>
                    <w:top w:val="nil"/>
                    <w:left w:val="single" w:color="auto" w:sz="4" w:space="0"/>
                    <w:bottom w:val="single" w:color="auto" w:sz="4" w:space="0"/>
                    <w:right w:val="single" w:color="auto" w:sz="4" w:space="0"/>
                  </w:tcBorders>
                  <w:vAlign w:val="center"/>
                </w:tcPr>
                <w:p w14:paraId="69D42F73">
                  <w:pPr>
                    <w:pStyle w:val="65"/>
                    <w:rPr>
                      <w:color w:val="auto"/>
                      <w:szCs w:val="24"/>
                    </w:rPr>
                  </w:pPr>
                </w:p>
              </w:tc>
              <w:tc>
                <w:tcPr>
                  <w:tcW w:w="896" w:type="pct"/>
                  <w:tcBorders>
                    <w:top w:val="nil"/>
                    <w:left w:val="nil"/>
                    <w:bottom w:val="single" w:color="auto" w:sz="4" w:space="0"/>
                    <w:right w:val="single" w:color="auto" w:sz="4" w:space="0"/>
                  </w:tcBorders>
                  <w:vAlign w:val="center"/>
                </w:tcPr>
                <w:p w14:paraId="0C2D404C">
                  <w:pPr>
                    <w:pStyle w:val="65"/>
                    <w:rPr>
                      <w:rFonts w:eastAsia="等线" w:cs="Times New Roman"/>
                      <w:color w:val="auto"/>
                      <w:szCs w:val="24"/>
                    </w:rPr>
                  </w:pPr>
                  <w:r>
                    <w:rPr>
                      <w:rFonts w:eastAsia="等线" w:cs="Times New Roman"/>
                      <w:color w:val="auto"/>
                      <w:szCs w:val="24"/>
                    </w:rPr>
                    <w:t>2025.12.24</w:t>
                  </w:r>
                </w:p>
              </w:tc>
              <w:tc>
                <w:tcPr>
                  <w:tcW w:w="806" w:type="pct"/>
                  <w:tcBorders>
                    <w:top w:val="nil"/>
                    <w:left w:val="nil"/>
                    <w:bottom w:val="single" w:color="auto" w:sz="4" w:space="0"/>
                    <w:right w:val="single" w:color="auto" w:sz="4" w:space="0"/>
                  </w:tcBorders>
                  <w:vAlign w:val="center"/>
                </w:tcPr>
                <w:p w14:paraId="3F085E34">
                  <w:pPr>
                    <w:pStyle w:val="65"/>
                    <w:rPr>
                      <w:color w:val="auto"/>
                      <w:szCs w:val="24"/>
                    </w:rPr>
                  </w:pPr>
                  <w:r>
                    <w:rPr>
                      <w:rFonts w:hint="eastAsia"/>
                      <w:color w:val="auto"/>
                      <w:szCs w:val="24"/>
                    </w:rPr>
                    <w:t>夜间</w:t>
                  </w:r>
                </w:p>
              </w:tc>
              <w:tc>
                <w:tcPr>
                  <w:tcW w:w="818" w:type="pct"/>
                  <w:tcBorders>
                    <w:top w:val="nil"/>
                    <w:left w:val="nil"/>
                    <w:bottom w:val="single" w:color="auto" w:sz="4" w:space="0"/>
                    <w:right w:val="single" w:color="auto" w:sz="4" w:space="0"/>
                  </w:tcBorders>
                  <w:vAlign w:val="center"/>
                </w:tcPr>
                <w:p w14:paraId="3F12CC61">
                  <w:pPr>
                    <w:pStyle w:val="65"/>
                    <w:rPr>
                      <w:rFonts w:eastAsia="等线" w:cs="Times New Roman"/>
                      <w:color w:val="auto"/>
                      <w:szCs w:val="24"/>
                    </w:rPr>
                  </w:pPr>
                  <w:r>
                    <w:rPr>
                      <w:rFonts w:eastAsia="等线" w:cs="Times New Roman"/>
                      <w:color w:val="auto"/>
                      <w:szCs w:val="24"/>
                    </w:rPr>
                    <w:t>39</w:t>
                  </w:r>
                </w:p>
              </w:tc>
              <w:tc>
                <w:tcPr>
                  <w:tcW w:w="833" w:type="pct"/>
                  <w:tcBorders>
                    <w:top w:val="nil"/>
                    <w:left w:val="nil"/>
                    <w:bottom w:val="single" w:color="auto" w:sz="4" w:space="0"/>
                    <w:right w:val="single" w:color="auto" w:sz="4" w:space="0"/>
                  </w:tcBorders>
                  <w:noWrap/>
                  <w:vAlign w:val="center"/>
                </w:tcPr>
                <w:p w14:paraId="4F3776C2">
                  <w:pPr>
                    <w:pStyle w:val="65"/>
                    <w:rPr>
                      <w:rFonts w:eastAsia="等线" w:cs="Times New Roman"/>
                      <w:color w:val="auto"/>
                    </w:rPr>
                  </w:pPr>
                  <w:r>
                    <w:rPr>
                      <w:rFonts w:eastAsia="等线" w:cs="Times New Roman"/>
                      <w:color w:val="auto"/>
                    </w:rPr>
                    <w:t>45</w:t>
                  </w:r>
                </w:p>
              </w:tc>
              <w:tc>
                <w:tcPr>
                  <w:tcW w:w="833" w:type="pct"/>
                  <w:tcBorders>
                    <w:top w:val="nil"/>
                    <w:left w:val="nil"/>
                    <w:bottom w:val="single" w:color="auto" w:sz="4" w:space="0"/>
                    <w:right w:val="single" w:color="auto" w:sz="4" w:space="0"/>
                  </w:tcBorders>
                  <w:noWrap/>
                  <w:vAlign w:val="center"/>
                </w:tcPr>
                <w:p w14:paraId="1DD3E24C">
                  <w:pPr>
                    <w:pStyle w:val="65"/>
                    <w:rPr>
                      <w:color w:val="auto"/>
                    </w:rPr>
                  </w:pPr>
                  <w:r>
                    <w:rPr>
                      <w:rFonts w:hint="eastAsia"/>
                      <w:color w:val="auto"/>
                    </w:rPr>
                    <w:t>达标</w:t>
                  </w:r>
                </w:p>
              </w:tc>
            </w:tr>
          </w:tbl>
          <w:p w14:paraId="3B2AC315">
            <w:pPr>
              <w:ind w:firstLine="480"/>
              <w:rPr>
                <w:color w:val="auto"/>
              </w:rPr>
            </w:pPr>
            <w:r>
              <w:rPr>
                <w:rFonts w:hint="eastAsia"/>
                <w:color w:val="auto"/>
              </w:rPr>
              <w:t>根据上表噪声监测结果，拟建光伏方阵厂界及周边声环境敏感目标的昼间声环境监测值为40~46dB(A)，夜间声环境监测值为37~41dB(A)，均满足《声环境质量标准》（GB3096-2008）1类区标准限值要求。</w:t>
            </w:r>
          </w:p>
          <w:p w14:paraId="728AD63E">
            <w:pPr>
              <w:pStyle w:val="4"/>
              <w:spacing w:before="48" w:after="48"/>
              <w:rPr>
                <w:color w:val="auto"/>
              </w:rPr>
            </w:pPr>
            <w:bookmarkStart w:id="682" w:name="_Toc161415561"/>
            <w:bookmarkStart w:id="683" w:name="_Toc160473807"/>
            <w:bookmarkStart w:id="684" w:name="_Toc160730883"/>
            <w:bookmarkStart w:id="685" w:name="_Toc156144159"/>
            <w:bookmarkStart w:id="686" w:name="_Toc156137845"/>
            <w:bookmarkStart w:id="687" w:name="_Toc159349034"/>
            <w:bookmarkStart w:id="688" w:name="_Toc158491266"/>
            <w:bookmarkStart w:id="689" w:name="_Toc136794196"/>
            <w:bookmarkStart w:id="690" w:name="_Toc27422"/>
            <w:bookmarkStart w:id="691" w:name="_Toc25343"/>
            <w:bookmarkStart w:id="692" w:name="_Toc112165631"/>
            <w:bookmarkStart w:id="693" w:name="_Toc112424268"/>
            <w:bookmarkStart w:id="694" w:name="_Toc112173926"/>
            <w:bookmarkStart w:id="695" w:name="_Toc136794321"/>
            <w:r>
              <w:rPr>
                <w:rFonts w:hint="eastAsia"/>
                <w:color w:val="auto"/>
              </w:rPr>
              <w:t>地下水、土壤环境质量现状</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4438188B">
            <w:pPr>
              <w:ind w:firstLine="480"/>
              <w:rPr>
                <w:color w:val="auto"/>
              </w:rPr>
            </w:pPr>
            <w:r>
              <w:rPr>
                <w:rFonts w:hint="eastAsia"/>
                <w:color w:val="auto"/>
              </w:rPr>
              <w:t>根据《建设项目环境影响报告表编制技术指南》（生态影响类），原则上不开展地下水、土壤环境质量现状调查。建设项目存在土壤环境污染途径的，应结合污染源、保护目标分布情况开展现状调查以留作背景值。项目事故油池严格按照相关要求进行防渗，生活污水处理区进行硬化，采取措施后基本不会对地下水、土壤产生影响，</w:t>
            </w:r>
            <w:r>
              <w:rPr>
                <w:color w:val="auto"/>
              </w:rPr>
              <w:t>并且项目属于《环境影响评价技术导则 地下水环境》（HJ610-2016）附录A的Ⅳ类项目、《环境影响评价技术导则 土壤环境（试行）》（HJ964-2018）附录A的Ⅳ类项目，可不开展地下水、土壤环境影响评价，未进行地下水、土壤环境现状调查</w:t>
            </w:r>
            <w:r>
              <w:rPr>
                <w:rFonts w:hint="eastAsia"/>
                <w:color w:val="auto"/>
              </w:rPr>
              <w:t>。</w:t>
            </w:r>
          </w:p>
          <w:p w14:paraId="5349EBA7">
            <w:pPr>
              <w:ind w:firstLine="480"/>
              <w:rPr>
                <w:color w:val="auto"/>
              </w:rPr>
            </w:pPr>
            <w:r>
              <w:rPr>
                <w:rFonts w:hint="eastAsia"/>
                <w:color w:val="auto"/>
              </w:rPr>
              <w:t>所以不需要开展土壤环境质量现状调查。</w:t>
            </w:r>
          </w:p>
        </w:tc>
      </w:tr>
      <w:tr w14:paraId="7F4BAE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65" w:type="pct"/>
            <w:tcBorders>
              <w:top w:val="single" w:color="auto" w:sz="4" w:space="0"/>
              <w:left w:val="single" w:color="auto" w:sz="8" w:space="0"/>
              <w:bottom w:val="single" w:color="auto" w:sz="4" w:space="0"/>
              <w:right w:val="single" w:color="auto" w:sz="4" w:space="0"/>
            </w:tcBorders>
            <w:vAlign w:val="center"/>
          </w:tcPr>
          <w:p w14:paraId="65771B34">
            <w:pPr>
              <w:ind w:firstLine="0" w:firstLineChars="0"/>
            </w:pPr>
            <w:r>
              <w:rPr>
                <w:rFonts w:hint="eastAsia"/>
                <w:bCs/>
              </w:rPr>
              <w:t>与项目有关的原有环境污染和生态破坏问题</w:t>
            </w:r>
          </w:p>
        </w:tc>
        <w:tc>
          <w:tcPr>
            <w:tcW w:w="4735" w:type="pct"/>
            <w:tcBorders>
              <w:top w:val="single" w:color="auto" w:sz="4" w:space="0"/>
              <w:left w:val="single" w:color="auto" w:sz="4" w:space="0"/>
              <w:bottom w:val="single" w:color="auto" w:sz="4" w:space="0"/>
              <w:right w:val="single" w:color="auto" w:sz="8" w:space="0"/>
            </w:tcBorders>
            <w:vAlign w:val="center"/>
          </w:tcPr>
          <w:p w14:paraId="255B9274">
            <w:pPr>
              <w:pStyle w:val="3"/>
              <w:spacing w:before="72" w:after="72"/>
              <w:rPr>
                <w:color w:val="000000" w:themeColor="text1"/>
                <w14:textFill>
                  <w14:solidFill>
                    <w14:schemeClr w14:val="tx1"/>
                  </w14:solidFill>
                </w14:textFill>
              </w:rPr>
            </w:pPr>
            <w:r>
              <w:rPr>
                <w:rFonts w:hint="eastAsia"/>
                <w:color w:val="000000" w:themeColor="text1"/>
                <w14:textFill>
                  <w14:solidFill>
                    <w14:schemeClr w14:val="tx1"/>
                  </w14:solidFill>
                </w14:textFill>
              </w:rPr>
              <w:t>现有工程环保手续履行情况</w:t>
            </w:r>
          </w:p>
          <w:p w14:paraId="450E2995">
            <w:pPr>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202</w:t>
            </w:r>
            <w:r>
              <w:rPr>
                <w:rFonts w:hint="eastAsia"/>
                <w:color w:val="000000" w:themeColor="text1"/>
                <w:szCs w:val="21"/>
                <w14:textFill>
                  <w14:solidFill>
                    <w14:schemeClr w14:val="tx1"/>
                  </w14:solidFill>
                </w14:textFill>
              </w:rPr>
              <w:t>5年3月华能澜沧江（南涧）新能源有限公司委托中国能源建设集团云南省电力设计院有限公司编制完成《德安光伏发电项目环境影响报告表》，并于</w:t>
            </w:r>
            <w:r>
              <w:rPr>
                <w:color w:val="000000" w:themeColor="text1"/>
                <w:szCs w:val="21"/>
                <w14:textFill>
                  <w14:solidFill>
                    <w14:schemeClr w14:val="tx1"/>
                  </w14:solidFill>
                </w14:textFill>
              </w:rPr>
              <w:t>202</w:t>
            </w:r>
            <w:r>
              <w:rPr>
                <w:rFonts w:hint="eastAsia"/>
                <w:color w:val="000000" w:themeColor="text1"/>
                <w:szCs w:val="21"/>
                <w14:textFill>
                  <w14:solidFill>
                    <w14:schemeClr w14:val="tx1"/>
                  </w14:solidFill>
                </w14:textFill>
              </w:rPr>
              <w:t>5年11月20日取得批复，项目正在施工建设，未投运</w:t>
            </w:r>
            <w:r>
              <w:rPr>
                <w:color w:val="000000" w:themeColor="text1"/>
                <w:szCs w:val="21"/>
                <w14:textFill>
                  <w14:solidFill>
                    <w14:schemeClr w14:val="tx1"/>
                  </w14:solidFill>
                </w14:textFill>
              </w:rPr>
              <w:t>。</w:t>
            </w:r>
          </w:p>
          <w:p w14:paraId="4B5E10DF">
            <w:pPr>
              <w:pStyle w:val="3"/>
              <w:spacing w:before="72" w:after="72"/>
              <w:rPr>
                <w:color w:val="000000" w:themeColor="text1"/>
                <w14:textFill>
                  <w14:solidFill>
                    <w14:schemeClr w14:val="tx1"/>
                  </w14:solidFill>
                </w14:textFill>
              </w:rPr>
            </w:pPr>
            <w:r>
              <w:rPr>
                <w:rFonts w:hint="eastAsia"/>
                <w:color w:val="000000" w:themeColor="text1"/>
                <w14:textFill>
                  <w14:solidFill>
                    <w14:schemeClr w14:val="tx1"/>
                  </w14:solidFill>
                </w14:textFill>
              </w:rPr>
              <w:t>与项目有关的原有环境污染和生态破坏问题</w:t>
            </w:r>
          </w:p>
          <w:p w14:paraId="72BA0962">
            <w:pPr>
              <w:pStyle w:val="4"/>
              <w:spacing w:before="48" w:after="48"/>
              <w:rPr>
                <w:color w:val="000000" w:themeColor="text1"/>
                <w14:textFill>
                  <w14:solidFill>
                    <w14:schemeClr w14:val="tx1"/>
                  </w14:solidFill>
                </w14:textFill>
              </w:rPr>
            </w:pPr>
            <w:r>
              <w:rPr>
                <w:rFonts w:hint="eastAsia"/>
                <w:color w:val="000000" w:themeColor="text1"/>
                <w14:textFill>
                  <w14:solidFill>
                    <w14:schemeClr w14:val="tx1"/>
                  </w14:solidFill>
                </w14:textFill>
              </w:rPr>
              <w:t>原有环境污染状况及问题</w:t>
            </w:r>
          </w:p>
          <w:p w14:paraId="6606F4A7">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根据有关资料表明，220kV德安光伏升压站项目正在施工建设，主要环境风险问题如下：</w:t>
            </w:r>
          </w:p>
          <w:p w14:paraId="7CDEF030">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（1）大气环境</w:t>
            </w:r>
          </w:p>
          <w:p w14:paraId="0FB14A3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220kV德安升压站处于场平施工阶段，尚未进入设备安装和运行阶段，场平施工过程中可能产生一定量的施工扬尘，施工过程通过洒水降尘可以减小对周边环境的影响。</w:t>
            </w:r>
          </w:p>
          <w:p w14:paraId="1F77EAE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（2）地表水环境</w:t>
            </w:r>
          </w:p>
          <w:p w14:paraId="567A92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220kV德安升压站所在区域现状为施工场地，不在施工场地设置居住办公区，无生活污水；德安升压站尚未建设生产废水和生活污水处理设施，也不存在原有工程运行期的废水排放。场平施工过程中产生的少量施工废水经简单沉淀后回用，未发现外排现象。现场踏勘未发现与原有工程相关的地表水环境污染问题。</w:t>
            </w:r>
          </w:p>
          <w:p w14:paraId="3757081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（3）地下水和土壤环境</w:t>
            </w:r>
          </w:p>
          <w:p w14:paraId="20DF4F8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升压站目前处于施工初期，场地尚未进行主体构筑物建设，升压站原地块农业用地（园地），未开展过涉及重金属、石油烃、持久性有机物等污染物的生产活动，根据现场踏勘及区域资料调查，未发现土壤污染痕迹，也无相关污染记录。因此不存在与地下水和土壤污染问题。</w:t>
            </w:r>
          </w:p>
          <w:p w14:paraId="73BD2C8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（5）固体废物</w:t>
            </w:r>
          </w:p>
          <w:p w14:paraId="3B62C92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升压站目前处于场平阶段，尚未产生运行期固体废物。施工过程中产生的少量建筑垃圾和表土均按要求堆放和处置，建筑垃圾后期进行分类处理；表土用于植被恢复，不产生弃渣。区域内未发现与原有工程相关的固废堆积或污染问题。</w:t>
            </w:r>
          </w:p>
          <w:p w14:paraId="57CAE1E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（6）噪声环境</w:t>
            </w:r>
          </w:p>
          <w:p w14:paraId="1D49893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依托升压站目前处于施工期，无运行设备，施工期噪声通过</w:t>
            </w:r>
            <w:r>
              <w:rPr>
                <w:rFonts w:hint="eastAsia"/>
                <w:bCs/>
                <w:color w:val="000000" w:themeColor="text1"/>
                <w14:textFill>
                  <w14:solidFill>
                    <w14:schemeClr w14:val="tx1"/>
                  </w14:solidFill>
                </w14:textFill>
              </w:rPr>
              <w:t>合理安排施工时间、禁止夜间施工、高噪声设备布置在远离居民点的位置等措施可减小对周边环境的影响</w:t>
            </w:r>
            <w:r>
              <w:rPr>
                <w:rFonts w:hint="eastAsia"/>
                <w:color w:val="000000" w:themeColor="text1"/>
                <w14:textFill>
                  <w14:solidFill>
                    <w14:schemeClr w14:val="tx1"/>
                  </w14:solidFill>
                </w14:textFill>
              </w:rPr>
              <w:t>。且项目所在区域声环境质量良好，未发现与原有工程相关的噪声问题。</w:t>
            </w:r>
          </w:p>
          <w:p w14:paraId="2921566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（7）生态环境</w:t>
            </w:r>
          </w:p>
          <w:p w14:paraId="7EFC5DF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升压站建设前，场地主要为自然植被或农业用地，生态系统较为简单。场平施工破坏了部分地表植被，在施工过程坚持“先防护，后施工”的原则，严格控制施工场地范围，施工结束对施工营地（含环保工程及各类设施等）、临时表土堆放区域等占地类型为园地的临时工程，施工结束后将前期剥离的表土回覆，采用乔灌草结合的方式进行植被恢复。区域内无珍稀濒危物种，未发现原有工程造成的生态环境问题。</w:t>
            </w:r>
          </w:p>
          <w:p w14:paraId="33E494D8">
            <w:pPr>
              <w:pStyle w:val="4"/>
              <w:spacing w:before="48" w:after="48"/>
              <w:rPr>
                <w:color w:val="000000" w:themeColor="text1"/>
                <w14:textFill>
                  <w14:solidFill>
                    <w14:schemeClr w14:val="tx1"/>
                  </w14:solidFill>
                </w14:textFill>
              </w:rPr>
            </w:pPr>
            <w:r>
              <w:rPr>
                <w:rFonts w:hint="eastAsia"/>
                <w:color w:val="000000" w:themeColor="text1"/>
                <w14:textFill>
                  <w14:solidFill>
                    <w14:schemeClr w14:val="tx1"/>
                  </w14:solidFill>
                </w14:textFill>
              </w:rPr>
              <w:t>主要生态破坏问题</w:t>
            </w:r>
          </w:p>
          <w:p w14:paraId="632EE4B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区耕地和园地广布，长期受人为活动干扰，耕地和园地及其周边暖温性针叶林天然林已遭到破坏，园地内植被覆盖度和物种多样性较低。受长期农业开发，植被类型多为耕地和园地，周边原生常绿阔叶林植被遭到一定程度破坏，评价区存在一定生物入侵现象（紫茎泽兰等），同时茶园的开发和利用一定程度破坏了原生植被类型和部分动植物的生境，本项目线路沿线植被主要为当地常见植被，动物以常见的鸟、兽为主。</w:t>
            </w:r>
          </w:p>
          <w:p w14:paraId="1908BD1D">
            <w:pPr>
              <w:ind w:firstLine="480"/>
            </w:pPr>
            <w:r>
              <w:rPr>
                <w:rFonts w:hint="eastAsia"/>
                <w:color w:val="000000" w:themeColor="text1"/>
                <w14:textFill>
                  <w14:solidFill>
                    <w14:schemeClr w14:val="tx1"/>
                  </w14:solidFill>
                </w14:textFill>
              </w:rPr>
              <w:t>综上所述，依托工程（升压站）所在区域在建设前无工业生产活动，不存在与原有工程相关的大气、地表水、地下水、土壤、固废、噪声及生态环境污染问题。目前存在的环境影响主要为施工期场平活动造成的扬尘、土壤扰动等，均属于施工阶段的暂时性影响，而非原有工程遗留污染。</w:t>
            </w:r>
            <w:r>
              <w:rPr>
                <w:color w:val="000000" w:themeColor="text1"/>
                <w14:textFill>
                  <w14:solidFill>
                    <w14:schemeClr w14:val="tx1"/>
                  </w14:solidFill>
                </w14:textFill>
              </w:rPr>
              <w:t>无与本项目相关的原有污染和生态破坏问题</w:t>
            </w:r>
            <w:r>
              <w:rPr>
                <w:rFonts w:hint="eastAsia"/>
                <w:color w:val="000000" w:themeColor="text1"/>
                <w14:textFill>
                  <w14:solidFill>
                    <w14:schemeClr w14:val="tx1"/>
                  </w14:solidFill>
                </w14:textFill>
              </w:rPr>
              <w:t>，也不存在制约项目建设的原有污染物和环境问题。</w:t>
            </w:r>
          </w:p>
        </w:tc>
      </w:tr>
      <w:tr w14:paraId="002A2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265" w:type="pct"/>
            <w:tcBorders>
              <w:top w:val="single" w:color="auto" w:sz="4" w:space="0"/>
              <w:left w:val="single" w:color="auto" w:sz="8" w:space="0"/>
              <w:bottom w:val="single" w:color="auto" w:sz="4" w:space="0"/>
              <w:right w:val="single" w:color="auto" w:sz="4" w:space="0"/>
            </w:tcBorders>
            <w:vAlign w:val="center"/>
          </w:tcPr>
          <w:p w14:paraId="156C3146">
            <w:pPr>
              <w:ind w:firstLine="0" w:firstLineChars="0"/>
            </w:pPr>
            <w:r>
              <w:rPr>
                <w:rFonts w:hint="eastAsia"/>
              </w:rPr>
              <w:t>生态环境保护目标</w:t>
            </w:r>
          </w:p>
        </w:tc>
        <w:tc>
          <w:tcPr>
            <w:tcW w:w="4735" w:type="pct"/>
            <w:tcBorders>
              <w:top w:val="single" w:color="auto" w:sz="4" w:space="0"/>
              <w:left w:val="single" w:color="auto" w:sz="4" w:space="0"/>
              <w:bottom w:val="single" w:color="auto" w:sz="4" w:space="0"/>
              <w:right w:val="single" w:color="auto" w:sz="8" w:space="0"/>
            </w:tcBorders>
            <w:vAlign w:val="center"/>
          </w:tcPr>
          <w:p w14:paraId="72AB1308">
            <w:pPr>
              <w:pStyle w:val="3"/>
              <w:spacing w:before="72" w:after="72"/>
            </w:pPr>
            <w:bookmarkStart w:id="696" w:name="_Toc156144160"/>
            <w:bookmarkStart w:id="697" w:name="_Toc156137846"/>
            <w:bookmarkStart w:id="698" w:name="_Toc136794199"/>
            <w:bookmarkStart w:id="699" w:name="_Toc29557"/>
            <w:bookmarkStart w:id="700" w:name="_Toc136794324"/>
            <w:bookmarkStart w:id="701" w:name="_Toc112424274"/>
            <w:bookmarkStart w:id="702" w:name="_Toc112173932"/>
            <w:bookmarkStart w:id="703" w:name="_Toc17191"/>
            <w:bookmarkStart w:id="704" w:name="_Toc112165637"/>
            <w:bookmarkStart w:id="705" w:name="_Toc161415562"/>
            <w:bookmarkStart w:id="706" w:name="_Toc160473808"/>
            <w:bookmarkStart w:id="707" w:name="_Toc160730884"/>
            <w:bookmarkStart w:id="708" w:name="_Toc159349035"/>
            <w:bookmarkStart w:id="709" w:name="_Toc158491267"/>
            <w:r>
              <w:rPr>
                <w:rFonts w:hint="eastAsia"/>
              </w:rPr>
              <w:t>生态环境保护目标</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28061A7C">
            <w:pPr>
              <w:pStyle w:val="4"/>
              <w:spacing w:before="48" w:after="48"/>
            </w:pPr>
            <w:bookmarkStart w:id="710" w:name="_Toc136794325"/>
            <w:bookmarkStart w:id="711" w:name="_Toc136794200"/>
            <w:bookmarkStart w:id="712" w:name="_Toc181293537"/>
            <w:bookmarkStart w:id="713" w:name="_Toc112165638"/>
            <w:bookmarkStart w:id="714" w:name="_Toc112424275"/>
            <w:bookmarkStart w:id="715" w:name="_Toc112173933"/>
            <w:bookmarkStart w:id="716" w:name="_Toc181738222"/>
            <w:bookmarkStart w:id="717" w:name="_Toc181732815"/>
            <w:r>
              <w:rPr>
                <w:rFonts w:hint="eastAsia"/>
              </w:rPr>
              <w:t>评价范围</w:t>
            </w:r>
            <w:bookmarkEnd w:id="710"/>
            <w:bookmarkEnd w:id="711"/>
            <w:bookmarkEnd w:id="712"/>
            <w:bookmarkEnd w:id="713"/>
            <w:bookmarkEnd w:id="714"/>
            <w:bookmarkEnd w:id="715"/>
            <w:bookmarkEnd w:id="716"/>
            <w:bookmarkEnd w:id="717"/>
          </w:p>
          <w:p w14:paraId="0D32D533">
            <w:pPr>
              <w:ind w:firstLine="480"/>
            </w:pPr>
            <w:r>
              <w:rPr>
                <w:rFonts w:hint="eastAsia"/>
              </w:rPr>
              <w:t xml:space="preserve">根据《建设项目环境影响评价报告表编制指南（生态影响类）（试行）》、《建设项目环境影响评价技术导则 总纲》（HJ 2.1-2016）、《环境影响评价技术导则 生态影响》（HJ 19-2022）、《环境影响评价技术导则 声环境》（HJ 2.4-2021）、《环境影响评价技术导则 土壤环境（试行）》（HJ 964-2018）、《环境影响评价技术导则 大气环境》（HJ 2.2-2018）、《环境影响评价技术导则 地下水环境》）（HJ 610-2016）、《环境影响评价技术导则 地表水环境》（HJ 2.3-2018）等，本项目各环境要素评价范围如下表所示。 </w:t>
            </w:r>
          </w:p>
          <w:p w14:paraId="7229CA4F">
            <w:pPr>
              <w:pStyle w:val="63"/>
              <w:ind w:firstLine="480"/>
            </w:pPr>
            <w:r>
              <w:rPr>
                <w:rFonts w:hint="eastAsia"/>
              </w:rPr>
              <w:t>表</w:t>
            </w:r>
            <w:r>
              <w:t xml:space="preserve"> </w:t>
            </w:r>
            <w:r>
              <w:fldChar w:fldCharType="begin"/>
            </w:r>
            <w:r>
              <w:instrText xml:space="preserve"> STYLEREF 2 \s </w:instrText>
            </w:r>
            <w:r>
              <w:fldChar w:fldCharType="separate"/>
            </w:r>
            <w:r>
              <w:t>3.5</w:t>
            </w:r>
            <w:r>
              <w:fldChar w:fldCharType="end"/>
            </w:r>
            <w:r>
              <w:noBreakHyphen/>
            </w:r>
            <w:r>
              <w:fldChar w:fldCharType="begin"/>
            </w:r>
            <w:r>
              <w:instrText xml:space="preserve"> SEQ 表 \* ARABIC \s 2 </w:instrText>
            </w:r>
            <w:r>
              <w:fldChar w:fldCharType="separate"/>
            </w:r>
            <w:r>
              <w:t>1</w:t>
            </w:r>
            <w:r>
              <w:fldChar w:fldCharType="end"/>
            </w:r>
            <w:r>
              <w:t xml:space="preserve">  </w:t>
            </w:r>
            <w:r>
              <w:rPr>
                <w:rFonts w:hint="eastAsia"/>
              </w:rPr>
              <w:t>各环境要素环境影响评价范围</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5599"/>
            </w:tblGrid>
            <w:tr w14:paraId="2B38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32" w:type="pct"/>
                  <w:vAlign w:val="center"/>
                </w:tcPr>
                <w:p w14:paraId="48432F29">
                  <w:pPr>
                    <w:pStyle w:val="167"/>
                    <w:rPr>
                      <w:rFonts w:hint="eastAsia"/>
                      <w:b/>
                      <w:sz w:val="21"/>
                      <w:szCs w:val="21"/>
                    </w:rPr>
                  </w:pPr>
                  <w:r>
                    <w:rPr>
                      <w:b/>
                      <w:sz w:val="21"/>
                      <w:szCs w:val="21"/>
                    </w:rPr>
                    <w:t>环境要素</w:t>
                  </w:r>
                </w:p>
              </w:tc>
              <w:tc>
                <w:tcPr>
                  <w:tcW w:w="3568" w:type="pct"/>
                  <w:vAlign w:val="center"/>
                </w:tcPr>
                <w:p w14:paraId="5475187A">
                  <w:pPr>
                    <w:pStyle w:val="167"/>
                    <w:rPr>
                      <w:rFonts w:hint="eastAsia"/>
                      <w:b/>
                      <w:sz w:val="21"/>
                      <w:szCs w:val="21"/>
                    </w:rPr>
                  </w:pPr>
                  <w:r>
                    <w:rPr>
                      <w:b/>
                      <w:sz w:val="21"/>
                      <w:szCs w:val="21"/>
                    </w:rPr>
                    <w:t>评价范围</w:t>
                  </w:r>
                </w:p>
              </w:tc>
            </w:tr>
            <w:tr w14:paraId="3816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2" w:type="pct"/>
                  <w:vAlign w:val="center"/>
                </w:tcPr>
                <w:p w14:paraId="3FDC7FA5">
                  <w:pPr>
                    <w:pStyle w:val="167"/>
                    <w:rPr>
                      <w:rFonts w:hint="eastAsia"/>
                      <w:sz w:val="21"/>
                      <w:szCs w:val="21"/>
                    </w:rPr>
                  </w:pPr>
                  <w:r>
                    <w:rPr>
                      <w:rFonts w:hint="eastAsia"/>
                      <w:sz w:val="21"/>
                      <w:szCs w:val="21"/>
                    </w:rPr>
                    <w:t>大气环境</w:t>
                  </w:r>
                </w:p>
              </w:tc>
              <w:tc>
                <w:tcPr>
                  <w:tcW w:w="3568" w:type="pct"/>
                  <w:vAlign w:val="center"/>
                </w:tcPr>
                <w:p w14:paraId="0919A686">
                  <w:pPr>
                    <w:pStyle w:val="167"/>
                    <w:rPr>
                      <w:rFonts w:hint="eastAsia"/>
                      <w:sz w:val="21"/>
                      <w:szCs w:val="21"/>
                    </w:rPr>
                  </w:pPr>
                  <w:r>
                    <w:rPr>
                      <w:rFonts w:hint="eastAsia"/>
                      <w:sz w:val="21"/>
                      <w:szCs w:val="21"/>
                    </w:rPr>
                    <w:t>项目厂界周围500m</w:t>
                  </w:r>
                  <w:r>
                    <w:rPr>
                      <w:sz w:val="21"/>
                      <w:szCs w:val="21"/>
                    </w:rPr>
                    <w:t>范围</w:t>
                  </w:r>
                </w:p>
              </w:tc>
            </w:tr>
            <w:tr w14:paraId="4586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2" w:type="pct"/>
                  <w:vAlign w:val="center"/>
                </w:tcPr>
                <w:p w14:paraId="447EF5A2">
                  <w:pPr>
                    <w:pStyle w:val="167"/>
                    <w:rPr>
                      <w:rFonts w:hint="eastAsia"/>
                      <w:sz w:val="21"/>
                      <w:szCs w:val="21"/>
                    </w:rPr>
                  </w:pPr>
                  <w:r>
                    <w:rPr>
                      <w:sz w:val="21"/>
                      <w:szCs w:val="21"/>
                    </w:rPr>
                    <w:t>生态环境</w:t>
                  </w:r>
                </w:p>
              </w:tc>
              <w:tc>
                <w:tcPr>
                  <w:tcW w:w="3568" w:type="pct"/>
                  <w:vAlign w:val="center"/>
                </w:tcPr>
                <w:p w14:paraId="55A21181">
                  <w:pPr>
                    <w:pStyle w:val="167"/>
                    <w:rPr>
                      <w:rFonts w:hint="eastAsia"/>
                      <w:sz w:val="21"/>
                      <w:szCs w:val="21"/>
                    </w:rPr>
                  </w:pPr>
                  <w:r>
                    <w:rPr>
                      <w:rFonts w:hint="eastAsia"/>
                      <w:sz w:val="21"/>
                      <w:szCs w:val="21"/>
                    </w:rPr>
                    <w:t>项目光伏厂界</w:t>
                  </w:r>
                  <w:r>
                    <w:rPr>
                      <w:sz w:val="21"/>
                      <w:szCs w:val="21"/>
                    </w:rPr>
                    <w:t>300m范围</w:t>
                  </w:r>
                </w:p>
              </w:tc>
            </w:tr>
            <w:tr w14:paraId="542A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2" w:type="pct"/>
                  <w:vAlign w:val="center"/>
                </w:tcPr>
                <w:p w14:paraId="51A65576">
                  <w:pPr>
                    <w:pStyle w:val="167"/>
                    <w:rPr>
                      <w:rFonts w:hint="eastAsia"/>
                      <w:sz w:val="21"/>
                      <w:szCs w:val="21"/>
                    </w:rPr>
                  </w:pPr>
                  <w:r>
                    <w:rPr>
                      <w:sz w:val="21"/>
                      <w:szCs w:val="21"/>
                    </w:rPr>
                    <w:t>声环境</w:t>
                  </w:r>
                </w:p>
              </w:tc>
              <w:tc>
                <w:tcPr>
                  <w:tcW w:w="3568" w:type="pct"/>
                  <w:vAlign w:val="center"/>
                </w:tcPr>
                <w:p w14:paraId="75298042">
                  <w:pPr>
                    <w:pStyle w:val="167"/>
                    <w:rPr>
                      <w:rFonts w:hint="eastAsia"/>
                      <w:sz w:val="21"/>
                      <w:szCs w:val="21"/>
                    </w:rPr>
                  </w:pPr>
                  <w:r>
                    <w:rPr>
                      <w:rFonts w:hint="eastAsia"/>
                      <w:sz w:val="21"/>
                      <w:szCs w:val="21"/>
                    </w:rPr>
                    <w:t>项目厂界</w:t>
                  </w:r>
                  <w:r>
                    <w:rPr>
                      <w:sz w:val="21"/>
                      <w:szCs w:val="21"/>
                    </w:rPr>
                    <w:t>周围200m范围</w:t>
                  </w:r>
                </w:p>
              </w:tc>
            </w:tr>
          </w:tbl>
          <w:p w14:paraId="7638AE26">
            <w:pPr>
              <w:ind w:firstLine="420"/>
              <w:rPr>
                <w:sz w:val="21"/>
              </w:rPr>
            </w:pPr>
            <w:r>
              <w:rPr>
                <w:rFonts w:hint="eastAsia"/>
                <w:sz w:val="21"/>
              </w:rPr>
              <w:t>备注：（1）根据</w:t>
            </w:r>
            <w:r>
              <w:rPr>
                <w:sz w:val="21"/>
              </w:rPr>
              <w:t>《环境影响评价技术导则-土壤环境》（HJ964-2018）附录A确定本项目所属的土壤环境影响评价项目类别为Ⅳ类，可不开展土壤环境影响评价。本项目不开展土壤环境影响评价。</w:t>
            </w:r>
          </w:p>
          <w:p w14:paraId="777DE109">
            <w:pPr>
              <w:ind w:firstLine="420"/>
              <w:rPr>
                <w:sz w:val="21"/>
              </w:rPr>
            </w:pPr>
            <w:r>
              <w:rPr>
                <w:sz w:val="21"/>
              </w:rPr>
              <w:t>（2）根据《</w:t>
            </w:r>
            <w:r>
              <w:rPr>
                <w:rFonts w:hint="eastAsia"/>
                <w:sz w:val="21"/>
              </w:rPr>
              <w:t>环境影响评价技术导则 地表水环境</w:t>
            </w:r>
            <w:r>
              <w:rPr>
                <w:sz w:val="21"/>
              </w:rPr>
              <w:t>》（HJ 2.3</w:t>
            </w:r>
            <w:r>
              <w:rPr>
                <w:rFonts w:hint="eastAsia"/>
                <w:sz w:val="21"/>
              </w:rPr>
              <w:t>-</w:t>
            </w:r>
            <w:r>
              <w:rPr>
                <w:sz w:val="21"/>
              </w:rPr>
              <w:t>2018）</w:t>
            </w:r>
            <w:r>
              <w:rPr>
                <w:rFonts w:hint="eastAsia"/>
                <w:sz w:val="21"/>
              </w:rPr>
              <w:t>表1</w:t>
            </w:r>
            <w:r>
              <w:rPr>
                <w:sz w:val="21"/>
              </w:rPr>
              <w:t>确定本项目所属的</w:t>
            </w:r>
            <w:r>
              <w:rPr>
                <w:rFonts w:hint="eastAsia"/>
                <w:sz w:val="21"/>
              </w:rPr>
              <w:t>地表水环境</w:t>
            </w:r>
            <w:r>
              <w:rPr>
                <w:sz w:val="21"/>
              </w:rPr>
              <w:t>影响评价项目类别为</w:t>
            </w:r>
            <w:r>
              <w:rPr>
                <w:rFonts w:hint="eastAsia"/>
                <w:sz w:val="21"/>
              </w:rPr>
              <w:t>三级B类</w:t>
            </w:r>
            <w:r>
              <w:rPr>
                <w:sz w:val="21"/>
              </w:rPr>
              <w:t>，</w:t>
            </w:r>
            <w:r>
              <w:rPr>
                <w:rFonts w:hint="eastAsia"/>
                <w:sz w:val="21"/>
              </w:rPr>
              <w:t>主要评价内容包括：a）水污染控制和水环境影响减缓措施有效性评价；b）依托污水处理设施的环境可行性评价。</w:t>
            </w:r>
          </w:p>
          <w:p w14:paraId="332F1294">
            <w:pPr>
              <w:ind w:firstLine="420"/>
              <w:rPr>
                <w:sz w:val="21"/>
              </w:rPr>
            </w:pPr>
            <w:r>
              <w:rPr>
                <w:sz w:val="21"/>
              </w:rPr>
              <w:t>（3）根据《</w:t>
            </w:r>
            <w:r>
              <w:rPr>
                <w:rFonts w:hint="eastAsia"/>
                <w:sz w:val="21"/>
              </w:rPr>
              <w:t>环境影响评价技术导则 地下水环境</w:t>
            </w:r>
            <w:r>
              <w:rPr>
                <w:sz w:val="21"/>
              </w:rPr>
              <w:t>》（HJ 610-2016）附录A确定本项目所属的地下水环境影响评价项目类别为Ⅳ类，可不开展地下水环境影响评价。本项目不开展</w:t>
            </w:r>
            <w:r>
              <w:rPr>
                <w:rFonts w:hint="eastAsia"/>
                <w:sz w:val="21"/>
              </w:rPr>
              <w:t>地下水</w:t>
            </w:r>
            <w:r>
              <w:rPr>
                <w:sz w:val="21"/>
              </w:rPr>
              <w:t>环境影响评价。</w:t>
            </w:r>
          </w:p>
          <w:p w14:paraId="2FE8786E">
            <w:pPr>
              <w:pStyle w:val="4"/>
              <w:spacing w:before="48" w:after="48"/>
            </w:pPr>
            <w:bookmarkStart w:id="718" w:name="_Toc136794326"/>
            <w:bookmarkStart w:id="719" w:name="_Toc181293538"/>
            <w:bookmarkStart w:id="720" w:name="_Toc112424276"/>
            <w:bookmarkStart w:id="721" w:name="_Toc136794201"/>
            <w:bookmarkStart w:id="722" w:name="_Toc181732816"/>
            <w:bookmarkStart w:id="723" w:name="_Toc181738223"/>
            <w:r>
              <w:t>项目环境保护目标</w:t>
            </w:r>
            <w:bookmarkEnd w:id="718"/>
            <w:bookmarkEnd w:id="719"/>
            <w:bookmarkEnd w:id="720"/>
            <w:bookmarkEnd w:id="721"/>
            <w:bookmarkEnd w:id="722"/>
            <w:bookmarkEnd w:id="723"/>
          </w:p>
          <w:p w14:paraId="0460E470">
            <w:pPr>
              <w:ind w:firstLine="482"/>
              <w:rPr>
                <w:b/>
                <w:bCs/>
              </w:rPr>
            </w:pPr>
            <w:bookmarkStart w:id="724" w:name="_Toc112173934"/>
            <w:bookmarkStart w:id="725" w:name="_Toc112165639"/>
            <w:r>
              <w:rPr>
                <w:rFonts w:hint="eastAsia"/>
                <w:b/>
                <w:bCs/>
              </w:rPr>
              <w:t>（</w:t>
            </w:r>
            <w:r>
              <w:rPr>
                <w:b/>
                <w:bCs/>
              </w:rPr>
              <w:t>1</w:t>
            </w:r>
            <w:r>
              <w:rPr>
                <w:rFonts w:hint="eastAsia"/>
                <w:b/>
                <w:bCs/>
              </w:rPr>
              <w:t>）生态环境保护目标</w:t>
            </w:r>
            <w:bookmarkEnd w:id="724"/>
            <w:bookmarkEnd w:id="725"/>
          </w:p>
          <w:p w14:paraId="1428535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①项目环境敏感区判定</w:t>
            </w:r>
          </w:p>
          <w:p w14:paraId="258DDF43">
            <w:pPr>
              <w:ind w:firstLine="480"/>
            </w:pPr>
            <w:r>
              <w:rPr>
                <w:rFonts w:hint="eastAsia"/>
              </w:rPr>
              <w:t>根据“</w:t>
            </w:r>
            <w:r>
              <w:fldChar w:fldCharType="begin"/>
            </w:r>
            <w:r>
              <w:instrText xml:space="preserve"> </w:instrText>
            </w:r>
            <w:r>
              <w:rPr>
                <w:rFonts w:hint="eastAsia"/>
              </w:rPr>
              <w:instrText xml:space="preserve">REF _Ref218708934 \h</w:instrText>
            </w:r>
            <w:r>
              <w:instrText xml:space="preserve"> </w:instrText>
            </w:r>
            <w:r>
              <w:fldChar w:fldCharType="separate"/>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 3.2</w:t>
            </w:r>
            <w:r>
              <w:rPr>
                <w:color w:val="000000" w:themeColor="text1"/>
                <w14:textFill>
                  <w14:solidFill>
                    <w14:schemeClr w14:val="tx1"/>
                  </w14:solidFill>
                </w14:textFill>
              </w:rPr>
              <w:noBreakHyphen/>
            </w:r>
            <w:r>
              <w:rPr>
                <w:color w:val="000000" w:themeColor="text1"/>
                <w14:textFill>
                  <w14:solidFill>
                    <w14:schemeClr w14:val="tx1"/>
                  </w14:solidFill>
                </w14:textFill>
              </w:rPr>
              <w:t>3</w:t>
            </w:r>
            <w:r>
              <w:fldChar w:fldCharType="end"/>
            </w:r>
            <w:r>
              <w:rPr>
                <w:rFonts w:hint="eastAsia"/>
              </w:rPr>
              <w:t>”，</w:t>
            </w:r>
            <w:r>
              <w:t>本项目在选址和设计阶段进行了多次优化，已避让生态敏感区，</w:t>
            </w:r>
            <w:r>
              <w:rPr>
                <w:rFonts w:hint="eastAsia"/>
              </w:rPr>
              <w:t>S21、S22光伏方阵用地红线与生态保护红线的最近距离5m</w:t>
            </w:r>
            <w:r>
              <w:rPr>
                <w:rFonts w:hint="eastAsia"/>
                <w:color w:val="000000" w:themeColor="text1"/>
                <w14:textFill>
                  <w14:solidFill>
                    <w14:schemeClr w14:val="tx1"/>
                  </w14:solidFill>
                </w14:textFill>
              </w:rPr>
              <w:t>，S18光伏方阵用地红线与云南无量山国家级自然保护区距离约307m，S22光伏方阵用地红线与云南灵宝山国家级森林公园距离约506m， S05光伏方阵用地红线与南涧凤凰山候鸟迁徙通道的最近距离15.9</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m。</w:t>
            </w:r>
            <w:r>
              <w:rPr>
                <w:rFonts w:hint="eastAsia"/>
              </w:rPr>
              <w:t>根据《环境影响评价技术导则  生态影响》（HJ19-2022）相关要求，本次评价云南无量山国家级自然保护区、云南灵宝山国家级森林公园、南涧凤凰山候鸟迁徙通道不纳入生态环境保护目标，生态保护红线纳入生态环境保护目标</w:t>
            </w:r>
            <w:r>
              <w:rPr>
                <w:spacing w:val="-4"/>
              </w:rPr>
              <w:t>。</w:t>
            </w:r>
          </w:p>
          <w:p w14:paraId="15641608">
            <w:pPr>
              <w:ind w:firstLine="482"/>
              <w:rPr>
                <w:b/>
                <w:bCs/>
              </w:rPr>
            </w:pPr>
            <w:r>
              <w:rPr>
                <w:rFonts w:hint="eastAsia"/>
                <w:b/>
                <w:bCs/>
              </w:rPr>
              <w:t>②本项目生态环境保护目标</w:t>
            </w:r>
          </w:p>
          <w:p w14:paraId="13A2FD5B">
            <w:pPr>
              <w:ind w:firstLine="480"/>
            </w:pPr>
            <w:r>
              <w:rPr>
                <w:rFonts w:hint="eastAsia"/>
              </w:rPr>
              <w:t>根据《环境影响评价技术导则  生态影响》（HJ19-2022）生态环境影响评价范围为光伏发电列阵区和场内集电线路用地红线外扩300m。根据现场调查和矢量叠图，本项目</w:t>
            </w:r>
            <w:r>
              <w:t>占地和评价范围</w:t>
            </w:r>
            <w:r>
              <w:rPr>
                <w:rFonts w:hint="eastAsia"/>
              </w:rPr>
              <w:t>不涉及国家公园、自然保护区、自然公园等自然保护地、世界自然遗产、重要生境以及其他具有重要生态功能、对保护生物多样性具有重要意义的区域。</w:t>
            </w:r>
          </w:p>
          <w:p w14:paraId="6EDE5AE1">
            <w:pPr>
              <w:ind w:firstLine="480"/>
            </w:pPr>
            <w:r>
              <w:rPr>
                <w:rFonts w:hint="eastAsia"/>
              </w:rPr>
              <w:t>因此，本项目主要生态环境保护目标为评价区植被植物、陆生脊椎动物以及S21、S22光伏方阵周边的生态保护红线。</w:t>
            </w:r>
          </w:p>
          <w:p w14:paraId="63FE1BE2">
            <w:pPr>
              <w:pStyle w:val="63"/>
              <w:ind w:firstLine="480"/>
            </w:pPr>
            <w:r>
              <w:rPr>
                <w:rFonts w:hint="eastAsia"/>
              </w:rPr>
              <w:t>表</w:t>
            </w:r>
            <w:r>
              <w:t xml:space="preserve"> </w:t>
            </w:r>
            <w:r>
              <w:fldChar w:fldCharType="begin"/>
            </w:r>
            <w:r>
              <w:instrText xml:space="preserve"> STYLEREF 2 \s </w:instrText>
            </w:r>
            <w:r>
              <w:fldChar w:fldCharType="separate"/>
            </w:r>
            <w:r>
              <w:t>3.5</w:t>
            </w:r>
            <w:r>
              <w:fldChar w:fldCharType="end"/>
            </w:r>
            <w:r>
              <w:noBreakHyphen/>
            </w:r>
            <w:r>
              <w:fldChar w:fldCharType="begin"/>
            </w:r>
            <w:r>
              <w:instrText xml:space="preserve"> SEQ 表 \* ARABIC \s 2 </w:instrText>
            </w:r>
            <w:r>
              <w:fldChar w:fldCharType="separate"/>
            </w:r>
            <w:r>
              <w:t>2</w:t>
            </w:r>
            <w:r>
              <w:fldChar w:fldCharType="end"/>
            </w:r>
            <w:r>
              <w:t xml:space="preserve">  </w:t>
            </w:r>
            <w:r>
              <w:rPr>
                <w:rFonts w:hint="eastAsia"/>
              </w:rPr>
              <w:t>生态环境保护目标</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73"/>
              <w:gridCol w:w="1022"/>
              <w:gridCol w:w="1913"/>
              <w:gridCol w:w="2042"/>
              <w:gridCol w:w="1022"/>
              <w:gridCol w:w="1274"/>
            </w:tblGrid>
            <w:tr w14:paraId="43D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366" w:type="pct"/>
                  <w:tcBorders>
                    <w:top w:val="single" w:color="auto" w:sz="4" w:space="0"/>
                    <w:left w:val="single" w:color="auto" w:sz="4" w:space="0"/>
                    <w:bottom w:val="single" w:color="auto" w:sz="4" w:space="0"/>
                    <w:right w:val="single" w:color="auto" w:sz="4" w:space="0"/>
                  </w:tcBorders>
                  <w:vAlign w:val="center"/>
                </w:tcPr>
                <w:p w14:paraId="0CA4297F">
                  <w:pPr>
                    <w:pStyle w:val="65"/>
                    <w:rPr>
                      <w:rFonts w:cs="Times New Roman"/>
                      <w:b/>
                      <w:bCs/>
                    </w:rPr>
                  </w:pPr>
                  <w:r>
                    <w:rPr>
                      <w:rFonts w:cs="Times New Roman"/>
                      <w:b/>
                      <w:bCs/>
                    </w:rPr>
                    <w:t>序号</w:t>
                  </w:r>
                </w:p>
              </w:tc>
              <w:tc>
                <w:tcPr>
                  <w:tcW w:w="651" w:type="pct"/>
                  <w:tcBorders>
                    <w:top w:val="single" w:color="auto" w:sz="4" w:space="0"/>
                    <w:left w:val="single" w:color="auto" w:sz="4" w:space="0"/>
                    <w:bottom w:val="single" w:color="auto" w:sz="4" w:space="0"/>
                    <w:right w:val="single" w:color="auto" w:sz="4" w:space="0"/>
                  </w:tcBorders>
                  <w:vAlign w:val="center"/>
                </w:tcPr>
                <w:p w14:paraId="10D8AE2D">
                  <w:pPr>
                    <w:pStyle w:val="65"/>
                    <w:rPr>
                      <w:rFonts w:cs="Times New Roman"/>
                      <w:b/>
                      <w:bCs/>
                    </w:rPr>
                  </w:pPr>
                  <w:r>
                    <w:rPr>
                      <w:rFonts w:cs="Times New Roman"/>
                      <w:b/>
                      <w:bCs/>
                    </w:rPr>
                    <w:t>保护对象</w:t>
                  </w:r>
                </w:p>
              </w:tc>
              <w:tc>
                <w:tcPr>
                  <w:tcW w:w="1219" w:type="pct"/>
                  <w:tcBorders>
                    <w:top w:val="single" w:color="auto" w:sz="4" w:space="0"/>
                    <w:left w:val="single" w:color="auto" w:sz="4" w:space="0"/>
                    <w:bottom w:val="single" w:color="auto" w:sz="4" w:space="0"/>
                    <w:right w:val="single" w:color="auto" w:sz="4" w:space="0"/>
                  </w:tcBorders>
                  <w:vAlign w:val="center"/>
                </w:tcPr>
                <w:p w14:paraId="639EC14C">
                  <w:pPr>
                    <w:pStyle w:val="65"/>
                    <w:rPr>
                      <w:rFonts w:cs="Times New Roman"/>
                      <w:b/>
                      <w:bCs/>
                    </w:rPr>
                  </w:pPr>
                  <w:r>
                    <w:rPr>
                      <w:rFonts w:cs="Times New Roman"/>
                      <w:b/>
                      <w:bCs/>
                    </w:rPr>
                    <w:t>特性/规模</w:t>
                  </w:r>
                </w:p>
              </w:tc>
              <w:tc>
                <w:tcPr>
                  <w:tcW w:w="1301" w:type="pct"/>
                  <w:tcBorders>
                    <w:top w:val="single" w:color="auto" w:sz="4" w:space="0"/>
                    <w:left w:val="single" w:color="auto" w:sz="4" w:space="0"/>
                    <w:bottom w:val="single" w:color="auto" w:sz="4" w:space="0"/>
                    <w:right w:val="single" w:color="auto" w:sz="4" w:space="0"/>
                  </w:tcBorders>
                  <w:vAlign w:val="center"/>
                </w:tcPr>
                <w:p w14:paraId="5C6A6F5A">
                  <w:pPr>
                    <w:pStyle w:val="65"/>
                    <w:rPr>
                      <w:rFonts w:cs="Times New Roman"/>
                      <w:b/>
                      <w:bCs/>
                    </w:rPr>
                  </w:pPr>
                  <w:r>
                    <w:rPr>
                      <w:rFonts w:cs="Times New Roman"/>
                      <w:b/>
                      <w:bCs/>
                    </w:rPr>
                    <w:t>位置</w:t>
                  </w:r>
                </w:p>
              </w:tc>
              <w:tc>
                <w:tcPr>
                  <w:tcW w:w="651" w:type="pct"/>
                  <w:tcBorders>
                    <w:top w:val="single" w:color="auto" w:sz="4" w:space="0"/>
                    <w:left w:val="single" w:color="auto" w:sz="4" w:space="0"/>
                    <w:bottom w:val="single" w:color="auto" w:sz="4" w:space="0"/>
                    <w:right w:val="single" w:color="auto" w:sz="4" w:space="0"/>
                  </w:tcBorders>
                  <w:vAlign w:val="center"/>
                </w:tcPr>
                <w:p w14:paraId="7A3EBB5D">
                  <w:pPr>
                    <w:pStyle w:val="65"/>
                    <w:rPr>
                      <w:rFonts w:cs="Times New Roman"/>
                      <w:b/>
                      <w:bCs/>
                    </w:rPr>
                  </w:pPr>
                  <w:r>
                    <w:rPr>
                      <w:rFonts w:cs="Times New Roman"/>
                      <w:b/>
                      <w:bCs/>
                    </w:rPr>
                    <w:t>主要影响因素</w:t>
                  </w:r>
                </w:p>
              </w:tc>
              <w:tc>
                <w:tcPr>
                  <w:tcW w:w="812" w:type="pct"/>
                  <w:tcBorders>
                    <w:top w:val="single" w:color="auto" w:sz="4" w:space="0"/>
                    <w:left w:val="single" w:color="auto" w:sz="4" w:space="0"/>
                    <w:bottom w:val="single" w:color="auto" w:sz="4" w:space="0"/>
                    <w:right w:val="single" w:color="auto" w:sz="4" w:space="0"/>
                  </w:tcBorders>
                  <w:vAlign w:val="center"/>
                </w:tcPr>
                <w:p w14:paraId="53A6DFA9">
                  <w:pPr>
                    <w:pStyle w:val="65"/>
                    <w:rPr>
                      <w:rFonts w:cs="Times New Roman"/>
                      <w:b/>
                      <w:bCs/>
                    </w:rPr>
                  </w:pPr>
                  <w:r>
                    <w:rPr>
                      <w:rFonts w:cs="Times New Roman"/>
                      <w:b/>
                      <w:bCs/>
                    </w:rPr>
                    <w:t>保护级别</w:t>
                  </w:r>
                </w:p>
              </w:tc>
            </w:tr>
            <w:tr w14:paraId="5A5B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6" w:type="pct"/>
                  <w:tcBorders>
                    <w:top w:val="single" w:color="auto" w:sz="4" w:space="0"/>
                    <w:left w:val="single" w:color="auto" w:sz="4" w:space="0"/>
                    <w:bottom w:val="single" w:color="auto" w:sz="4" w:space="0"/>
                    <w:right w:val="single" w:color="auto" w:sz="4" w:space="0"/>
                  </w:tcBorders>
                  <w:vAlign w:val="center"/>
                </w:tcPr>
                <w:p w14:paraId="66B72388">
                  <w:pPr>
                    <w:pStyle w:val="65"/>
                    <w:rPr>
                      <w:rFonts w:cs="Times New Roman"/>
                    </w:rPr>
                  </w:pPr>
                  <w:r>
                    <w:rPr>
                      <w:rFonts w:cs="Times New Roman"/>
                    </w:rPr>
                    <w:t>1</w:t>
                  </w:r>
                </w:p>
              </w:tc>
              <w:tc>
                <w:tcPr>
                  <w:tcW w:w="651" w:type="pct"/>
                  <w:tcBorders>
                    <w:top w:val="single" w:color="auto" w:sz="4" w:space="0"/>
                    <w:left w:val="single" w:color="auto" w:sz="4" w:space="0"/>
                    <w:bottom w:val="single" w:color="auto" w:sz="4" w:space="0"/>
                    <w:right w:val="single" w:color="auto" w:sz="4" w:space="0"/>
                  </w:tcBorders>
                  <w:vAlign w:val="center"/>
                </w:tcPr>
                <w:p w14:paraId="1ADB105E">
                  <w:pPr>
                    <w:pStyle w:val="65"/>
                    <w:rPr>
                      <w:rFonts w:cs="Times New Roman"/>
                    </w:rPr>
                  </w:pPr>
                  <w:r>
                    <w:rPr>
                      <w:rFonts w:cs="Times New Roman"/>
                    </w:rPr>
                    <w:t>陆生植被植物</w:t>
                  </w:r>
                </w:p>
              </w:tc>
              <w:tc>
                <w:tcPr>
                  <w:tcW w:w="1219" w:type="pct"/>
                  <w:tcBorders>
                    <w:top w:val="single" w:color="auto" w:sz="4" w:space="0"/>
                    <w:left w:val="single" w:color="auto" w:sz="4" w:space="0"/>
                    <w:bottom w:val="single" w:color="auto" w:sz="4" w:space="0"/>
                    <w:right w:val="single" w:color="auto" w:sz="4" w:space="0"/>
                  </w:tcBorders>
                  <w:vAlign w:val="center"/>
                </w:tcPr>
                <w:p w14:paraId="610FB891">
                  <w:pPr>
                    <w:pStyle w:val="65"/>
                    <w:jc w:val="both"/>
                    <w:rPr>
                      <w:rFonts w:cs="Times New Roman"/>
                    </w:rPr>
                  </w:pPr>
                  <w:r>
                    <w:rPr>
                      <w:rFonts w:hint="eastAsia" w:cs="Times New Roman"/>
                    </w:rPr>
                    <w:t>暖温性针叶林、暖性石灰岩灌丛、暖温性稀树灌木草丛</w:t>
                  </w:r>
                  <w:r>
                    <w:rPr>
                      <w:rFonts w:cs="Times New Roman"/>
                    </w:rPr>
                    <w:t>及植物</w:t>
                  </w:r>
                </w:p>
              </w:tc>
              <w:tc>
                <w:tcPr>
                  <w:tcW w:w="1301" w:type="pct"/>
                  <w:vMerge w:val="restart"/>
                  <w:tcBorders>
                    <w:top w:val="single" w:color="auto" w:sz="4" w:space="0"/>
                    <w:left w:val="single" w:color="auto" w:sz="4" w:space="0"/>
                    <w:right w:val="single" w:color="auto" w:sz="4" w:space="0"/>
                  </w:tcBorders>
                  <w:vAlign w:val="center"/>
                </w:tcPr>
                <w:p w14:paraId="33288B63">
                  <w:pPr>
                    <w:pStyle w:val="65"/>
                    <w:jc w:val="both"/>
                    <w:rPr>
                      <w:rFonts w:cs="Times New Roman"/>
                    </w:rPr>
                  </w:pPr>
                  <w:r>
                    <w:rPr>
                      <w:rFonts w:cs="Times New Roman"/>
                    </w:rPr>
                    <w:t>光伏场区、</w:t>
                  </w:r>
                  <w:r>
                    <w:rPr>
                      <w:rFonts w:hint="eastAsia" w:cs="Times New Roman"/>
                    </w:rPr>
                    <w:t>场内</w:t>
                  </w:r>
                  <w:r>
                    <w:rPr>
                      <w:rFonts w:cs="Times New Roman"/>
                    </w:rPr>
                    <w:t>集电线路用地红线外扩300m的区域</w:t>
                  </w:r>
                </w:p>
              </w:tc>
              <w:tc>
                <w:tcPr>
                  <w:tcW w:w="651" w:type="pct"/>
                  <w:vMerge w:val="restart"/>
                  <w:tcBorders>
                    <w:top w:val="single" w:color="auto" w:sz="4" w:space="0"/>
                    <w:left w:val="single" w:color="auto" w:sz="4" w:space="0"/>
                    <w:right w:val="single" w:color="auto" w:sz="4" w:space="0"/>
                  </w:tcBorders>
                  <w:vAlign w:val="center"/>
                </w:tcPr>
                <w:p w14:paraId="35782058">
                  <w:pPr>
                    <w:pStyle w:val="65"/>
                    <w:rPr>
                      <w:rFonts w:cs="Times New Roman"/>
                    </w:rPr>
                  </w:pPr>
                  <w:r>
                    <w:rPr>
                      <w:rFonts w:cs="Times New Roman"/>
                    </w:rPr>
                    <w:t>永久和临时占用</w:t>
                  </w:r>
                </w:p>
              </w:tc>
              <w:tc>
                <w:tcPr>
                  <w:tcW w:w="812" w:type="pct"/>
                  <w:vMerge w:val="restart"/>
                  <w:tcBorders>
                    <w:top w:val="single" w:color="auto" w:sz="4" w:space="0"/>
                    <w:left w:val="single" w:color="auto" w:sz="4" w:space="0"/>
                    <w:right w:val="single" w:color="auto" w:sz="4" w:space="0"/>
                  </w:tcBorders>
                  <w:vAlign w:val="center"/>
                </w:tcPr>
                <w:p w14:paraId="5C7D9F77">
                  <w:pPr>
                    <w:pStyle w:val="65"/>
                    <w:rPr>
                      <w:rFonts w:cs="Times New Roman"/>
                    </w:rPr>
                  </w:pPr>
                  <w:r>
                    <w:rPr>
                      <w:rFonts w:cs="Times New Roman"/>
                    </w:rPr>
                    <w:t>保持评价区内生态系统稳定性和完整性，确保评价区内动植物资源、生物多样性影响可控</w:t>
                  </w:r>
                </w:p>
              </w:tc>
            </w:tr>
            <w:tr w14:paraId="183C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6" w:type="pct"/>
                  <w:tcBorders>
                    <w:top w:val="single" w:color="auto" w:sz="4" w:space="0"/>
                    <w:left w:val="single" w:color="auto" w:sz="4" w:space="0"/>
                    <w:bottom w:val="single" w:color="auto" w:sz="4" w:space="0"/>
                    <w:right w:val="single" w:color="auto" w:sz="4" w:space="0"/>
                  </w:tcBorders>
                  <w:vAlign w:val="center"/>
                </w:tcPr>
                <w:p w14:paraId="05589E7E">
                  <w:pPr>
                    <w:pStyle w:val="65"/>
                    <w:rPr>
                      <w:rFonts w:cs="Times New Roman"/>
                    </w:rPr>
                  </w:pPr>
                  <w:r>
                    <w:rPr>
                      <w:rFonts w:cs="Times New Roman"/>
                    </w:rPr>
                    <w:t>2</w:t>
                  </w:r>
                </w:p>
              </w:tc>
              <w:tc>
                <w:tcPr>
                  <w:tcW w:w="651" w:type="pct"/>
                  <w:tcBorders>
                    <w:top w:val="single" w:color="auto" w:sz="4" w:space="0"/>
                    <w:left w:val="single" w:color="auto" w:sz="4" w:space="0"/>
                    <w:bottom w:val="single" w:color="auto" w:sz="4" w:space="0"/>
                    <w:right w:val="single" w:color="auto" w:sz="4" w:space="0"/>
                  </w:tcBorders>
                  <w:vAlign w:val="center"/>
                </w:tcPr>
                <w:p w14:paraId="33C508AA">
                  <w:pPr>
                    <w:pStyle w:val="65"/>
                    <w:rPr>
                      <w:rFonts w:cs="Times New Roman"/>
                    </w:rPr>
                  </w:pPr>
                  <w:r>
                    <w:rPr>
                      <w:rFonts w:cs="Times New Roman"/>
                    </w:rPr>
                    <w:t>陆生脊椎动物</w:t>
                  </w:r>
                </w:p>
              </w:tc>
              <w:tc>
                <w:tcPr>
                  <w:tcW w:w="1219" w:type="pct"/>
                  <w:tcBorders>
                    <w:top w:val="single" w:color="auto" w:sz="4" w:space="0"/>
                    <w:left w:val="single" w:color="auto" w:sz="4" w:space="0"/>
                    <w:bottom w:val="single" w:color="auto" w:sz="4" w:space="0"/>
                    <w:right w:val="single" w:color="auto" w:sz="4" w:space="0"/>
                  </w:tcBorders>
                  <w:vAlign w:val="center"/>
                </w:tcPr>
                <w:p w14:paraId="28EA20C6">
                  <w:pPr>
                    <w:pStyle w:val="65"/>
                    <w:rPr>
                      <w:rFonts w:cs="Times New Roman"/>
                    </w:rPr>
                  </w:pPr>
                  <w:r>
                    <w:rPr>
                      <w:rFonts w:cs="Times New Roman"/>
                    </w:rPr>
                    <w:t>野生动物</w:t>
                  </w:r>
                </w:p>
              </w:tc>
              <w:tc>
                <w:tcPr>
                  <w:tcW w:w="1301" w:type="pct"/>
                  <w:vMerge w:val="continue"/>
                  <w:tcBorders>
                    <w:left w:val="single" w:color="auto" w:sz="4" w:space="0"/>
                    <w:bottom w:val="single" w:color="auto" w:sz="4" w:space="0"/>
                    <w:right w:val="single" w:color="auto" w:sz="4" w:space="0"/>
                  </w:tcBorders>
                  <w:vAlign w:val="center"/>
                </w:tcPr>
                <w:p w14:paraId="38F81C8E">
                  <w:pPr>
                    <w:pStyle w:val="65"/>
                    <w:jc w:val="both"/>
                    <w:rPr>
                      <w:rFonts w:cs="Times New Roman"/>
                    </w:rPr>
                  </w:pPr>
                </w:p>
              </w:tc>
              <w:tc>
                <w:tcPr>
                  <w:tcW w:w="651" w:type="pct"/>
                  <w:vMerge w:val="continue"/>
                  <w:tcBorders>
                    <w:left w:val="single" w:color="auto" w:sz="4" w:space="0"/>
                    <w:bottom w:val="single" w:color="auto" w:sz="4" w:space="0"/>
                    <w:right w:val="single" w:color="auto" w:sz="4" w:space="0"/>
                  </w:tcBorders>
                  <w:vAlign w:val="center"/>
                </w:tcPr>
                <w:p w14:paraId="216C3826">
                  <w:pPr>
                    <w:pStyle w:val="65"/>
                    <w:rPr>
                      <w:rFonts w:cs="Times New Roman"/>
                    </w:rPr>
                  </w:pPr>
                </w:p>
              </w:tc>
              <w:tc>
                <w:tcPr>
                  <w:tcW w:w="812" w:type="pct"/>
                  <w:vMerge w:val="continue"/>
                  <w:tcBorders>
                    <w:left w:val="single" w:color="auto" w:sz="4" w:space="0"/>
                    <w:right w:val="single" w:color="auto" w:sz="4" w:space="0"/>
                  </w:tcBorders>
                  <w:vAlign w:val="center"/>
                </w:tcPr>
                <w:p w14:paraId="4FB2C4FF">
                  <w:pPr>
                    <w:pStyle w:val="65"/>
                    <w:rPr>
                      <w:rFonts w:cs="Times New Roman"/>
                    </w:rPr>
                  </w:pPr>
                </w:p>
              </w:tc>
            </w:tr>
            <w:tr w14:paraId="3091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6" w:type="pct"/>
                  <w:tcBorders>
                    <w:top w:val="single" w:color="auto" w:sz="4" w:space="0"/>
                    <w:left w:val="single" w:color="auto" w:sz="4" w:space="0"/>
                    <w:bottom w:val="single" w:color="auto" w:sz="4" w:space="0"/>
                    <w:right w:val="single" w:color="auto" w:sz="4" w:space="0"/>
                  </w:tcBorders>
                  <w:vAlign w:val="center"/>
                </w:tcPr>
                <w:p w14:paraId="5DF5ED24">
                  <w:pPr>
                    <w:pStyle w:val="65"/>
                    <w:rPr>
                      <w:rFonts w:cs="Times New Roman"/>
                    </w:rPr>
                  </w:pPr>
                  <w:r>
                    <w:rPr>
                      <w:rFonts w:cs="Times New Roman"/>
                    </w:rPr>
                    <w:t>3</w:t>
                  </w:r>
                </w:p>
              </w:tc>
              <w:tc>
                <w:tcPr>
                  <w:tcW w:w="651" w:type="pct"/>
                  <w:tcBorders>
                    <w:top w:val="single" w:color="auto" w:sz="4" w:space="0"/>
                    <w:left w:val="single" w:color="auto" w:sz="4" w:space="0"/>
                    <w:bottom w:val="single" w:color="auto" w:sz="4" w:space="0"/>
                    <w:right w:val="single" w:color="auto" w:sz="4" w:space="0"/>
                  </w:tcBorders>
                  <w:vAlign w:val="center"/>
                </w:tcPr>
                <w:p w14:paraId="3E9772E4">
                  <w:pPr>
                    <w:pStyle w:val="65"/>
                    <w:rPr>
                      <w:rFonts w:cs="Times New Roman"/>
                    </w:rPr>
                  </w:pPr>
                  <w:r>
                    <w:rPr>
                      <w:rFonts w:cs="Times New Roman"/>
                    </w:rPr>
                    <w:t>生态保护红线</w:t>
                  </w:r>
                </w:p>
              </w:tc>
              <w:tc>
                <w:tcPr>
                  <w:tcW w:w="1219" w:type="pct"/>
                  <w:tcBorders>
                    <w:top w:val="single" w:color="auto" w:sz="4" w:space="0"/>
                    <w:left w:val="single" w:color="auto" w:sz="4" w:space="0"/>
                    <w:bottom w:val="single" w:color="auto" w:sz="4" w:space="0"/>
                    <w:right w:val="single" w:color="auto" w:sz="4" w:space="0"/>
                  </w:tcBorders>
                  <w:vAlign w:val="center"/>
                </w:tcPr>
                <w:p w14:paraId="531F757C">
                  <w:pPr>
                    <w:pStyle w:val="65"/>
                    <w:jc w:val="both"/>
                    <w:rPr>
                      <w:rFonts w:cs="Times New Roman"/>
                    </w:rPr>
                  </w:pPr>
                  <w:r>
                    <w:rPr>
                      <w:rFonts w:hint="eastAsia" w:cs="Times New Roman"/>
                    </w:rPr>
                    <w:t>哀牢山-无量山山地生物多样性维护与水土保持生态保护红线</w:t>
                  </w:r>
                </w:p>
              </w:tc>
              <w:tc>
                <w:tcPr>
                  <w:tcW w:w="1301" w:type="pct"/>
                  <w:tcBorders>
                    <w:top w:val="single" w:color="auto" w:sz="4" w:space="0"/>
                    <w:left w:val="single" w:color="auto" w:sz="4" w:space="0"/>
                    <w:bottom w:val="single" w:color="auto" w:sz="4" w:space="0"/>
                    <w:right w:val="single" w:color="auto" w:sz="4" w:space="0"/>
                  </w:tcBorders>
                  <w:vAlign w:val="center"/>
                </w:tcPr>
                <w:p w14:paraId="78EAFC05">
                  <w:pPr>
                    <w:pStyle w:val="65"/>
                    <w:jc w:val="both"/>
                    <w:rPr>
                      <w:rFonts w:cs="Times New Roman"/>
                    </w:rPr>
                  </w:pPr>
                  <w:r>
                    <w:rPr>
                      <w:rFonts w:cs="Times New Roman"/>
                    </w:rPr>
                    <w:t>光伏</w:t>
                  </w:r>
                  <w:r>
                    <w:rPr>
                      <w:rFonts w:hint="eastAsia" w:cs="Times New Roman"/>
                    </w:rPr>
                    <w:t>场区</w:t>
                  </w:r>
                  <w:r>
                    <w:rPr>
                      <w:rFonts w:cs="Times New Roman"/>
                    </w:rPr>
                    <w:t>、</w:t>
                  </w:r>
                  <w:r>
                    <w:rPr>
                      <w:rFonts w:hint="eastAsia" w:cs="Times New Roman"/>
                    </w:rPr>
                    <w:t>场内</w:t>
                  </w:r>
                  <w:r>
                    <w:rPr>
                      <w:rFonts w:cs="Times New Roman"/>
                    </w:rPr>
                    <w:t>集电线路用地红线外扩300m区域内，用地红线（</w:t>
                  </w:r>
                  <w:r>
                    <w:rPr>
                      <w:rFonts w:hint="eastAsia" w:cs="Times New Roman"/>
                    </w:rPr>
                    <w:t>S21、S22</w:t>
                  </w:r>
                  <w:r>
                    <w:rPr>
                      <w:rFonts w:cs="Times New Roman"/>
                    </w:rPr>
                    <w:t>光伏方阵）与生态保护红线的最近距离5m</w:t>
                  </w:r>
                </w:p>
              </w:tc>
              <w:tc>
                <w:tcPr>
                  <w:tcW w:w="651" w:type="pct"/>
                  <w:tcBorders>
                    <w:top w:val="single" w:color="auto" w:sz="4" w:space="0"/>
                    <w:left w:val="single" w:color="auto" w:sz="4" w:space="0"/>
                    <w:bottom w:val="single" w:color="auto" w:sz="4" w:space="0"/>
                    <w:right w:val="single" w:color="auto" w:sz="4" w:space="0"/>
                  </w:tcBorders>
                  <w:vAlign w:val="center"/>
                </w:tcPr>
                <w:p w14:paraId="69D3542F">
                  <w:pPr>
                    <w:pStyle w:val="65"/>
                    <w:rPr>
                      <w:rFonts w:cs="Times New Roman"/>
                    </w:rPr>
                  </w:pPr>
                  <w:r>
                    <w:rPr>
                      <w:rFonts w:cs="Times New Roman"/>
                    </w:rPr>
                    <w:t>间接影响</w:t>
                  </w:r>
                </w:p>
              </w:tc>
              <w:tc>
                <w:tcPr>
                  <w:tcW w:w="812" w:type="pct"/>
                  <w:tcBorders>
                    <w:left w:val="single" w:color="auto" w:sz="4" w:space="0"/>
                    <w:right w:val="single" w:color="auto" w:sz="4" w:space="0"/>
                  </w:tcBorders>
                  <w:vAlign w:val="center"/>
                </w:tcPr>
                <w:p w14:paraId="6B517F64">
                  <w:pPr>
                    <w:pStyle w:val="65"/>
                    <w:rPr>
                      <w:rFonts w:cs="Times New Roman"/>
                    </w:rPr>
                  </w:pPr>
                  <w:r>
                    <w:rPr>
                      <w:rFonts w:cs="Times New Roman"/>
                    </w:rPr>
                    <w:t>确保项目不占用生态保护红线，保护生态保护红线中的植被及生态功能</w:t>
                  </w:r>
                </w:p>
              </w:tc>
            </w:tr>
          </w:tbl>
          <w:p w14:paraId="37B341BD">
            <w:pPr>
              <w:ind w:firstLine="482"/>
              <w:rPr>
                <w:b/>
                <w:bCs/>
              </w:rPr>
            </w:pPr>
            <w:r>
              <w:rPr>
                <w:rFonts w:hint="eastAsia"/>
                <w:b/>
                <w:bCs/>
              </w:rPr>
              <w:t>（</w:t>
            </w:r>
            <w:r>
              <w:rPr>
                <w:b/>
                <w:bCs/>
              </w:rPr>
              <w:t>2</w:t>
            </w:r>
            <w:r>
              <w:rPr>
                <w:rFonts w:hint="eastAsia"/>
                <w:b/>
                <w:bCs/>
              </w:rPr>
              <w:t>）地表水环境保护目标</w:t>
            </w:r>
          </w:p>
          <w:p w14:paraId="68740042">
            <w:pPr>
              <w:ind w:firstLine="480"/>
            </w:pPr>
            <w:r>
              <w:rPr>
                <w:rFonts w:hint="eastAsia"/>
              </w:rPr>
              <w:t>根据《</w:t>
            </w:r>
            <w:r>
              <w:fldChar w:fldCharType="begin"/>
            </w:r>
            <w:r>
              <w:instrText xml:space="preserve"> </w:instrText>
            </w:r>
            <w:r>
              <w:rPr>
                <w:rFonts w:hint="eastAsia"/>
              </w:rPr>
              <w:instrText xml:space="preserve">REF _Ref218542484 \h</w:instrText>
            </w:r>
            <w:r>
              <w:instrText xml:space="preserve"> </w:instrText>
            </w:r>
            <w:r>
              <w:fldChar w:fldCharType="separate"/>
            </w:r>
            <w:r>
              <w:rPr>
                <w:rFonts w:hint="eastAsia"/>
              </w:rPr>
              <w:t>大理白族自治州生态环境局南涧分局关于沙乐光伏发电项目二次选址的意见</w:t>
            </w:r>
            <w:r>
              <w:fldChar w:fldCharType="end"/>
            </w:r>
            <w:r>
              <w:rPr>
                <w:rFonts w:hint="eastAsia"/>
              </w:rPr>
              <w:t>》（</w:t>
            </w:r>
            <w:r>
              <w:fldChar w:fldCharType="begin"/>
            </w:r>
            <w:r>
              <w:instrText xml:space="preserve"> </w:instrText>
            </w:r>
            <w:r>
              <w:rPr>
                <w:rFonts w:hint="eastAsia"/>
              </w:rPr>
              <w:instrText xml:space="preserve">REF _Ref211852029 \h</w:instrText>
            </w:r>
            <w:r>
              <w:instrText xml:space="preserve">  \* MERGEFORMAT </w:instrText>
            </w:r>
            <w:r>
              <w:fldChar w:fldCharType="separate"/>
            </w:r>
            <w:r>
              <w:rPr>
                <w:rFonts w:hint="eastAsia"/>
              </w:rPr>
              <w:t>附件</w:t>
            </w:r>
            <w:r>
              <w:t xml:space="preserve"> 5</w:t>
            </w:r>
            <w:r>
              <w:fldChar w:fldCharType="end"/>
            </w:r>
            <w:r>
              <w:rPr>
                <w:rFonts w:hint="eastAsia"/>
              </w:rPr>
              <w:t>），本项目用地红线2km范围内不涉及划定的饮用水水源地保护区。项</w:t>
            </w:r>
            <w:bookmarkStart w:id="726" w:name="OLE_LINK4"/>
            <w:r>
              <w:rPr>
                <w:rFonts w:hint="eastAsia"/>
              </w:rPr>
              <w:t>目周边主要地表水保护目标为项目周边主要地表水体为沙乐河、磨房河、安照河和澜沧江，沙乐河属于银定河上游，银定河和安照河</w:t>
            </w:r>
            <w:r>
              <w:t>最终进入澜沧江</w:t>
            </w:r>
            <w:bookmarkEnd w:id="726"/>
            <w:r>
              <w:rPr>
                <w:rFonts w:hint="eastAsia"/>
              </w:rPr>
              <w:t>。</w:t>
            </w:r>
          </w:p>
          <w:p w14:paraId="23E2AD02">
            <w:pPr>
              <w:pStyle w:val="63"/>
              <w:ind w:firstLine="480"/>
            </w:pPr>
            <w:r>
              <w:rPr>
                <w:rFonts w:hint="eastAsia"/>
              </w:rPr>
              <w:t>表</w:t>
            </w:r>
            <w:r>
              <w:t xml:space="preserve"> </w:t>
            </w:r>
            <w:r>
              <w:fldChar w:fldCharType="begin"/>
            </w:r>
            <w:r>
              <w:instrText xml:space="preserve"> STYLEREF 2 \s </w:instrText>
            </w:r>
            <w:r>
              <w:fldChar w:fldCharType="separate"/>
            </w:r>
            <w:r>
              <w:t>3.5</w:t>
            </w:r>
            <w:r>
              <w:fldChar w:fldCharType="end"/>
            </w:r>
            <w:r>
              <w:noBreakHyphen/>
            </w:r>
            <w:r>
              <w:fldChar w:fldCharType="begin"/>
            </w:r>
            <w:r>
              <w:instrText xml:space="preserve"> SEQ 表 \* ARABIC \s 2 </w:instrText>
            </w:r>
            <w:r>
              <w:fldChar w:fldCharType="separate"/>
            </w:r>
            <w:r>
              <w:t>3</w:t>
            </w:r>
            <w:r>
              <w:fldChar w:fldCharType="end"/>
            </w:r>
            <w:r>
              <w:t xml:space="preserve">  </w:t>
            </w:r>
            <w:r>
              <w:rPr>
                <w:rFonts w:hint="eastAsia"/>
              </w:rPr>
              <w:t>地表水环境保护目标</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81"/>
              <w:gridCol w:w="1306"/>
              <w:gridCol w:w="2799"/>
              <w:gridCol w:w="1736"/>
              <w:gridCol w:w="1124"/>
            </w:tblGrid>
            <w:tr w14:paraId="7D12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tblHeader/>
                <w:jc w:val="center"/>
              </w:trPr>
              <w:tc>
                <w:tcPr>
                  <w:tcW w:w="564" w:type="pct"/>
                  <w:tcBorders>
                    <w:top w:val="single" w:color="auto" w:sz="4" w:space="0"/>
                    <w:left w:val="single" w:color="auto" w:sz="4" w:space="0"/>
                    <w:bottom w:val="single" w:color="auto" w:sz="4" w:space="0"/>
                    <w:right w:val="single" w:color="auto" w:sz="4" w:space="0"/>
                  </w:tcBorders>
                  <w:vAlign w:val="center"/>
                </w:tcPr>
                <w:p w14:paraId="4A13DC33">
                  <w:pPr>
                    <w:pStyle w:val="65"/>
                    <w:rPr>
                      <w:b/>
                      <w:bCs/>
                    </w:rPr>
                  </w:pPr>
                  <w:bookmarkStart w:id="727" w:name="_Hlk177149507"/>
                  <w:r>
                    <w:rPr>
                      <w:rFonts w:hint="eastAsia"/>
                      <w:b/>
                      <w:bCs/>
                    </w:rPr>
                    <w:t>序号</w:t>
                  </w:r>
                </w:p>
              </w:tc>
              <w:tc>
                <w:tcPr>
                  <w:tcW w:w="835" w:type="pct"/>
                  <w:tcBorders>
                    <w:top w:val="single" w:color="auto" w:sz="4" w:space="0"/>
                    <w:left w:val="single" w:color="auto" w:sz="4" w:space="0"/>
                    <w:bottom w:val="single" w:color="auto" w:sz="4" w:space="0"/>
                    <w:right w:val="single" w:color="auto" w:sz="4" w:space="0"/>
                  </w:tcBorders>
                  <w:vAlign w:val="center"/>
                </w:tcPr>
                <w:p w14:paraId="76F36C63">
                  <w:pPr>
                    <w:pStyle w:val="65"/>
                    <w:rPr>
                      <w:b/>
                      <w:bCs/>
                    </w:rPr>
                  </w:pPr>
                  <w:r>
                    <w:rPr>
                      <w:rFonts w:hint="eastAsia"/>
                      <w:b/>
                      <w:bCs/>
                    </w:rPr>
                    <w:t>保护对象</w:t>
                  </w:r>
                </w:p>
              </w:tc>
              <w:tc>
                <w:tcPr>
                  <w:tcW w:w="1786" w:type="pct"/>
                  <w:tcBorders>
                    <w:top w:val="single" w:color="auto" w:sz="4" w:space="0"/>
                    <w:left w:val="single" w:color="auto" w:sz="4" w:space="0"/>
                    <w:bottom w:val="single" w:color="auto" w:sz="4" w:space="0"/>
                    <w:right w:val="single" w:color="auto" w:sz="4" w:space="0"/>
                  </w:tcBorders>
                  <w:vAlign w:val="center"/>
                </w:tcPr>
                <w:p w14:paraId="4409A1CD">
                  <w:pPr>
                    <w:pStyle w:val="65"/>
                    <w:rPr>
                      <w:b/>
                      <w:bCs/>
                    </w:rPr>
                  </w:pPr>
                  <w:r>
                    <w:rPr>
                      <w:rFonts w:hint="eastAsia"/>
                      <w:b/>
                      <w:bCs/>
                    </w:rPr>
                    <w:t>与项目位置关系</w:t>
                  </w:r>
                </w:p>
              </w:tc>
              <w:tc>
                <w:tcPr>
                  <w:tcW w:w="1097" w:type="pct"/>
                  <w:tcBorders>
                    <w:top w:val="single" w:color="auto" w:sz="4" w:space="0"/>
                    <w:left w:val="single" w:color="auto" w:sz="4" w:space="0"/>
                    <w:bottom w:val="single" w:color="auto" w:sz="4" w:space="0"/>
                    <w:right w:val="single" w:color="auto" w:sz="4" w:space="0"/>
                  </w:tcBorders>
                  <w:vAlign w:val="center"/>
                </w:tcPr>
                <w:p w14:paraId="409114DB">
                  <w:pPr>
                    <w:pStyle w:val="65"/>
                    <w:rPr>
                      <w:b/>
                      <w:bCs/>
                    </w:rPr>
                  </w:pPr>
                  <w:r>
                    <w:rPr>
                      <w:rFonts w:hint="eastAsia"/>
                      <w:b/>
                      <w:bCs/>
                    </w:rPr>
                    <w:t>水环境功能类别</w:t>
                  </w:r>
                </w:p>
              </w:tc>
              <w:tc>
                <w:tcPr>
                  <w:tcW w:w="718" w:type="pct"/>
                  <w:tcBorders>
                    <w:top w:val="single" w:color="auto" w:sz="4" w:space="0"/>
                    <w:left w:val="single" w:color="auto" w:sz="4" w:space="0"/>
                    <w:bottom w:val="single" w:color="auto" w:sz="4" w:space="0"/>
                    <w:right w:val="single" w:color="auto" w:sz="4" w:space="0"/>
                  </w:tcBorders>
                  <w:vAlign w:val="center"/>
                </w:tcPr>
                <w:p w14:paraId="18D9F82B">
                  <w:pPr>
                    <w:pStyle w:val="65"/>
                    <w:rPr>
                      <w:b/>
                      <w:bCs/>
                    </w:rPr>
                  </w:pPr>
                  <w:r>
                    <w:rPr>
                      <w:rFonts w:hint="eastAsia"/>
                      <w:b/>
                      <w:bCs/>
                    </w:rPr>
                    <w:t>保护要求</w:t>
                  </w:r>
                </w:p>
              </w:tc>
            </w:tr>
            <w:tr w14:paraId="38CF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564" w:type="pct"/>
                  <w:tcBorders>
                    <w:top w:val="single" w:color="auto" w:sz="4" w:space="0"/>
                    <w:left w:val="single" w:color="auto" w:sz="4" w:space="0"/>
                    <w:bottom w:val="single" w:color="auto" w:sz="4" w:space="0"/>
                    <w:right w:val="single" w:color="auto" w:sz="4" w:space="0"/>
                  </w:tcBorders>
                  <w:vAlign w:val="center"/>
                </w:tcPr>
                <w:p w14:paraId="3FF8372B">
                  <w:pPr>
                    <w:pStyle w:val="65"/>
                  </w:pPr>
                  <w:bookmarkStart w:id="728" w:name="_Hlk211864635"/>
                  <w:r>
                    <w:t>1</w:t>
                  </w:r>
                </w:p>
              </w:tc>
              <w:tc>
                <w:tcPr>
                  <w:tcW w:w="835" w:type="pct"/>
                  <w:tcBorders>
                    <w:top w:val="single" w:color="auto" w:sz="4" w:space="0"/>
                    <w:left w:val="single" w:color="auto" w:sz="4" w:space="0"/>
                    <w:bottom w:val="single" w:color="auto" w:sz="4" w:space="0"/>
                    <w:right w:val="single" w:color="auto" w:sz="4" w:space="0"/>
                  </w:tcBorders>
                  <w:vAlign w:val="center"/>
                </w:tcPr>
                <w:p w14:paraId="30694078">
                  <w:pPr>
                    <w:pStyle w:val="65"/>
                  </w:pPr>
                  <w:r>
                    <w:rPr>
                      <w:rFonts w:hint="eastAsia"/>
                    </w:rPr>
                    <w:t>沙乐河</w:t>
                  </w:r>
                </w:p>
              </w:tc>
              <w:tc>
                <w:tcPr>
                  <w:tcW w:w="1786" w:type="pct"/>
                  <w:tcBorders>
                    <w:top w:val="single" w:color="auto" w:sz="4" w:space="0"/>
                    <w:left w:val="single" w:color="auto" w:sz="4" w:space="0"/>
                    <w:bottom w:val="single" w:color="auto" w:sz="4" w:space="0"/>
                    <w:right w:val="single" w:color="auto" w:sz="4" w:space="0"/>
                  </w:tcBorders>
                  <w:vAlign w:val="center"/>
                </w:tcPr>
                <w:p w14:paraId="7B8AE644">
                  <w:pPr>
                    <w:pStyle w:val="65"/>
                  </w:pPr>
                  <w:r>
                    <w:rPr>
                      <w:rFonts w:hint="eastAsia"/>
                    </w:rPr>
                    <w:t>S10方阵用地红线东南侧距离约1.24km</w:t>
                  </w:r>
                </w:p>
              </w:tc>
              <w:tc>
                <w:tcPr>
                  <w:tcW w:w="1097" w:type="pct"/>
                  <w:vMerge w:val="restart"/>
                  <w:tcBorders>
                    <w:top w:val="single" w:color="auto" w:sz="4" w:space="0"/>
                    <w:left w:val="single" w:color="auto" w:sz="4" w:space="0"/>
                    <w:right w:val="single" w:color="auto" w:sz="4" w:space="0"/>
                  </w:tcBorders>
                  <w:vAlign w:val="center"/>
                </w:tcPr>
                <w:p w14:paraId="1AB0BBB0">
                  <w:pPr>
                    <w:pStyle w:val="65"/>
                  </w:pPr>
                  <w:r>
                    <w:rPr>
                      <w:rFonts w:hint="eastAsia"/>
                    </w:rPr>
                    <w:t>《地表水环境质量标准》（</w:t>
                  </w:r>
                  <w:r>
                    <w:t>GB3838-2002</w:t>
                  </w:r>
                  <w:r>
                    <w:rPr>
                      <w:rFonts w:hint="eastAsia"/>
                    </w:rPr>
                    <w:t>）</w:t>
                  </w:r>
                  <w:r>
                    <w:t>III</w:t>
                  </w:r>
                  <w:r>
                    <w:rPr>
                      <w:rFonts w:hint="eastAsia"/>
                    </w:rPr>
                    <w:t>类标准</w:t>
                  </w:r>
                </w:p>
              </w:tc>
              <w:tc>
                <w:tcPr>
                  <w:tcW w:w="718" w:type="pct"/>
                  <w:vMerge w:val="restart"/>
                  <w:tcBorders>
                    <w:top w:val="single" w:color="auto" w:sz="4" w:space="0"/>
                    <w:left w:val="single" w:color="auto" w:sz="4" w:space="0"/>
                    <w:right w:val="single" w:color="auto" w:sz="4" w:space="0"/>
                  </w:tcBorders>
                  <w:vAlign w:val="center"/>
                </w:tcPr>
                <w:p w14:paraId="091D0185">
                  <w:pPr>
                    <w:pStyle w:val="65"/>
                  </w:pPr>
                  <w:r>
                    <w:rPr>
                      <w:rFonts w:hint="eastAsia"/>
                    </w:rPr>
                    <w:t>水环境功能类别不受项目建设影响</w:t>
                  </w:r>
                </w:p>
              </w:tc>
            </w:tr>
            <w:tr w14:paraId="2F1E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564" w:type="pct"/>
                  <w:tcBorders>
                    <w:top w:val="single" w:color="auto" w:sz="4" w:space="0"/>
                    <w:left w:val="single" w:color="auto" w:sz="4" w:space="0"/>
                    <w:bottom w:val="single" w:color="auto" w:sz="4" w:space="0"/>
                    <w:right w:val="single" w:color="auto" w:sz="4" w:space="0"/>
                  </w:tcBorders>
                  <w:vAlign w:val="center"/>
                </w:tcPr>
                <w:p w14:paraId="1C2CBD6A">
                  <w:pPr>
                    <w:pStyle w:val="65"/>
                  </w:pPr>
                  <w:r>
                    <w:t>2</w:t>
                  </w:r>
                </w:p>
              </w:tc>
              <w:tc>
                <w:tcPr>
                  <w:tcW w:w="835" w:type="pct"/>
                  <w:tcBorders>
                    <w:top w:val="single" w:color="auto" w:sz="4" w:space="0"/>
                    <w:left w:val="single" w:color="auto" w:sz="4" w:space="0"/>
                    <w:bottom w:val="single" w:color="auto" w:sz="4" w:space="0"/>
                    <w:right w:val="single" w:color="auto" w:sz="4" w:space="0"/>
                  </w:tcBorders>
                  <w:vAlign w:val="center"/>
                </w:tcPr>
                <w:p w14:paraId="7B6B553C">
                  <w:pPr>
                    <w:pStyle w:val="65"/>
                  </w:pPr>
                  <w:r>
                    <w:rPr>
                      <w:rFonts w:hint="eastAsia"/>
                    </w:rPr>
                    <w:t>磨房河</w:t>
                  </w:r>
                </w:p>
              </w:tc>
              <w:tc>
                <w:tcPr>
                  <w:tcW w:w="1786" w:type="pct"/>
                  <w:tcBorders>
                    <w:top w:val="single" w:color="auto" w:sz="4" w:space="0"/>
                    <w:left w:val="single" w:color="auto" w:sz="4" w:space="0"/>
                    <w:bottom w:val="single" w:color="auto" w:sz="4" w:space="0"/>
                    <w:right w:val="single" w:color="auto" w:sz="4" w:space="0"/>
                  </w:tcBorders>
                  <w:vAlign w:val="center"/>
                </w:tcPr>
                <w:p w14:paraId="443DE656">
                  <w:pPr>
                    <w:pStyle w:val="65"/>
                  </w:pPr>
                  <w:r>
                    <w:rPr>
                      <w:rFonts w:hint="eastAsia"/>
                    </w:rPr>
                    <w:t>S12方阵用地红线南侧距离约43m，S18方阵用地红线南侧距离约307m</w:t>
                  </w:r>
                </w:p>
              </w:tc>
              <w:tc>
                <w:tcPr>
                  <w:tcW w:w="1097" w:type="pct"/>
                  <w:vMerge w:val="continue"/>
                  <w:tcBorders>
                    <w:left w:val="single" w:color="auto" w:sz="4" w:space="0"/>
                    <w:right w:val="single" w:color="auto" w:sz="4" w:space="0"/>
                  </w:tcBorders>
                  <w:vAlign w:val="center"/>
                </w:tcPr>
                <w:p w14:paraId="15BA429E">
                  <w:pPr>
                    <w:pStyle w:val="65"/>
                  </w:pPr>
                </w:p>
              </w:tc>
              <w:tc>
                <w:tcPr>
                  <w:tcW w:w="718" w:type="pct"/>
                  <w:vMerge w:val="continue"/>
                  <w:tcBorders>
                    <w:left w:val="single" w:color="auto" w:sz="4" w:space="0"/>
                    <w:right w:val="single" w:color="auto" w:sz="4" w:space="0"/>
                  </w:tcBorders>
                  <w:vAlign w:val="center"/>
                </w:tcPr>
                <w:p w14:paraId="259A64EB">
                  <w:pPr>
                    <w:pStyle w:val="65"/>
                  </w:pPr>
                </w:p>
              </w:tc>
            </w:tr>
            <w:tr w14:paraId="2C27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564" w:type="pct"/>
                  <w:tcBorders>
                    <w:top w:val="single" w:color="auto" w:sz="4" w:space="0"/>
                    <w:left w:val="single" w:color="auto" w:sz="4" w:space="0"/>
                    <w:bottom w:val="single" w:color="auto" w:sz="4" w:space="0"/>
                    <w:right w:val="single" w:color="auto" w:sz="4" w:space="0"/>
                  </w:tcBorders>
                  <w:vAlign w:val="center"/>
                </w:tcPr>
                <w:p w14:paraId="21A437DE">
                  <w:pPr>
                    <w:pStyle w:val="65"/>
                  </w:pPr>
                  <w:r>
                    <w:rPr>
                      <w:rFonts w:hint="eastAsia"/>
                    </w:rPr>
                    <w:t>3</w:t>
                  </w:r>
                </w:p>
              </w:tc>
              <w:tc>
                <w:tcPr>
                  <w:tcW w:w="835" w:type="pct"/>
                  <w:tcBorders>
                    <w:top w:val="single" w:color="auto" w:sz="4" w:space="0"/>
                    <w:left w:val="single" w:color="auto" w:sz="4" w:space="0"/>
                    <w:bottom w:val="single" w:color="auto" w:sz="4" w:space="0"/>
                    <w:right w:val="single" w:color="auto" w:sz="4" w:space="0"/>
                  </w:tcBorders>
                  <w:vAlign w:val="center"/>
                </w:tcPr>
                <w:p w14:paraId="3400064F">
                  <w:pPr>
                    <w:pStyle w:val="65"/>
                  </w:pPr>
                  <w:r>
                    <w:rPr>
                      <w:rFonts w:hint="eastAsia"/>
                    </w:rPr>
                    <w:t>安照河</w:t>
                  </w:r>
                </w:p>
              </w:tc>
              <w:tc>
                <w:tcPr>
                  <w:tcW w:w="1786" w:type="pct"/>
                  <w:tcBorders>
                    <w:top w:val="single" w:color="auto" w:sz="4" w:space="0"/>
                    <w:left w:val="single" w:color="auto" w:sz="4" w:space="0"/>
                    <w:bottom w:val="single" w:color="auto" w:sz="4" w:space="0"/>
                    <w:right w:val="single" w:color="auto" w:sz="4" w:space="0"/>
                  </w:tcBorders>
                  <w:vAlign w:val="center"/>
                </w:tcPr>
                <w:p w14:paraId="6B92F502">
                  <w:pPr>
                    <w:pStyle w:val="65"/>
                  </w:pPr>
                  <w:r>
                    <w:rPr>
                      <w:rFonts w:hint="eastAsia"/>
                    </w:rPr>
                    <w:t>S11方阵用地红线西南侧距离约43m</w:t>
                  </w:r>
                </w:p>
              </w:tc>
              <w:tc>
                <w:tcPr>
                  <w:tcW w:w="1097" w:type="pct"/>
                  <w:vMerge w:val="continue"/>
                  <w:tcBorders>
                    <w:left w:val="single" w:color="auto" w:sz="4" w:space="0"/>
                    <w:right w:val="single" w:color="auto" w:sz="4" w:space="0"/>
                  </w:tcBorders>
                  <w:vAlign w:val="center"/>
                </w:tcPr>
                <w:p w14:paraId="7FCE2F34">
                  <w:pPr>
                    <w:pStyle w:val="65"/>
                  </w:pPr>
                </w:p>
              </w:tc>
              <w:tc>
                <w:tcPr>
                  <w:tcW w:w="718" w:type="pct"/>
                  <w:vMerge w:val="continue"/>
                  <w:tcBorders>
                    <w:left w:val="single" w:color="auto" w:sz="4" w:space="0"/>
                    <w:right w:val="single" w:color="auto" w:sz="4" w:space="0"/>
                  </w:tcBorders>
                  <w:vAlign w:val="center"/>
                </w:tcPr>
                <w:p w14:paraId="23F5EA3C">
                  <w:pPr>
                    <w:pStyle w:val="65"/>
                  </w:pPr>
                </w:p>
              </w:tc>
            </w:tr>
            <w:tr w14:paraId="5340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54" w:hRule="atLeast"/>
                <w:jc w:val="center"/>
              </w:trPr>
              <w:tc>
                <w:tcPr>
                  <w:tcW w:w="564" w:type="pct"/>
                  <w:tcBorders>
                    <w:top w:val="single" w:color="auto" w:sz="4" w:space="0"/>
                    <w:left w:val="single" w:color="auto" w:sz="4" w:space="0"/>
                    <w:bottom w:val="single" w:color="auto" w:sz="4" w:space="0"/>
                    <w:right w:val="single" w:color="auto" w:sz="4" w:space="0"/>
                  </w:tcBorders>
                  <w:vAlign w:val="center"/>
                </w:tcPr>
                <w:p w14:paraId="0B5187E1">
                  <w:pPr>
                    <w:pStyle w:val="65"/>
                  </w:pPr>
                  <w:r>
                    <w:rPr>
                      <w:rFonts w:hint="eastAsia"/>
                    </w:rPr>
                    <w:t>4</w:t>
                  </w:r>
                </w:p>
              </w:tc>
              <w:tc>
                <w:tcPr>
                  <w:tcW w:w="835" w:type="pct"/>
                  <w:tcBorders>
                    <w:top w:val="single" w:color="auto" w:sz="4" w:space="0"/>
                    <w:left w:val="single" w:color="auto" w:sz="4" w:space="0"/>
                    <w:bottom w:val="single" w:color="auto" w:sz="4" w:space="0"/>
                    <w:right w:val="single" w:color="auto" w:sz="4" w:space="0"/>
                  </w:tcBorders>
                  <w:vAlign w:val="center"/>
                </w:tcPr>
                <w:p w14:paraId="51D67CCF">
                  <w:pPr>
                    <w:pStyle w:val="65"/>
                  </w:pPr>
                  <w:r>
                    <w:rPr>
                      <w:rFonts w:hint="eastAsia"/>
                    </w:rPr>
                    <w:t>澜沧江</w:t>
                  </w:r>
                </w:p>
              </w:tc>
              <w:tc>
                <w:tcPr>
                  <w:tcW w:w="1786" w:type="pct"/>
                  <w:tcBorders>
                    <w:top w:val="single" w:color="auto" w:sz="4" w:space="0"/>
                    <w:left w:val="single" w:color="auto" w:sz="4" w:space="0"/>
                    <w:bottom w:val="single" w:color="auto" w:sz="4" w:space="0"/>
                    <w:right w:val="single" w:color="auto" w:sz="4" w:space="0"/>
                  </w:tcBorders>
                  <w:vAlign w:val="center"/>
                </w:tcPr>
                <w:p w14:paraId="1ABB5F70">
                  <w:pPr>
                    <w:pStyle w:val="65"/>
                  </w:pPr>
                  <w:r>
                    <w:rPr>
                      <w:rFonts w:hint="eastAsia"/>
                    </w:rPr>
                    <w:t>S21方阵用地红线西南侧距离约4.7km</w:t>
                  </w:r>
                </w:p>
              </w:tc>
              <w:tc>
                <w:tcPr>
                  <w:tcW w:w="1097" w:type="pct"/>
                  <w:vMerge w:val="continue"/>
                  <w:tcBorders>
                    <w:left w:val="single" w:color="auto" w:sz="4" w:space="0"/>
                    <w:right w:val="single" w:color="auto" w:sz="4" w:space="0"/>
                  </w:tcBorders>
                  <w:vAlign w:val="center"/>
                </w:tcPr>
                <w:p w14:paraId="21491485">
                  <w:pPr>
                    <w:pStyle w:val="65"/>
                  </w:pPr>
                </w:p>
              </w:tc>
              <w:tc>
                <w:tcPr>
                  <w:tcW w:w="718" w:type="pct"/>
                  <w:vMerge w:val="continue"/>
                  <w:tcBorders>
                    <w:left w:val="single" w:color="auto" w:sz="4" w:space="0"/>
                    <w:right w:val="single" w:color="auto" w:sz="4" w:space="0"/>
                  </w:tcBorders>
                  <w:vAlign w:val="center"/>
                </w:tcPr>
                <w:p w14:paraId="0BA4FB13">
                  <w:pPr>
                    <w:pStyle w:val="65"/>
                  </w:pPr>
                </w:p>
              </w:tc>
            </w:tr>
            <w:bookmarkEnd w:id="727"/>
            <w:bookmarkEnd w:id="728"/>
          </w:tbl>
          <w:p w14:paraId="3718B419">
            <w:pPr>
              <w:ind w:firstLine="482"/>
              <w:rPr>
                <w:b/>
                <w:bCs/>
              </w:rPr>
            </w:pPr>
            <w:r>
              <w:rPr>
                <w:rFonts w:hint="eastAsia"/>
                <w:b/>
                <w:bCs/>
              </w:rPr>
              <w:t>（</w:t>
            </w:r>
            <w:r>
              <w:rPr>
                <w:b/>
                <w:bCs/>
              </w:rPr>
              <w:t>3</w:t>
            </w:r>
            <w:r>
              <w:rPr>
                <w:rFonts w:hint="eastAsia"/>
                <w:b/>
                <w:bCs/>
              </w:rPr>
              <w:t>）声环境保护目标</w:t>
            </w:r>
          </w:p>
          <w:p w14:paraId="49C1FD25">
            <w:pPr>
              <w:ind w:firstLine="480"/>
            </w:pPr>
            <w:r>
              <w:rPr>
                <w:rFonts w:hint="eastAsia"/>
              </w:rPr>
              <w:t>本次项目箱变、逆变器、光伏阵列区、集电线路以及新建、改建道路工程200m评价范围内的声环境保护目标情况如下。</w:t>
            </w:r>
          </w:p>
          <w:p w14:paraId="32195B05">
            <w:pPr>
              <w:pStyle w:val="63"/>
              <w:ind w:firstLine="480"/>
            </w:pPr>
            <w:r>
              <w:rPr>
                <w:rFonts w:hint="eastAsia"/>
              </w:rPr>
              <w:t>表</w:t>
            </w:r>
            <w:r>
              <w:t xml:space="preserve"> </w:t>
            </w:r>
            <w:r>
              <w:fldChar w:fldCharType="begin"/>
            </w:r>
            <w:r>
              <w:instrText xml:space="preserve"> STYLEREF 2 \s </w:instrText>
            </w:r>
            <w:r>
              <w:fldChar w:fldCharType="separate"/>
            </w:r>
            <w:r>
              <w:t>3.5</w:t>
            </w:r>
            <w:r>
              <w:fldChar w:fldCharType="end"/>
            </w:r>
            <w:r>
              <w:noBreakHyphen/>
            </w:r>
            <w:r>
              <w:fldChar w:fldCharType="begin"/>
            </w:r>
            <w:r>
              <w:instrText xml:space="preserve"> SEQ 表 \* ARABIC \s 2 </w:instrText>
            </w:r>
            <w:r>
              <w:fldChar w:fldCharType="separate"/>
            </w:r>
            <w:r>
              <w:t>4</w:t>
            </w:r>
            <w:r>
              <w:fldChar w:fldCharType="end"/>
            </w:r>
            <w:r>
              <w:t xml:space="preserve">  </w:t>
            </w:r>
            <w:r>
              <w:rPr>
                <w:rFonts w:hint="eastAsia"/>
              </w:rPr>
              <w:t>声环境保护目标</w:t>
            </w:r>
          </w:p>
          <w:tbl>
            <w:tblPr>
              <w:tblStyle w:val="41"/>
              <w:tblW w:w="0" w:type="auto"/>
              <w:tblInd w:w="0" w:type="dxa"/>
              <w:tblLayout w:type="autofit"/>
              <w:tblCellMar>
                <w:top w:w="0" w:type="dxa"/>
                <w:left w:w="108" w:type="dxa"/>
                <w:bottom w:w="0" w:type="dxa"/>
                <w:right w:w="108" w:type="dxa"/>
              </w:tblCellMar>
            </w:tblPr>
            <w:tblGrid>
              <w:gridCol w:w="775"/>
              <w:gridCol w:w="1659"/>
              <w:gridCol w:w="1553"/>
              <w:gridCol w:w="1536"/>
              <w:gridCol w:w="992"/>
              <w:gridCol w:w="1336"/>
            </w:tblGrid>
            <w:tr w14:paraId="6002F32F">
              <w:tblPrEx>
                <w:tblCellMar>
                  <w:top w:w="0" w:type="dxa"/>
                  <w:left w:w="108" w:type="dxa"/>
                  <w:bottom w:w="0" w:type="dxa"/>
                  <w:right w:w="108" w:type="dxa"/>
                </w:tblCellMar>
              </w:tblPrEx>
              <w:trPr>
                <w:trHeight w:val="454" w:hRule="atLeast"/>
              </w:trPr>
              <w:tc>
                <w:tcPr>
                  <w:tcW w:w="860" w:type="dxa"/>
                  <w:tcBorders>
                    <w:top w:val="single" w:color="auto" w:sz="4" w:space="0"/>
                    <w:left w:val="single" w:color="auto" w:sz="4" w:space="0"/>
                    <w:bottom w:val="single" w:color="auto" w:sz="4" w:space="0"/>
                    <w:right w:val="single" w:color="auto" w:sz="4" w:space="0"/>
                  </w:tcBorders>
                  <w:vAlign w:val="center"/>
                </w:tcPr>
                <w:p w14:paraId="230DAC7D">
                  <w:pPr>
                    <w:widowControl/>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保护目标名称</w:t>
                  </w:r>
                </w:p>
              </w:tc>
              <w:tc>
                <w:tcPr>
                  <w:tcW w:w="1843" w:type="dxa"/>
                  <w:tcBorders>
                    <w:top w:val="single" w:color="auto" w:sz="4" w:space="0"/>
                    <w:left w:val="nil"/>
                    <w:bottom w:val="single" w:color="auto" w:sz="4" w:space="0"/>
                    <w:right w:val="single" w:color="auto" w:sz="4" w:space="0"/>
                  </w:tcBorders>
                  <w:vAlign w:val="center"/>
                </w:tcPr>
                <w:p w14:paraId="5E9F0E1A">
                  <w:pPr>
                    <w:widowControl/>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位置</w:t>
                  </w:r>
                </w:p>
              </w:tc>
              <w:tc>
                <w:tcPr>
                  <w:tcW w:w="1557" w:type="dxa"/>
                  <w:tcBorders>
                    <w:top w:val="single" w:color="auto" w:sz="4" w:space="0"/>
                    <w:left w:val="nil"/>
                    <w:bottom w:val="single" w:color="auto" w:sz="4" w:space="0"/>
                    <w:right w:val="single" w:color="auto" w:sz="4" w:space="0"/>
                  </w:tcBorders>
                  <w:vAlign w:val="center"/>
                </w:tcPr>
                <w:p w14:paraId="16ECDB5B">
                  <w:pPr>
                    <w:widowControl/>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纬度</w:t>
                  </w:r>
                </w:p>
              </w:tc>
              <w:tc>
                <w:tcPr>
                  <w:tcW w:w="1561" w:type="dxa"/>
                  <w:tcBorders>
                    <w:top w:val="single" w:color="auto" w:sz="4" w:space="0"/>
                    <w:left w:val="nil"/>
                    <w:bottom w:val="single" w:color="auto" w:sz="4" w:space="0"/>
                    <w:right w:val="single" w:color="auto" w:sz="4" w:space="0"/>
                  </w:tcBorders>
                  <w:vAlign w:val="center"/>
                </w:tcPr>
                <w:p w14:paraId="17A7F8B8">
                  <w:pPr>
                    <w:widowControl/>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经度</w:t>
                  </w:r>
                </w:p>
              </w:tc>
              <w:tc>
                <w:tcPr>
                  <w:tcW w:w="992" w:type="dxa"/>
                  <w:tcBorders>
                    <w:top w:val="single" w:color="auto" w:sz="4" w:space="0"/>
                    <w:left w:val="nil"/>
                    <w:bottom w:val="single" w:color="auto" w:sz="4" w:space="0"/>
                    <w:right w:val="single" w:color="auto" w:sz="4" w:space="0"/>
                  </w:tcBorders>
                  <w:vAlign w:val="center"/>
                </w:tcPr>
                <w:p w14:paraId="21FD6956">
                  <w:pPr>
                    <w:widowControl/>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特性/规模</w:t>
                  </w:r>
                </w:p>
              </w:tc>
              <w:tc>
                <w:tcPr>
                  <w:tcW w:w="814" w:type="dxa"/>
                  <w:tcBorders>
                    <w:top w:val="single" w:color="auto" w:sz="4" w:space="0"/>
                    <w:left w:val="nil"/>
                    <w:bottom w:val="single" w:color="auto" w:sz="4" w:space="0"/>
                    <w:right w:val="single" w:color="auto" w:sz="4" w:space="0"/>
                  </w:tcBorders>
                  <w:vAlign w:val="center"/>
                </w:tcPr>
                <w:p w14:paraId="11BECE74">
                  <w:pPr>
                    <w:widowControl/>
                    <w:spacing w:line="240" w:lineRule="auto"/>
                    <w:ind w:firstLine="0" w:firstLineChars="0"/>
                    <w:jc w:val="center"/>
                    <w:rPr>
                      <w:rFonts w:cs="Times New Roman"/>
                      <w:b/>
                      <w:bCs/>
                      <w:color w:val="000000"/>
                      <w:kern w:val="0"/>
                      <w:sz w:val="21"/>
                      <w:szCs w:val="21"/>
                    </w:rPr>
                  </w:pPr>
                  <w:r>
                    <w:rPr>
                      <w:rFonts w:cs="Times New Roman"/>
                      <w:b/>
                      <w:bCs/>
                      <w:color w:val="000000"/>
                      <w:kern w:val="0"/>
                      <w:sz w:val="21"/>
                      <w:szCs w:val="21"/>
                    </w:rPr>
                    <w:t>保护级别</w:t>
                  </w:r>
                </w:p>
              </w:tc>
            </w:tr>
            <w:tr w14:paraId="68542B56">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6C383102">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旧村</w:t>
                  </w:r>
                </w:p>
              </w:tc>
              <w:tc>
                <w:tcPr>
                  <w:tcW w:w="1843" w:type="dxa"/>
                  <w:tcBorders>
                    <w:top w:val="nil"/>
                    <w:left w:val="nil"/>
                    <w:bottom w:val="single" w:color="auto" w:sz="4" w:space="0"/>
                    <w:right w:val="single" w:color="auto" w:sz="4" w:space="0"/>
                  </w:tcBorders>
                  <w:vAlign w:val="center"/>
                </w:tcPr>
                <w:p w14:paraId="42BCF8E3">
                  <w:pPr>
                    <w:widowControl/>
                    <w:spacing w:line="240" w:lineRule="auto"/>
                    <w:ind w:firstLine="0" w:firstLineChars="0"/>
                    <w:rPr>
                      <w:rFonts w:cs="Times New Roman"/>
                      <w:color w:val="000000"/>
                      <w:kern w:val="0"/>
                      <w:sz w:val="21"/>
                      <w:szCs w:val="21"/>
                    </w:rPr>
                  </w:pPr>
                  <w:r>
                    <w:rPr>
                      <w:rFonts w:cs="Times New Roman"/>
                      <w:color w:val="000000"/>
                      <w:kern w:val="0"/>
                      <w:sz w:val="21"/>
                      <w:szCs w:val="21"/>
                    </w:rPr>
                    <w:t>方阵S03南侧154m，距箱变最近距离181m，距改扩建道路约5m</w:t>
                  </w:r>
                </w:p>
              </w:tc>
              <w:tc>
                <w:tcPr>
                  <w:tcW w:w="1557" w:type="dxa"/>
                  <w:tcBorders>
                    <w:top w:val="nil"/>
                    <w:left w:val="nil"/>
                    <w:bottom w:val="single" w:color="auto" w:sz="4" w:space="0"/>
                    <w:right w:val="single" w:color="auto" w:sz="4" w:space="0"/>
                  </w:tcBorders>
                  <w:vAlign w:val="center"/>
                </w:tcPr>
                <w:p w14:paraId="66A4EA50">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100°26′21.175″</w:t>
                  </w:r>
                </w:p>
              </w:tc>
              <w:tc>
                <w:tcPr>
                  <w:tcW w:w="1561" w:type="dxa"/>
                  <w:tcBorders>
                    <w:top w:val="nil"/>
                    <w:left w:val="nil"/>
                    <w:bottom w:val="single" w:color="auto" w:sz="4" w:space="0"/>
                    <w:right w:val="single" w:color="auto" w:sz="4" w:space="0"/>
                  </w:tcBorders>
                  <w:vAlign w:val="center"/>
                </w:tcPr>
                <w:p w14:paraId="5FBDF4B3">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24°46</w:t>
                  </w:r>
                  <w:r>
                    <w:rPr>
                      <w:rFonts w:cs="Times New Roman"/>
                      <w:color w:val="000000"/>
                      <w:kern w:val="0"/>
                      <w:sz w:val="21"/>
                      <w:szCs w:val="21"/>
                    </w:rPr>
                    <w:t>′</w:t>
                  </w:r>
                  <w:r>
                    <w:rPr>
                      <w:rFonts w:eastAsia="等线" w:cs="Times New Roman"/>
                      <w:color w:val="000000"/>
                      <w:kern w:val="0"/>
                      <w:sz w:val="21"/>
                      <w:szCs w:val="21"/>
                    </w:rPr>
                    <w:t>44.279</w:t>
                  </w:r>
                  <w:r>
                    <w:rPr>
                      <w:rFonts w:cs="Times New Roman"/>
                      <w:color w:val="000000"/>
                      <w:kern w:val="0"/>
                      <w:sz w:val="21"/>
                      <w:szCs w:val="21"/>
                    </w:rPr>
                    <w:t>″</w:t>
                  </w:r>
                </w:p>
              </w:tc>
              <w:tc>
                <w:tcPr>
                  <w:tcW w:w="992" w:type="dxa"/>
                  <w:tcBorders>
                    <w:top w:val="nil"/>
                    <w:left w:val="nil"/>
                    <w:bottom w:val="single" w:color="auto" w:sz="4" w:space="0"/>
                    <w:right w:val="single" w:color="auto" w:sz="4" w:space="0"/>
                  </w:tcBorders>
                  <w:vAlign w:val="center"/>
                </w:tcPr>
                <w:p w14:paraId="1561579D">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46</w:t>
                  </w:r>
                  <w:r>
                    <w:rPr>
                      <w:rFonts w:cs="Times New Roman"/>
                      <w:color w:val="000000"/>
                      <w:kern w:val="0"/>
                      <w:sz w:val="21"/>
                      <w:szCs w:val="21"/>
                    </w:rPr>
                    <w:t>户</w:t>
                  </w:r>
                  <w:r>
                    <w:rPr>
                      <w:rFonts w:eastAsia="等线" w:cs="Times New Roman"/>
                      <w:color w:val="000000"/>
                      <w:kern w:val="0"/>
                      <w:sz w:val="21"/>
                      <w:szCs w:val="21"/>
                    </w:rPr>
                    <w:t>161</w:t>
                  </w:r>
                  <w:r>
                    <w:rPr>
                      <w:rFonts w:cs="Times New Roman"/>
                      <w:color w:val="000000"/>
                      <w:kern w:val="0"/>
                      <w:sz w:val="21"/>
                      <w:szCs w:val="21"/>
                    </w:rPr>
                    <w:t>人</w:t>
                  </w:r>
                </w:p>
              </w:tc>
              <w:tc>
                <w:tcPr>
                  <w:tcW w:w="814" w:type="dxa"/>
                  <w:vMerge w:val="restart"/>
                  <w:tcBorders>
                    <w:top w:val="nil"/>
                    <w:left w:val="single" w:color="auto" w:sz="4" w:space="0"/>
                    <w:bottom w:val="single" w:color="auto" w:sz="4" w:space="0"/>
                    <w:right w:val="single" w:color="auto" w:sz="4" w:space="0"/>
                  </w:tcBorders>
                  <w:vAlign w:val="center"/>
                </w:tcPr>
                <w:p w14:paraId="526ADAAE">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《声环境质量标准》（GB 3096-2008）1类标准</w:t>
                  </w:r>
                </w:p>
              </w:tc>
            </w:tr>
            <w:tr w14:paraId="6ED0292B">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000F7230">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蚂蟥箐</w:t>
                  </w:r>
                </w:p>
              </w:tc>
              <w:tc>
                <w:tcPr>
                  <w:tcW w:w="1843" w:type="dxa"/>
                  <w:tcBorders>
                    <w:top w:val="nil"/>
                    <w:left w:val="nil"/>
                    <w:bottom w:val="single" w:color="auto" w:sz="4" w:space="0"/>
                    <w:right w:val="single" w:color="auto" w:sz="4" w:space="0"/>
                  </w:tcBorders>
                  <w:vAlign w:val="center"/>
                </w:tcPr>
                <w:p w14:paraId="6B9C5D26">
                  <w:pPr>
                    <w:widowControl/>
                    <w:spacing w:line="240" w:lineRule="auto"/>
                    <w:ind w:firstLine="0" w:firstLineChars="0"/>
                    <w:rPr>
                      <w:rFonts w:cs="Times New Roman"/>
                      <w:color w:val="000000"/>
                      <w:kern w:val="0"/>
                      <w:sz w:val="21"/>
                      <w:szCs w:val="21"/>
                    </w:rPr>
                  </w:pPr>
                  <w:r>
                    <w:rPr>
                      <w:rFonts w:cs="Times New Roman"/>
                      <w:color w:val="000000"/>
                      <w:kern w:val="0"/>
                      <w:sz w:val="21"/>
                      <w:szCs w:val="21"/>
                    </w:rPr>
                    <w:t>方阵S10东侧4米，距新建道路约5m</w:t>
                  </w:r>
                </w:p>
              </w:tc>
              <w:tc>
                <w:tcPr>
                  <w:tcW w:w="1557" w:type="dxa"/>
                  <w:tcBorders>
                    <w:top w:val="nil"/>
                    <w:left w:val="nil"/>
                    <w:bottom w:val="single" w:color="auto" w:sz="4" w:space="0"/>
                    <w:right w:val="single" w:color="auto" w:sz="4" w:space="0"/>
                  </w:tcBorders>
                  <w:vAlign w:val="center"/>
                </w:tcPr>
                <w:p w14:paraId="68AE601B">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100°27</w:t>
                  </w:r>
                  <w:r>
                    <w:rPr>
                      <w:rFonts w:cs="Times New Roman"/>
                      <w:color w:val="000000"/>
                      <w:kern w:val="0"/>
                      <w:sz w:val="21"/>
                      <w:szCs w:val="21"/>
                    </w:rPr>
                    <w:t>′</w:t>
                  </w:r>
                  <w:r>
                    <w:rPr>
                      <w:rFonts w:eastAsia="等线" w:cs="Times New Roman"/>
                      <w:color w:val="000000"/>
                      <w:kern w:val="0"/>
                      <w:sz w:val="21"/>
                      <w:szCs w:val="21"/>
                    </w:rPr>
                    <w:t>10.193</w:t>
                  </w:r>
                  <w:r>
                    <w:rPr>
                      <w:rFonts w:cs="Times New Roman"/>
                      <w:color w:val="000000"/>
                      <w:kern w:val="0"/>
                      <w:sz w:val="21"/>
                      <w:szCs w:val="21"/>
                    </w:rPr>
                    <w:t>″</w:t>
                  </w:r>
                </w:p>
              </w:tc>
              <w:tc>
                <w:tcPr>
                  <w:tcW w:w="1561" w:type="dxa"/>
                  <w:tcBorders>
                    <w:top w:val="nil"/>
                    <w:left w:val="nil"/>
                    <w:bottom w:val="single" w:color="auto" w:sz="4" w:space="0"/>
                    <w:right w:val="single" w:color="auto" w:sz="4" w:space="0"/>
                  </w:tcBorders>
                  <w:vAlign w:val="center"/>
                </w:tcPr>
                <w:p w14:paraId="04A9E99E">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24°47</w:t>
                  </w:r>
                  <w:r>
                    <w:rPr>
                      <w:rFonts w:cs="Times New Roman"/>
                      <w:color w:val="000000"/>
                      <w:kern w:val="0"/>
                      <w:sz w:val="21"/>
                      <w:szCs w:val="21"/>
                    </w:rPr>
                    <w:t>′</w:t>
                  </w:r>
                  <w:r>
                    <w:rPr>
                      <w:rFonts w:eastAsia="等线" w:cs="Times New Roman"/>
                      <w:color w:val="000000"/>
                      <w:kern w:val="0"/>
                      <w:sz w:val="21"/>
                      <w:szCs w:val="21"/>
                    </w:rPr>
                    <w:t>3.758</w:t>
                  </w:r>
                  <w:r>
                    <w:rPr>
                      <w:rFonts w:cs="Times New Roman"/>
                      <w:color w:val="000000"/>
                      <w:kern w:val="0"/>
                      <w:sz w:val="21"/>
                      <w:szCs w:val="21"/>
                    </w:rPr>
                    <w:t>″</w:t>
                  </w:r>
                </w:p>
              </w:tc>
              <w:tc>
                <w:tcPr>
                  <w:tcW w:w="992" w:type="dxa"/>
                  <w:tcBorders>
                    <w:top w:val="nil"/>
                    <w:left w:val="nil"/>
                    <w:bottom w:val="single" w:color="auto" w:sz="4" w:space="0"/>
                    <w:right w:val="single" w:color="auto" w:sz="4" w:space="0"/>
                  </w:tcBorders>
                  <w:vAlign w:val="center"/>
                </w:tcPr>
                <w:p w14:paraId="057404E7">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90</w:t>
                  </w:r>
                  <w:r>
                    <w:rPr>
                      <w:rFonts w:cs="Times New Roman"/>
                      <w:color w:val="000000"/>
                      <w:kern w:val="0"/>
                      <w:sz w:val="21"/>
                      <w:szCs w:val="21"/>
                    </w:rPr>
                    <w:t>户</w:t>
                  </w:r>
                  <w:r>
                    <w:rPr>
                      <w:rFonts w:eastAsia="等线" w:cs="Times New Roman"/>
                      <w:color w:val="000000"/>
                      <w:kern w:val="0"/>
                      <w:sz w:val="21"/>
                      <w:szCs w:val="21"/>
                    </w:rPr>
                    <w:t>359</w:t>
                  </w:r>
                  <w:r>
                    <w:rPr>
                      <w:rFonts w:cs="Times New Roman"/>
                      <w:color w:val="000000"/>
                      <w:kern w:val="0"/>
                      <w:sz w:val="21"/>
                      <w:szCs w:val="21"/>
                    </w:rPr>
                    <w:t>人</w:t>
                  </w:r>
                </w:p>
              </w:tc>
              <w:tc>
                <w:tcPr>
                  <w:tcW w:w="814" w:type="dxa"/>
                  <w:vMerge w:val="continue"/>
                  <w:tcBorders>
                    <w:top w:val="nil"/>
                    <w:left w:val="single" w:color="auto" w:sz="4" w:space="0"/>
                    <w:bottom w:val="single" w:color="auto" w:sz="4" w:space="0"/>
                    <w:right w:val="single" w:color="auto" w:sz="4" w:space="0"/>
                  </w:tcBorders>
                  <w:vAlign w:val="center"/>
                </w:tcPr>
                <w:p w14:paraId="4EECD5BA">
                  <w:pPr>
                    <w:widowControl/>
                    <w:spacing w:line="240" w:lineRule="auto"/>
                    <w:ind w:firstLine="0" w:firstLineChars="0"/>
                    <w:jc w:val="left"/>
                    <w:rPr>
                      <w:rFonts w:cs="Times New Roman"/>
                      <w:color w:val="000000"/>
                      <w:kern w:val="0"/>
                      <w:sz w:val="21"/>
                      <w:szCs w:val="21"/>
                    </w:rPr>
                  </w:pPr>
                </w:p>
              </w:tc>
            </w:tr>
            <w:tr w14:paraId="3A1F13C7">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42C84657">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包茂村</w:t>
                  </w:r>
                </w:p>
              </w:tc>
              <w:tc>
                <w:tcPr>
                  <w:tcW w:w="1843" w:type="dxa"/>
                  <w:tcBorders>
                    <w:top w:val="nil"/>
                    <w:left w:val="nil"/>
                    <w:bottom w:val="single" w:color="auto" w:sz="4" w:space="0"/>
                    <w:right w:val="single" w:color="auto" w:sz="4" w:space="0"/>
                  </w:tcBorders>
                  <w:vAlign w:val="center"/>
                </w:tcPr>
                <w:p w14:paraId="183F4ADB">
                  <w:pPr>
                    <w:widowControl/>
                    <w:spacing w:line="240" w:lineRule="auto"/>
                    <w:ind w:firstLine="0" w:firstLineChars="0"/>
                    <w:rPr>
                      <w:rFonts w:cs="Times New Roman"/>
                      <w:color w:val="000000"/>
                      <w:kern w:val="0"/>
                      <w:sz w:val="21"/>
                      <w:szCs w:val="21"/>
                    </w:rPr>
                  </w:pPr>
                  <w:r>
                    <w:rPr>
                      <w:rFonts w:cs="Times New Roman"/>
                      <w:color w:val="000000"/>
                      <w:kern w:val="0"/>
                      <w:sz w:val="21"/>
                      <w:szCs w:val="21"/>
                    </w:rPr>
                    <w:t>方阵S12西南侧8米，距箱变最近距离109m</w:t>
                  </w:r>
                </w:p>
              </w:tc>
              <w:tc>
                <w:tcPr>
                  <w:tcW w:w="1557" w:type="dxa"/>
                  <w:tcBorders>
                    <w:top w:val="nil"/>
                    <w:left w:val="nil"/>
                    <w:bottom w:val="single" w:color="auto" w:sz="4" w:space="0"/>
                    <w:right w:val="single" w:color="auto" w:sz="4" w:space="0"/>
                  </w:tcBorders>
                  <w:vAlign w:val="center"/>
                </w:tcPr>
                <w:p w14:paraId="4F275F77">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100°28</w:t>
                  </w:r>
                  <w:r>
                    <w:rPr>
                      <w:rFonts w:cs="Times New Roman"/>
                      <w:color w:val="000000"/>
                      <w:kern w:val="0"/>
                      <w:sz w:val="21"/>
                      <w:szCs w:val="21"/>
                    </w:rPr>
                    <w:t>′</w:t>
                  </w:r>
                  <w:r>
                    <w:rPr>
                      <w:rFonts w:eastAsia="等线" w:cs="Times New Roman"/>
                      <w:color w:val="000000"/>
                      <w:kern w:val="0"/>
                      <w:sz w:val="21"/>
                      <w:szCs w:val="21"/>
                    </w:rPr>
                    <w:t>10.687</w:t>
                  </w:r>
                  <w:r>
                    <w:rPr>
                      <w:rFonts w:cs="Times New Roman"/>
                      <w:color w:val="000000"/>
                      <w:kern w:val="0"/>
                      <w:sz w:val="21"/>
                      <w:szCs w:val="21"/>
                    </w:rPr>
                    <w:t>″</w:t>
                  </w:r>
                </w:p>
              </w:tc>
              <w:tc>
                <w:tcPr>
                  <w:tcW w:w="1561" w:type="dxa"/>
                  <w:tcBorders>
                    <w:top w:val="nil"/>
                    <w:left w:val="nil"/>
                    <w:bottom w:val="single" w:color="auto" w:sz="4" w:space="0"/>
                    <w:right w:val="single" w:color="auto" w:sz="4" w:space="0"/>
                  </w:tcBorders>
                  <w:vAlign w:val="center"/>
                </w:tcPr>
                <w:p w14:paraId="34864301">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24°46</w:t>
                  </w:r>
                  <w:r>
                    <w:rPr>
                      <w:rFonts w:cs="Times New Roman"/>
                      <w:color w:val="000000"/>
                      <w:kern w:val="0"/>
                      <w:sz w:val="21"/>
                      <w:szCs w:val="21"/>
                    </w:rPr>
                    <w:t>′</w:t>
                  </w:r>
                  <w:r>
                    <w:rPr>
                      <w:rFonts w:eastAsia="等线" w:cs="Times New Roman"/>
                      <w:color w:val="000000"/>
                      <w:kern w:val="0"/>
                      <w:sz w:val="21"/>
                      <w:szCs w:val="21"/>
                    </w:rPr>
                    <w:t>6.211</w:t>
                  </w:r>
                  <w:r>
                    <w:rPr>
                      <w:rFonts w:cs="Times New Roman"/>
                      <w:color w:val="000000"/>
                      <w:kern w:val="0"/>
                      <w:sz w:val="21"/>
                      <w:szCs w:val="21"/>
                    </w:rPr>
                    <w:t>″</w:t>
                  </w:r>
                </w:p>
              </w:tc>
              <w:tc>
                <w:tcPr>
                  <w:tcW w:w="992" w:type="dxa"/>
                  <w:tcBorders>
                    <w:top w:val="nil"/>
                    <w:left w:val="nil"/>
                    <w:bottom w:val="single" w:color="auto" w:sz="4" w:space="0"/>
                    <w:right w:val="single" w:color="auto" w:sz="4" w:space="0"/>
                  </w:tcBorders>
                  <w:vAlign w:val="center"/>
                </w:tcPr>
                <w:p w14:paraId="1DC550FC">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67</w:t>
                  </w:r>
                  <w:r>
                    <w:rPr>
                      <w:rFonts w:cs="Times New Roman"/>
                      <w:color w:val="000000"/>
                      <w:kern w:val="0"/>
                      <w:sz w:val="21"/>
                      <w:szCs w:val="21"/>
                    </w:rPr>
                    <w:t>户</w:t>
                  </w:r>
                  <w:r>
                    <w:rPr>
                      <w:rFonts w:eastAsia="等线" w:cs="Times New Roman"/>
                      <w:color w:val="000000"/>
                      <w:kern w:val="0"/>
                      <w:sz w:val="21"/>
                      <w:szCs w:val="21"/>
                    </w:rPr>
                    <w:t>268</w:t>
                  </w:r>
                  <w:r>
                    <w:rPr>
                      <w:rFonts w:cs="Times New Roman"/>
                      <w:color w:val="000000"/>
                      <w:kern w:val="0"/>
                      <w:sz w:val="21"/>
                      <w:szCs w:val="21"/>
                    </w:rPr>
                    <w:t>人</w:t>
                  </w:r>
                </w:p>
              </w:tc>
              <w:tc>
                <w:tcPr>
                  <w:tcW w:w="814" w:type="dxa"/>
                  <w:vMerge w:val="continue"/>
                  <w:tcBorders>
                    <w:top w:val="nil"/>
                    <w:left w:val="single" w:color="auto" w:sz="4" w:space="0"/>
                    <w:bottom w:val="single" w:color="auto" w:sz="4" w:space="0"/>
                    <w:right w:val="single" w:color="auto" w:sz="4" w:space="0"/>
                  </w:tcBorders>
                  <w:vAlign w:val="center"/>
                </w:tcPr>
                <w:p w14:paraId="35C0A24C">
                  <w:pPr>
                    <w:widowControl/>
                    <w:spacing w:line="240" w:lineRule="auto"/>
                    <w:ind w:firstLine="0" w:firstLineChars="0"/>
                    <w:jc w:val="left"/>
                    <w:rPr>
                      <w:rFonts w:cs="Times New Roman"/>
                      <w:color w:val="000000"/>
                      <w:kern w:val="0"/>
                      <w:sz w:val="21"/>
                      <w:szCs w:val="21"/>
                    </w:rPr>
                  </w:pPr>
                </w:p>
              </w:tc>
            </w:tr>
            <w:tr w14:paraId="7D397D9B">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55468EC9">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包茂村散户</w:t>
                  </w:r>
                </w:p>
              </w:tc>
              <w:tc>
                <w:tcPr>
                  <w:tcW w:w="1843" w:type="dxa"/>
                  <w:tcBorders>
                    <w:top w:val="nil"/>
                    <w:left w:val="nil"/>
                    <w:bottom w:val="single" w:color="auto" w:sz="4" w:space="0"/>
                    <w:right w:val="single" w:color="auto" w:sz="4" w:space="0"/>
                  </w:tcBorders>
                  <w:vAlign w:val="center"/>
                </w:tcPr>
                <w:p w14:paraId="0EE09887">
                  <w:pPr>
                    <w:widowControl/>
                    <w:spacing w:line="240" w:lineRule="auto"/>
                    <w:ind w:firstLine="0" w:firstLineChars="0"/>
                    <w:rPr>
                      <w:rFonts w:cs="Times New Roman"/>
                      <w:color w:val="000000"/>
                      <w:kern w:val="0"/>
                      <w:sz w:val="21"/>
                      <w:szCs w:val="21"/>
                    </w:rPr>
                  </w:pPr>
                  <w:r>
                    <w:rPr>
                      <w:rFonts w:cs="Times New Roman"/>
                      <w:color w:val="000000"/>
                      <w:kern w:val="0"/>
                      <w:sz w:val="21"/>
                      <w:szCs w:val="21"/>
                    </w:rPr>
                    <w:t>方阵S16中间，最近距离4米，距箱变最近距离89m，距改建道路约163m</w:t>
                  </w:r>
                </w:p>
              </w:tc>
              <w:tc>
                <w:tcPr>
                  <w:tcW w:w="1557" w:type="dxa"/>
                  <w:tcBorders>
                    <w:top w:val="nil"/>
                    <w:left w:val="nil"/>
                    <w:bottom w:val="single" w:color="auto" w:sz="4" w:space="0"/>
                    <w:right w:val="single" w:color="auto" w:sz="4" w:space="0"/>
                  </w:tcBorders>
                  <w:vAlign w:val="center"/>
                </w:tcPr>
                <w:p w14:paraId="59482EE9">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100°28</w:t>
                  </w:r>
                  <w:r>
                    <w:rPr>
                      <w:rFonts w:cs="Times New Roman"/>
                      <w:color w:val="000000"/>
                      <w:kern w:val="0"/>
                      <w:sz w:val="21"/>
                      <w:szCs w:val="21"/>
                    </w:rPr>
                    <w:t>′</w:t>
                  </w:r>
                  <w:r>
                    <w:rPr>
                      <w:rFonts w:eastAsia="等线" w:cs="Times New Roman"/>
                      <w:color w:val="000000"/>
                      <w:kern w:val="0"/>
                      <w:sz w:val="21"/>
                      <w:szCs w:val="21"/>
                    </w:rPr>
                    <w:t>43.344</w:t>
                  </w:r>
                  <w:r>
                    <w:rPr>
                      <w:rFonts w:cs="Times New Roman"/>
                      <w:color w:val="000000"/>
                      <w:kern w:val="0"/>
                      <w:sz w:val="21"/>
                      <w:szCs w:val="21"/>
                    </w:rPr>
                    <w:t>″</w:t>
                  </w:r>
                </w:p>
              </w:tc>
              <w:tc>
                <w:tcPr>
                  <w:tcW w:w="1561" w:type="dxa"/>
                  <w:tcBorders>
                    <w:top w:val="nil"/>
                    <w:left w:val="nil"/>
                    <w:bottom w:val="single" w:color="auto" w:sz="4" w:space="0"/>
                    <w:right w:val="single" w:color="auto" w:sz="4" w:space="0"/>
                  </w:tcBorders>
                  <w:vAlign w:val="center"/>
                </w:tcPr>
                <w:p w14:paraId="413C7F81">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24°46</w:t>
                  </w:r>
                  <w:r>
                    <w:rPr>
                      <w:rFonts w:cs="Times New Roman"/>
                      <w:color w:val="000000"/>
                      <w:kern w:val="0"/>
                      <w:sz w:val="21"/>
                      <w:szCs w:val="21"/>
                    </w:rPr>
                    <w:t>′</w:t>
                  </w:r>
                  <w:r>
                    <w:rPr>
                      <w:rFonts w:eastAsia="等线" w:cs="Times New Roman"/>
                      <w:color w:val="000000"/>
                      <w:kern w:val="0"/>
                      <w:sz w:val="21"/>
                      <w:szCs w:val="21"/>
                    </w:rPr>
                    <w:t>19.809</w:t>
                  </w:r>
                  <w:r>
                    <w:rPr>
                      <w:rFonts w:cs="Times New Roman"/>
                      <w:color w:val="000000"/>
                      <w:kern w:val="0"/>
                      <w:sz w:val="21"/>
                      <w:szCs w:val="21"/>
                    </w:rPr>
                    <w:t>″</w:t>
                  </w:r>
                </w:p>
              </w:tc>
              <w:tc>
                <w:tcPr>
                  <w:tcW w:w="992" w:type="dxa"/>
                  <w:tcBorders>
                    <w:top w:val="nil"/>
                    <w:left w:val="nil"/>
                    <w:bottom w:val="single" w:color="auto" w:sz="4" w:space="0"/>
                    <w:right w:val="single" w:color="auto" w:sz="4" w:space="0"/>
                  </w:tcBorders>
                  <w:noWrap/>
                  <w:vAlign w:val="center"/>
                </w:tcPr>
                <w:p w14:paraId="48F4500E">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1户5人</w:t>
                  </w:r>
                </w:p>
              </w:tc>
              <w:tc>
                <w:tcPr>
                  <w:tcW w:w="814" w:type="dxa"/>
                  <w:vMerge w:val="continue"/>
                  <w:tcBorders>
                    <w:top w:val="nil"/>
                    <w:left w:val="single" w:color="auto" w:sz="4" w:space="0"/>
                    <w:bottom w:val="single" w:color="auto" w:sz="4" w:space="0"/>
                    <w:right w:val="single" w:color="auto" w:sz="4" w:space="0"/>
                  </w:tcBorders>
                  <w:vAlign w:val="center"/>
                </w:tcPr>
                <w:p w14:paraId="5FAFFAE8">
                  <w:pPr>
                    <w:widowControl/>
                    <w:spacing w:line="240" w:lineRule="auto"/>
                    <w:ind w:firstLine="0" w:firstLineChars="0"/>
                    <w:jc w:val="left"/>
                    <w:rPr>
                      <w:rFonts w:cs="Times New Roman"/>
                      <w:color w:val="000000"/>
                      <w:kern w:val="0"/>
                      <w:sz w:val="21"/>
                      <w:szCs w:val="21"/>
                    </w:rPr>
                  </w:pPr>
                </w:p>
              </w:tc>
            </w:tr>
            <w:tr w14:paraId="37920CFF">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21948FA8">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大歇场</w:t>
                  </w:r>
                </w:p>
              </w:tc>
              <w:tc>
                <w:tcPr>
                  <w:tcW w:w="1843" w:type="dxa"/>
                  <w:tcBorders>
                    <w:top w:val="nil"/>
                    <w:left w:val="nil"/>
                    <w:bottom w:val="single" w:color="auto" w:sz="4" w:space="0"/>
                    <w:right w:val="single" w:color="auto" w:sz="4" w:space="0"/>
                  </w:tcBorders>
                  <w:vAlign w:val="center"/>
                </w:tcPr>
                <w:p w14:paraId="5B57ECAE">
                  <w:pPr>
                    <w:widowControl/>
                    <w:spacing w:line="240" w:lineRule="auto"/>
                    <w:ind w:firstLine="0" w:firstLineChars="0"/>
                    <w:rPr>
                      <w:rFonts w:cs="Times New Roman"/>
                      <w:color w:val="000000"/>
                      <w:kern w:val="0"/>
                      <w:sz w:val="21"/>
                      <w:szCs w:val="21"/>
                    </w:rPr>
                  </w:pPr>
                  <w:r>
                    <w:rPr>
                      <w:rFonts w:cs="Times New Roman"/>
                      <w:color w:val="000000"/>
                      <w:kern w:val="0"/>
                      <w:sz w:val="21"/>
                      <w:szCs w:val="21"/>
                    </w:rPr>
                    <w:t>方阵S17西侧4米，距箱变最近距离26m</w:t>
                  </w:r>
                </w:p>
              </w:tc>
              <w:tc>
                <w:tcPr>
                  <w:tcW w:w="1557" w:type="dxa"/>
                  <w:tcBorders>
                    <w:top w:val="nil"/>
                    <w:left w:val="nil"/>
                    <w:bottom w:val="single" w:color="auto" w:sz="4" w:space="0"/>
                    <w:right w:val="single" w:color="auto" w:sz="4" w:space="0"/>
                  </w:tcBorders>
                  <w:vAlign w:val="center"/>
                </w:tcPr>
                <w:p w14:paraId="571FC872">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100°29</w:t>
                  </w:r>
                  <w:r>
                    <w:rPr>
                      <w:rFonts w:cs="Times New Roman"/>
                      <w:color w:val="000000"/>
                      <w:kern w:val="0"/>
                      <w:sz w:val="21"/>
                      <w:szCs w:val="21"/>
                    </w:rPr>
                    <w:t>′</w:t>
                  </w:r>
                  <w:r>
                    <w:rPr>
                      <w:rFonts w:eastAsia="等线" w:cs="Times New Roman"/>
                      <w:color w:val="000000"/>
                      <w:kern w:val="0"/>
                      <w:sz w:val="21"/>
                      <w:szCs w:val="21"/>
                    </w:rPr>
                    <w:t>3.877</w:t>
                  </w:r>
                  <w:r>
                    <w:rPr>
                      <w:rFonts w:cs="Times New Roman"/>
                      <w:color w:val="000000"/>
                      <w:kern w:val="0"/>
                      <w:sz w:val="21"/>
                      <w:szCs w:val="21"/>
                    </w:rPr>
                    <w:t>″</w:t>
                  </w:r>
                </w:p>
              </w:tc>
              <w:tc>
                <w:tcPr>
                  <w:tcW w:w="1561" w:type="dxa"/>
                  <w:tcBorders>
                    <w:top w:val="nil"/>
                    <w:left w:val="nil"/>
                    <w:bottom w:val="single" w:color="auto" w:sz="4" w:space="0"/>
                    <w:right w:val="single" w:color="auto" w:sz="4" w:space="0"/>
                  </w:tcBorders>
                  <w:vAlign w:val="center"/>
                </w:tcPr>
                <w:p w14:paraId="79599334">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24°46</w:t>
                  </w:r>
                  <w:r>
                    <w:rPr>
                      <w:rFonts w:cs="Times New Roman"/>
                      <w:color w:val="000000"/>
                      <w:kern w:val="0"/>
                      <w:sz w:val="21"/>
                      <w:szCs w:val="21"/>
                    </w:rPr>
                    <w:t>′</w:t>
                  </w:r>
                  <w:r>
                    <w:rPr>
                      <w:rFonts w:eastAsia="等线" w:cs="Times New Roman"/>
                      <w:color w:val="000000"/>
                      <w:kern w:val="0"/>
                      <w:sz w:val="21"/>
                      <w:szCs w:val="21"/>
                    </w:rPr>
                    <w:t>14.514</w:t>
                  </w:r>
                  <w:r>
                    <w:rPr>
                      <w:rFonts w:cs="Times New Roman"/>
                      <w:color w:val="000000"/>
                      <w:kern w:val="0"/>
                      <w:sz w:val="21"/>
                      <w:szCs w:val="21"/>
                    </w:rPr>
                    <w:t>″</w:t>
                  </w:r>
                </w:p>
              </w:tc>
              <w:tc>
                <w:tcPr>
                  <w:tcW w:w="992" w:type="dxa"/>
                  <w:tcBorders>
                    <w:top w:val="nil"/>
                    <w:left w:val="nil"/>
                    <w:bottom w:val="single" w:color="auto" w:sz="4" w:space="0"/>
                    <w:right w:val="single" w:color="auto" w:sz="4" w:space="0"/>
                  </w:tcBorders>
                  <w:noWrap/>
                  <w:vAlign w:val="bottom"/>
                </w:tcPr>
                <w:p w14:paraId="7C713144">
                  <w:pPr>
                    <w:widowControl/>
                    <w:spacing w:line="240" w:lineRule="auto"/>
                    <w:ind w:firstLine="0" w:firstLineChars="0"/>
                    <w:jc w:val="left"/>
                    <w:rPr>
                      <w:rFonts w:eastAsia="等线" w:cs="Times New Roman"/>
                      <w:color w:val="000000"/>
                      <w:kern w:val="0"/>
                      <w:sz w:val="21"/>
                      <w:szCs w:val="21"/>
                    </w:rPr>
                  </w:pPr>
                  <w:r>
                    <w:rPr>
                      <w:rFonts w:eastAsia="等线" w:cs="Times New Roman"/>
                      <w:color w:val="000000"/>
                      <w:kern w:val="0"/>
                      <w:sz w:val="21"/>
                      <w:szCs w:val="21"/>
                    </w:rPr>
                    <w:t>60户253人</w:t>
                  </w:r>
                </w:p>
              </w:tc>
              <w:tc>
                <w:tcPr>
                  <w:tcW w:w="814" w:type="dxa"/>
                  <w:vMerge w:val="continue"/>
                  <w:tcBorders>
                    <w:top w:val="nil"/>
                    <w:left w:val="single" w:color="auto" w:sz="4" w:space="0"/>
                    <w:bottom w:val="single" w:color="auto" w:sz="4" w:space="0"/>
                    <w:right w:val="single" w:color="auto" w:sz="4" w:space="0"/>
                  </w:tcBorders>
                  <w:vAlign w:val="center"/>
                </w:tcPr>
                <w:p w14:paraId="1D7BF5D1">
                  <w:pPr>
                    <w:widowControl/>
                    <w:spacing w:line="240" w:lineRule="auto"/>
                    <w:ind w:firstLine="0" w:firstLineChars="0"/>
                    <w:jc w:val="left"/>
                    <w:rPr>
                      <w:rFonts w:cs="Times New Roman"/>
                      <w:color w:val="000000"/>
                      <w:kern w:val="0"/>
                      <w:sz w:val="21"/>
                      <w:szCs w:val="21"/>
                    </w:rPr>
                  </w:pPr>
                </w:p>
              </w:tc>
            </w:tr>
            <w:tr w14:paraId="02B515AA">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790963B5">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下柏枝</w:t>
                  </w:r>
                </w:p>
              </w:tc>
              <w:tc>
                <w:tcPr>
                  <w:tcW w:w="1843" w:type="dxa"/>
                  <w:tcBorders>
                    <w:top w:val="nil"/>
                    <w:left w:val="nil"/>
                    <w:bottom w:val="single" w:color="auto" w:sz="4" w:space="0"/>
                    <w:right w:val="single" w:color="auto" w:sz="4" w:space="0"/>
                  </w:tcBorders>
                  <w:vAlign w:val="center"/>
                </w:tcPr>
                <w:p w14:paraId="7843051F">
                  <w:pPr>
                    <w:widowControl/>
                    <w:spacing w:line="240" w:lineRule="auto"/>
                    <w:ind w:firstLine="0" w:firstLineChars="0"/>
                    <w:rPr>
                      <w:rFonts w:cs="Times New Roman"/>
                      <w:color w:val="000000"/>
                      <w:kern w:val="0"/>
                      <w:sz w:val="21"/>
                      <w:szCs w:val="21"/>
                    </w:rPr>
                  </w:pPr>
                  <w:r>
                    <w:rPr>
                      <w:rFonts w:cs="Times New Roman"/>
                      <w:color w:val="000000"/>
                      <w:kern w:val="0"/>
                      <w:sz w:val="21"/>
                      <w:szCs w:val="21"/>
                    </w:rPr>
                    <w:t>方阵S19北侧170米</w:t>
                  </w:r>
                </w:p>
              </w:tc>
              <w:tc>
                <w:tcPr>
                  <w:tcW w:w="1557" w:type="dxa"/>
                  <w:tcBorders>
                    <w:top w:val="nil"/>
                    <w:left w:val="nil"/>
                    <w:bottom w:val="single" w:color="auto" w:sz="4" w:space="0"/>
                    <w:right w:val="single" w:color="auto" w:sz="4" w:space="0"/>
                  </w:tcBorders>
                  <w:vAlign w:val="center"/>
                </w:tcPr>
                <w:p w14:paraId="3E286588">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100°26</w:t>
                  </w:r>
                  <w:r>
                    <w:rPr>
                      <w:rFonts w:cs="Times New Roman"/>
                      <w:color w:val="000000"/>
                      <w:kern w:val="0"/>
                      <w:sz w:val="21"/>
                      <w:szCs w:val="21"/>
                    </w:rPr>
                    <w:t>′</w:t>
                  </w:r>
                  <w:r>
                    <w:rPr>
                      <w:rFonts w:eastAsia="等线" w:cs="Times New Roman"/>
                      <w:color w:val="000000"/>
                      <w:kern w:val="0"/>
                      <w:sz w:val="21"/>
                      <w:szCs w:val="21"/>
                    </w:rPr>
                    <w:t>27.359</w:t>
                  </w:r>
                  <w:r>
                    <w:rPr>
                      <w:rFonts w:cs="Times New Roman"/>
                      <w:color w:val="000000"/>
                      <w:kern w:val="0"/>
                      <w:sz w:val="21"/>
                      <w:szCs w:val="21"/>
                    </w:rPr>
                    <w:t>″</w:t>
                  </w:r>
                </w:p>
              </w:tc>
              <w:tc>
                <w:tcPr>
                  <w:tcW w:w="1561" w:type="dxa"/>
                  <w:tcBorders>
                    <w:top w:val="nil"/>
                    <w:left w:val="nil"/>
                    <w:bottom w:val="single" w:color="auto" w:sz="4" w:space="0"/>
                    <w:right w:val="single" w:color="auto" w:sz="4" w:space="0"/>
                  </w:tcBorders>
                  <w:vAlign w:val="center"/>
                </w:tcPr>
                <w:p w14:paraId="2ECBE235">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24°45</w:t>
                  </w:r>
                  <w:r>
                    <w:rPr>
                      <w:rFonts w:cs="Times New Roman"/>
                      <w:color w:val="000000"/>
                      <w:kern w:val="0"/>
                      <w:sz w:val="21"/>
                      <w:szCs w:val="21"/>
                    </w:rPr>
                    <w:t>′</w:t>
                  </w:r>
                  <w:r>
                    <w:rPr>
                      <w:rFonts w:eastAsia="等线" w:cs="Times New Roman"/>
                      <w:color w:val="000000"/>
                      <w:kern w:val="0"/>
                      <w:sz w:val="21"/>
                      <w:szCs w:val="21"/>
                    </w:rPr>
                    <w:t>23.795</w:t>
                  </w:r>
                  <w:r>
                    <w:rPr>
                      <w:rFonts w:cs="Times New Roman"/>
                      <w:color w:val="000000"/>
                      <w:kern w:val="0"/>
                      <w:sz w:val="21"/>
                      <w:szCs w:val="21"/>
                    </w:rPr>
                    <w:t>″</w:t>
                  </w:r>
                </w:p>
              </w:tc>
              <w:tc>
                <w:tcPr>
                  <w:tcW w:w="992" w:type="dxa"/>
                  <w:tcBorders>
                    <w:top w:val="nil"/>
                    <w:left w:val="nil"/>
                    <w:bottom w:val="single" w:color="auto" w:sz="4" w:space="0"/>
                    <w:right w:val="single" w:color="auto" w:sz="4" w:space="0"/>
                  </w:tcBorders>
                  <w:vAlign w:val="center"/>
                </w:tcPr>
                <w:p w14:paraId="5EB1CFE3">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4</w:t>
                  </w:r>
                  <w:r>
                    <w:rPr>
                      <w:rFonts w:cs="Times New Roman"/>
                      <w:color w:val="000000"/>
                      <w:kern w:val="0"/>
                      <w:sz w:val="21"/>
                      <w:szCs w:val="21"/>
                    </w:rPr>
                    <w:t>户</w:t>
                  </w:r>
                  <w:r>
                    <w:rPr>
                      <w:rFonts w:eastAsia="等线" w:cs="Times New Roman"/>
                      <w:color w:val="000000"/>
                      <w:kern w:val="0"/>
                      <w:sz w:val="21"/>
                      <w:szCs w:val="21"/>
                    </w:rPr>
                    <w:t>17</w:t>
                  </w:r>
                  <w:r>
                    <w:rPr>
                      <w:rFonts w:cs="Times New Roman"/>
                      <w:color w:val="000000"/>
                      <w:kern w:val="0"/>
                      <w:sz w:val="21"/>
                      <w:szCs w:val="21"/>
                    </w:rPr>
                    <w:t>人</w:t>
                  </w:r>
                </w:p>
              </w:tc>
              <w:tc>
                <w:tcPr>
                  <w:tcW w:w="814" w:type="dxa"/>
                  <w:vMerge w:val="continue"/>
                  <w:tcBorders>
                    <w:top w:val="nil"/>
                    <w:left w:val="single" w:color="auto" w:sz="4" w:space="0"/>
                    <w:bottom w:val="single" w:color="auto" w:sz="4" w:space="0"/>
                    <w:right w:val="single" w:color="auto" w:sz="4" w:space="0"/>
                  </w:tcBorders>
                  <w:vAlign w:val="center"/>
                </w:tcPr>
                <w:p w14:paraId="66811FFD">
                  <w:pPr>
                    <w:widowControl/>
                    <w:spacing w:line="240" w:lineRule="auto"/>
                    <w:ind w:firstLine="0" w:firstLineChars="0"/>
                    <w:jc w:val="left"/>
                    <w:rPr>
                      <w:rFonts w:cs="Times New Roman"/>
                      <w:color w:val="000000"/>
                      <w:kern w:val="0"/>
                      <w:sz w:val="21"/>
                      <w:szCs w:val="21"/>
                    </w:rPr>
                  </w:pPr>
                </w:p>
              </w:tc>
            </w:tr>
            <w:tr w14:paraId="3F1E5849">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780CCBAF">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大平掌</w:t>
                  </w:r>
                </w:p>
              </w:tc>
              <w:tc>
                <w:tcPr>
                  <w:tcW w:w="1843" w:type="dxa"/>
                  <w:tcBorders>
                    <w:top w:val="nil"/>
                    <w:left w:val="nil"/>
                    <w:bottom w:val="single" w:color="auto" w:sz="4" w:space="0"/>
                    <w:right w:val="single" w:color="auto" w:sz="4" w:space="0"/>
                  </w:tcBorders>
                  <w:vAlign w:val="center"/>
                </w:tcPr>
                <w:p w14:paraId="1DEEE9DF">
                  <w:pPr>
                    <w:widowControl/>
                    <w:spacing w:line="240" w:lineRule="auto"/>
                    <w:ind w:firstLine="0" w:firstLineChars="0"/>
                    <w:rPr>
                      <w:rFonts w:cs="Times New Roman"/>
                      <w:color w:val="000000"/>
                      <w:kern w:val="0"/>
                      <w:sz w:val="21"/>
                      <w:szCs w:val="21"/>
                    </w:rPr>
                  </w:pPr>
                  <w:r>
                    <w:rPr>
                      <w:rFonts w:cs="Times New Roman"/>
                      <w:color w:val="000000"/>
                      <w:kern w:val="0"/>
                      <w:sz w:val="21"/>
                      <w:szCs w:val="21"/>
                    </w:rPr>
                    <w:t>方阵S22东侧52米，距箱变最近距离164m，距新建道路紧邻</w:t>
                  </w:r>
                </w:p>
              </w:tc>
              <w:tc>
                <w:tcPr>
                  <w:tcW w:w="1557" w:type="dxa"/>
                  <w:tcBorders>
                    <w:top w:val="nil"/>
                    <w:left w:val="nil"/>
                    <w:bottom w:val="single" w:color="auto" w:sz="4" w:space="0"/>
                    <w:right w:val="single" w:color="auto" w:sz="4" w:space="0"/>
                  </w:tcBorders>
                  <w:vAlign w:val="center"/>
                </w:tcPr>
                <w:p w14:paraId="718ECCC7">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100°26</w:t>
                  </w:r>
                  <w:r>
                    <w:rPr>
                      <w:rFonts w:cs="Times New Roman"/>
                      <w:color w:val="000000"/>
                      <w:kern w:val="0"/>
                      <w:sz w:val="21"/>
                      <w:szCs w:val="21"/>
                    </w:rPr>
                    <w:t>′</w:t>
                  </w:r>
                  <w:r>
                    <w:rPr>
                      <w:rFonts w:eastAsia="等线" w:cs="Times New Roman"/>
                      <w:color w:val="000000"/>
                      <w:kern w:val="0"/>
                      <w:sz w:val="21"/>
                      <w:szCs w:val="21"/>
                    </w:rPr>
                    <w:t>42.876</w:t>
                  </w:r>
                  <w:r>
                    <w:rPr>
                      <w:rFonts w:cs="Times New Roman"/>
                      <w:color w:val="000000"/>
                      <w:kern w:val="0"/>
                      <w:sz w:val="21"/>
                      <w:szCs w:val="21"/>
                    </w:rPr>
                    <w:t>″</w:t>
                  </w:r>
                </w:p>
              </w:tc>
              <w:tc>
                <w:tcPr>
                  <w:tcW w:w="1561" w:type="dxa"/>
                  <w:tcBorders>
                    <w:top w:val="nil"/>
                    <w:left w:val="nil"/>
                    <w:bottom w:val="single" w:color="auto" w:sz="4" w:space="0"/>
                    <w:right w:val="single" w:color="auto" w:sz="4" w:space="0"/>
                  </w:tcBorders>
                  <w:vAlign w:val="center"/>
                </w:tcPr>
                <w:p w14:paraId="0E52D40D">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24°45</w:t>
                  </w:r>
                  <w:r>
                    <w:rPr>
                      <w:rFonts w:cs="Times New Roman"/>
                      <w:color w:val="000000"/>
                      <w:kern w:val="0"/>
                      <w:sz w:val="21"/>
                      <w:szCs w:val="21"/>
                    </w:rPr>
                    <w:t>′</w:t>
                  </w:r>
                  <w:r>
                    <w:rPr>
                      <w:rFonts w:eastAsia="等线" w:cs="Times New Roman"/>
                      <w:color w:val="000000"/>
                      <w:kern w:val="0"/>
                      <w:sz w:val="21"/>
                      <w:szCs w:val="21"/>
                    </w:rPr>
                    <w:t>5.473</w:t>
                  </w:r>
                  <w:r>
                    <w:rPr>
                      <w:rFonts w:cs="Times New Roman"/>
                      <w:color w:val="000000"/>
                      <w:kern w:val="0"/>
                      <w:sz w:val="21"/>
                      <w:szCs w:val="21"/>
                    </w:rPr>
                    <w:t>″</w:t>
                  </w:r>
                </w:p>
              </w:tc>
              <w:tc>
                <w:tcPr>
                  <w:tcW w:w="992" w:type="dxa"/>
                  <w:tcBorders>
                    <w:top w:val="nil"/>
                    <w:left w:val="nil"/>
                    <w:bottom w:val="single" w:color="auto" w:sz="4" w:space="0"/>
                    <w:right w:val="single" w:color="auto" w:sz="4" w:space="0"/>
                  </w:tcBorders>
                  <w:vAlign w:val="center"/>
                </w:tcPr>
                <w:p w14:paraId="1A9D9D9D">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37</w:t>
                  </w:r>
                  <w:r>
                    <w:rPr>
                      <w:rFonts w:cs="Times New Roman"/>
                      <w:color w:val="000000"/>
                      <w:kern w:val="0"/>
                      <w:sz w:val="21"/>
                      <w:szCs w:val="21"/>
                    </w:rPr>
                    <w:t>户</w:t>
                  </w:r>
                  <w:r>
                    <w:rPr>
                      <w:rFonts w:eastAsia="等线" w:cs="Times New Roman"/>
                      <w:color w:val="000000"/>
                      <w:kern w:val="0"/>
                      <w:sz w:val="21"/>
                      <w:szCs w:val="21"/>
                    </w:rPr>
                    <w:t>152</w:t>
                  </w:r>
                  <w:r>
                    <w:rPr>
                      <w:rFonts w:cs="Times New Roman"/>
                      <w:color w:val="000000"/>
                      <w:kern w:val="0"/>
                      <w:sz w:val="21"/>
                      <w:szCs w:val="21"/>
                    </w:rPr>
                    <w:t>人</w:t>
                  </w:r>
                </w:p>
              </w:tc>
              <w:tc>
                <w:tcPr>
                  <w:tcW w:w="814" w:type="dxa"/>
                  <w:vMerge w:val="continue"/>
                  <w:tcBorders>
                    <w:top w:val="nil"/>
                    <w:left w:val="single" w:color="auto" w:sz="4" w:space="0"/>
                    <w:bottom w:val="single" w:color="auto" w:sz="4" w:space="0"/>
                    <w:right w:val="single" w:color="auto" w:sz="4" w:space="0"/>
                  </w:tcBorders>
                  <w:vAlign w:val="center"/>
                </w:tcPr>
                <w:p w14:paraId="2BB44DED">
                  <w:pPr>
                    <w:widowControl/>
                    <w:spacing w:line="240" w:lineRule="auto"/>
                    <w:ind w:firstLine="0" w:firstLineChars="0"/>
                    <w:jc w:val="left"/>
                    <w:rPr>
                      <w:rFonts w:cs="Times New Roman"/>
                      <w:color w:val="000000"/>
                      <w:kern w:val="0"/>
                      <w:sz w:val="21"/>
                      <w:szCs w:val="21"/>
                    </w:rPr>
                  </w:pPr>
                </w:p>
              </w:tc>
            </w:tr>
            <w:tr w14:paraId="135B87B6">
              <w:trPr>
                <w:trHeight w:val="454" w:hRule="atLeast"/>
              </w:trPr>
              <w:tc>
                <w:tcPr>
                  <w:tcW w:w="860" w:type="dxa"/>
                  <w:tcBorders>
                    <w:top w:val="nil"/>
                    <w:left w:val="single" w:color="auto" w:sz="4" w:space="0"/>
                    <w:bottom w:val="single" w:color="auto" w:sz="4" w:space="0"/>
                    <w:right w:val="single" w:color="auto" w:sz="4" w:space="0"/>
                  </w:tcBorders>
                  <w:vAlign w:val="center"/>
                </w:tcPr>
                <w:p w14:paraId="0A2DC489">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上夺么</w:t>
                  </w:r>
                </w:p>
              </w:tc>
              <w:tc>
                <w:tcPr>
                  <w:tcW w:w="1843" w:type="dxa"/>
                  <w:tcBorders>
                    <w:top w:val="nil"/>
                    <w:left w:val="nil"/>
                    <w:bottom w:val="single" w:color="auto" w:sz="4" w:space="0"/>
                    <w:right w:val="single" w:color="auto" w:sz="4" w:space="0"/>
                  </w:tcBorders>
                  <w:vAlign w:val="center"/>
                </w:tcPr>
                <w:p w14:paraId="18D97159">
                  <w:pPr>
                    <w:widowControl/>
                    <w:spacing w:line="240" w:lineRule="auto"/>
                    <w:ind w:firstLine="0" w:firstLineChars="0"/>
                    <w:rPr>
                      <w:rFonts w:cs="Times New Roman"/>
                      <w:color w:val="000000"/>
                      <w:kern w:val="0"/>
                      <w:sz w:val="21"/>
                      <w:szCs w:val="21"/>
                    </w:rPr>
                  </w:pPr>
                  <w:r>
                    <w:rPr>
                      <w:rFonts w:cs="Times New Roman"/>
                      <w:color w:val="000000"/>
                      <w:kern w:val="0"/>
                      <w:sz w:val="21"/>
                      <w:szCs w:val="21"/>
                    </w:rPr>
                    <w:t>方阵S02东侧40米</w:t>
                  </w:r>
                </w:p>
              </w:tc>
              <w:tc>
                <w:tcPr>
                  <w:tcW w:w="1557" w:type="dxa"/>
                  <w:tcBorders>
                    <w:top w:val="nil"/>
                    <w:left w:val="nil"/>
                    <w:bottom w:val="single" w:color="auto" w:sz="4" w:space="0"/>
                    <w:right w:val="single" w:color="auto" w:sz="4" w:space="0"/>
                  </w:tcBorders>
                  <w:vAlign w:val="center"/>
                </w:tcPr>
                <w:p w14:paraId="68DE11EF">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100°29</w:t>
                  </w:r>
                  <w:r>
                    <w:rPr>
                      <w:rFonts w:cs="Times New Roman"/>
                      <w:color w:val="000000"/>
                      <w:kern w:val="0"/>
                      <w:sz w:val="21"/>
                      <w:szCs w:val="21"/>
                    </w:rPr>
                    <w:t>′</w:t>
                  </w:r>
                  <w:r>
                    <w:rPr>
                      <w:rFonts w:eastAsia="等线" w:cs="Times New Roman"/>
                      <w:color w:val="000000"/>
                      <w:kern w:val="0"/>
                      <w:sz w:val="21"/>
                      <w:szCs w:val="21"/>
                    </w:rPr>
                    <w:t>14.368</w:t>
                  </w:r>
                  <w:r>
                    <w:rPr>
                      <w:rFonts w:cs="Times New Roman"/>
                      <w:color w:val="000000"/>
                      <w:kern w:val="0"/>
                      <w:sz w:val="21"/>
                      <w:szCs w:val="21"/>
                    </w:rPr>
                    <w:t>″</w:t>
                  </w:r>
                </w:p>
              </w:tc>
              <w:tc>
                <w:tcPr>
                  <w:tcW w:w="1561" w:type="dxa"/>
                  <w:tcBorders>
                    <w:top w:val="nil"/>
                    <w:left w:val="nil"/>
                    <w:bottom w:val="single" w:color="auto" w:sz="4" w:space="0"/>
                    <w:right w:val="single" w:color="auto" w:sz="4" w:space="0"/>
                  </w:tcBorders>
                  <w:vAlign w:val="center"/>
                </w:tcPr>
                <w:p w14:paraId="2A62FD47">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24°45</w:t>
                  </w:r>
                  <w:r>
                    <w:rPr>
                      <w:rFonts w:cs="Times New Roman"/>
                      <w:color w:val="000000"/>
                      <w:kern w:val="0"/>
                      <w:sz w:val="21"/>
                      <w:szCs w:val="21"/>
                    </w:rPr>
                    <w:t>′</w:t>
                  </w:r>
                  <w:r>
                    <w:rPr>
                      <w:rFonts w:eastAsia="等线" w:cs="Times New Roman"/>
                      <w:color w:val="000000"/>
                      <w:kern w:val="0"/>
                      <w:sz w:val="21"/>
                      <w:szCs w:val="21"/>
                    </w:rPr>
                    <w:t>4.263</w:t>
                  </w:r>
                  <w:r>
                    <w:rPr>
                      <w:rFonts w:cs="Times New Roman"/>
                      <w:color w:val="000000"/>
                      <w:kern w:val="0"/>
                      <w:sz w:val="21"/>
                      <w:szCs w:val="21"/>
                    </w:rPr>
                    <w:t>″</w:t>
                  </w:r>
                </w:p>
              </w:tc>
              <w:tc>
                <w:tcPr>
                  <w:tcW w:w="992" w:type="dxa"/>
                  <w:tcBorders>
                    <w:top w:val="nil"/>
                    <w:left w:val="nil"/>
                    <w:bottom w:val="single" w:color="auto" w:sz="4" w:space="0"/>
                    <w:right w:val="single" w:color="auto" w:sz="4" w:space="0"/>
                  </w:tcBorders>
                  <w:noWrap/>
                  <w:vAlign w:val="bottom"/>
                </w:tcPr>
                <w:p w14:paraId="329B6582">
                  <w:pPr>
                    <w:widowControl/>
                    <w:spacing w:line="240" w:lineRule="auto"/>
                    <w:ind w:firstLine="0" w:firstLineChars="0"/>
                    <w:jc w:val="left"/>
                    <w:rPr>
                      <w:rFonts w:eastAsia="等线" w:cs="Times New Roman"/>
                      <w:color w:val="000000"/>
                      <w:kern w:val="0"/>
                      <w:sz w:val="21"/>
                      <w:szCs w:val="21"/>
                    </w:rPr>
                  </w:pPr>
                  <w:r>
                    <w:rPr>
                      <w:rFonts w:eastAsia="等线" w:cs="Times New Roman"/>
                      <w:color w:val="000000"/>
                      <w:kern w:val="0"/>
                      <w:sz w:val="21"/>
                      <w:szCs w:val="21"/>
                    </w:rPr>
                    <w:t>36户148人</w:t>
                  </w:r>
                </w:p>
              </w:tc>
              <w:tc>
                <w:tcPr>
                  <w:tcW w:w="814" w:type="dxa"/>
                  <w:vMerge w:val="continue"/>
                  <w:tcBorders>
                    <w:top w:val="nil"/>
                    <w:left w:val="single" w:color="auto" w:sz="4" w:space="0"/>
                    <w:bottom w:val="single" w:color="auto" w:sz="4" w:space="0"/>
                    <w:right w:val="single" w:color="auto" w:sz="4" w:space="0"/>
                  </w:tcBorders>
                  <w:vAlign w:val="center"/>
                </w:tcPr>
                <w:p w14:paraId="0E920877">
                  <w:pPr>
                    <w:widowControl/>
                    <w:spacing w:line="240" w:lineRule="auto"/>
                    <w:ind w:firstLine="0" w:firstLineChars="0"/>
                    <w:jc w:val="left"/>
                    <w:rPr>
                      <w:rFonts w:cs="Times New Roman"/>
                      <w:color w:val="000000"/>
                      <w:kern w:val="0"/>
                      <w:sz w:val="21"/>
                      <w:szCs w:val="21"/>
                    </w:rPr>
                  </w:pPr>
                </w:p>
              </w:tc>
            </w:tr>
            <w:tr w14:paraId="60117A6D">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397219B9">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下朵么</w:t>
                  </w:r>
                </w:p>
              </w:tc>
              <w:tc>
                <w:tcPr>
                  <w:tcW w:w="1843" w:type="dxa"/>
                  <w:tcBorders>
                    <w:top w:val="nil"/>
                    <w:left w:val="nil"/>
                    <w:bottom w:val="single" w:color="auto" w:sz="4" w:space="0"/>
                    <w:right w:val="single" w:color="auto" w:sz="4" w:space="0"/>
                  </w:tcBorders>
                  <w:vAlign w:val="center"/>
                </w:tcPr>
                <w:p w14:paraId="6951A86B">
                  <w:pPr>
                    <w:widowControl/>
                    <w:spacing w:line="240" w:lineRule="auto"/>
                    <w:ind w:firstLine="0" w:firstLineChars="0"/>
                    <w:rPr>
                      <w:rFonts w:cs="Times New Roman"/>
                      <w:color w:val="000000"/>
                      <w:kern w:val="0"/>
                      <w:sz w:val="21"/>
                      <w:szCs w:val="21"/>
                    </w:rPr>
                  </w:pPr>
                  <w:r>
                    <w:rPr>
                      <w:rFonts w:cs="Times New Roman"/>
                      <w:color w:val="000000"/>
                      <w:kern w:val="0"/>
                      <w:sz w:val="21"/>
                      <w:szCs w:val="21"/>
                    </w:rPr>
                    <w:t>方阵S02南侧163米，距箱变最近距离168m</w:t>
                  </w:r>
                </w:p>
              </w:tc>
              <w:tc>
                <w:tcPr>
                  <w:tcW w:w="1557" w:type="dxa"/>
                  <w:tcBorders>
                    <w:top w:val="nil"/>
                    <w:left w:val="nil"/>
                    <w:bottom w:val="single" w:color="auto" w:sz="4" w:space="0"/>
                    <w:right w:val="single" w:color="auto" w:sz="4" w:space="0"/>
                  </w:tcBorders>
                  <w:vAlign w:val="center"/>
                </w:tcPr>
                <w:p w14:paraId="7CB70562">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100°29</w:t>
                  </w:r>
                  <w:r>
                    <w:rPr>
                      <w:rFonts w:cs="Times New Roman"/>
                      <w:color w:val="000000"/>
                      <w:kern w:val="0"/>
                      <w:sz w:val="21"/>
                      <w:szCs w:val="21"/>
                    </w:rPr>
                    <w:t>′</w:t>
                  </w:r>
                  <w:r>
                    <w:rPr>
                      <w:rFonts w:eastAsia="等线" w:cs="Times New Roman"/>
                      <w:color w:val="000000"/>
                      <w:kern w:val="0"/>
                      <w:sz w:val="21"/>
                      <w:szCs w:val="21"/>
                    </w:rPr>
                    <w:t>1.009</w:t>
                  </w:r>
                  <w:r>
                    <w:rPr>
                      <w:rFonts w:cs="Times New Roman"/>
                      <w:color w:val="000000"/>
                      <w:kern w:val="0"/>
                      <w:sz w:val="21"/>
                      <w:szCs w:val="21"/>
                    </w:rPr>
                    <w:t>″</w:t>
                  </w:r>
                </w:p>
              </w:tc>
              <w:tc>
                <w:tcPr>
                  <w:tcW w:w="1561" w:type="dxa"/>
                  <w:tcBorders>
                    <w:top w:val="nil"/>
                    <w:left w:val="nil"/>
                    <w:bottom w:val="single" w:color="auto" w:sz="4" w:space="0"/>
                    <w:right w:val="single" w:color="auto" w:sz="4" w:space="0"/>
                  </w:tcBorders>
                  <w:vAlign w:val="center"/>
                </w:tcPr>
                <w:p w14:paraId="14566BC1">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24°44</w:t>
                  </w:r>
                  <w:r>
                    <w:rPr>
                      <w:rFonts w:cs="Times New Roman"/>
                      <w:color w:val="000000"/>
                      <w:kern w:val="0"/>
                      <w:sz w:val="21"/>
                      <w:szCs w:val="21"/>
                    </w:rPr>
                    <w:t>′</w:t>
                  </w:r>
                  <w:r>
                    <w:rPr>
                      <w:rFonts w:eastAsia="等线" w:cs="Times New Roman"/>
                      <w:color w:val="000000"/>
                      <w:kern w:val="0"/>
                      <w:sz w:val="21"/>
                      <w:szCs w:val="21"/>
                    </w:rPr>
                    <w:t>56.840</w:t>
                  </w:r>
                  <w:r>
                    <w:rPr>
                      <w:rFonts w:cs="Times New Roman"/>
                      <w:color w:val="000000"/>
                      <w:kern w:val="0"/>
                      <w:sz w:val="21"/>
                      <w:szCs w:val="21"/>
                    </w:rPr>
                    <w:t>″</w:t>
                  </w:r>
                </w:p>
              </w:tc>
              <w:tc>
                <w:tcPr>
                  <w:tcW w:w="992" w:type="dxa"/>
                  <w:tcBorders>
                    <w:top w:val="nil"/>
                    <w:left w:val="nil"/>
                    <w:bottom w:val="single" w:color="auto" w:sz="4" w:space="0"/>
                    <w:right w:val="single" w:color="auto" w:sz="4" w:space="0"/>
                  </w:tcBorders>
                  <w:noWrap/>
                  <w:vAlign w:val="bottom"/>
                </w:tcPr>
                <w:p w14:paraId="527074FF">
                  <w:pPr>
                    <w:widowControl/>
                    <w:spacing w:line="240" w:lineRule="auto"/>
                    <w:ind w:firstLine="0" w:firstLineChars="0"/>
                    <w:jc w:val="left"/>
                    <w:rPr>
                      <w:rFonts w:eastAsia="等线" w:cs="Times New Roman"/>
                      <w:color w:val="000000"/>
                      <w:kern w:val="0"/>
                      <w:sz w:val="21"/>
                      <w:szCs w:val="21"/>
                    </w:rPr>
                  </w:pPr>
                  <w:r>
                    <w:rPr>
                      <w:rFonts w:eastAsia="等线" w:cs="Times New Roman"/>
                      <w:color w:val="000000"/>
                      <w:kern w:val="0"/>
                      <w:sz w:val="21"/>
                      <w:szCs w:val="21"/>
                    </w:rPr>
                    <w:t>17户77人</w:t>
                  </w:r>
                </w:p>
              </w:tc>
              <w:tc>
                <w:tcPr>
                  <w:tcW w:w="814" w:type="dxa"/>
                  <w:vMerge w:val="continue"/>
                  <w:tcBorders>
                    <w:top w:val="nil"/>
                    <w:left w:val="single" w:color="auto" w:sz="4" w:space="0"/>
                    <w:bottom w:val="single" w:color="auto" w:sz="4" w:space="0"/>
                    <w:right w:val="single" w:color="auto" w:sz="4" w:space="0"/>
                  </w:tcBorders>
                  <w:vAlign w:val="center"/>
                </w:tcPr>
                <w:p w14:paraId="3F454915">
                  <w:pPr>
                    <w:widowControl/>
                    <w:spacing w:line="240" w:lineRule="auto"/>
                    <w:ind w:firstLine="0" w:firstLineChars="0"/>
                    <w:jc w:val="left"/>
                    <w:rPr>
                      <w:rFonts w:cs="Times New Roman"/>
                      <w:color w:val="000000"/>
                      <w:kern w:val="0"/>
                      <w:sz w:val="21"/>
                      <w:szCs w:val="21"/>
                    </w:rPr>
                  </w:pPr>
                </w:p>
              </w:tc>
            </w:tr>
            <w:tr w14:paraId="3B52F972">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19929299">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安召</w:t>
                  </w:r>
                </w:p>
              </w:tc>
              <w:tc>
                <w:tcPr>
                  <w:tcW w:w="1843" w:type="dxa"/>
                  <w:tcBorders>
                    <w:top w:val="nil"/>
                    <w:left w:val="nil"/>
                    <w:bottom w:val="single" w:color="auto" w:sz="4" w:space="0"/>
                    <w:right w:val="single" w:color="auto" w:sz="4" w:space="0"/>
                  </w:tcBorders>
                  <w:vAlign w:val="center"/>
                </w:tcPr>
                <w:p w14:paraId="270EB9BF">
                  <w:pPr>
                    <w:widowControl/>
                    <w:spacing w:line="240" w:lineRule="auto"/>
                    <w:ind w:firstLine="0" w:firstLineChars="0"/>
                    <w:rPr>
                      <w:rFonts w:cs="Times New Roman"/>
                      <w:color w:val="000000"/>
                      <w:kern w:val="0"/>
                      <w:sz w:val="21"/>
                      <w:szCs w:val="21"/>
                    </w:rPr>
                  </w:pPr>
                  <w:r>
                    <w:rPr>
                      <w:rFonts w:cs="Times New Roman"/>
                      <w:color w:val="000000"/>
                      <w:kern w:val="0"/>
                      <w:sz w:val="21"/>
                      <w:szCs w:val="21"/>
                    </w:rPr>
                    <w:t>方阵S11东侧10米</w:t>
                  </w:r>
                </w:p>
              </w:tc>
              <w:tc>
                <w:tcPr>
                  <w:tcW w:w="1557" w:type="dxa"/>
                  <w:tcBorders>
                    <w:top w:val="nil"/>
                    <w:left w:val="nil"/>
                    <w:bottom w:val="single" w:color="auto" w:sz="4" w:space="0"/>
                    <w:right w:val="single" w:color="auto" w:sz="4" w:space="0"/>
                  </w:tcBorders>
                  <w:vAlign w:val="center"/>
                </w:tcPr>
                <w:p w14:paraId="7AF896C5">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100°30</w:t>
                  </w:r>
                  <w:r>
                    <w:rPr>
                      <w:rFonts w:cs="Times New Roman"/>
                      <w:color w:val="000000"/>
                      <w:kern w:val="0"/>
                      <w:sz w:val="21"/>
                      <w:szCs w:val="21"/>
                    </w:rPr>
                    <w:t>′</w:t>
                  </w:r>
                  <w:r>
                    <w:rPr>
                      <w:rFonts w:eastAsia="等线" w:cs="Times New Roman"/>
                      <w:color w:val="000000"/>
                      <w:kern w:val="0"/>
                      <w:sz w:val="21"/>
                      <w:szCs w:val="21"/>
                    </w:rPr>
                    <w:t>8.789</w:t>
                  </w:r>
                  <w:r>
                    <w:rPr>
                      <w:rFonts w:cs="Times New Roman"/>
                      <w:color w:val="000000"/>
                      <w:kern w:val="0"/>
                      <w:sz w:val="21"/>
                      <w:szCs w:val="21"/>
                    </w:rPr>
                    <w:t>″</w:t>
                  </w:r>
                </w:p>
              </w:tc>
              <w:tc>
                <w:tcPr>
                  <w:tcW w:w="1561" w:type="dxa"/>
                  <w:tcBorders>
                    <w:top w:val="nil"/>
                    <w:left w:val="nil"/>
                    <w:bottom w:val="single" w:color="auto" w:sz="4" w:space="0"/>
                    <w:right w:val="single" w:color="auto" w:sz="4" w:space="0"/>
                  </w:tcBorders>
                  <w:vAlign w:val="center"/>
                </w:tcPr>
                <w:p w14:paraId="2DBD0139">
                  <w:pPr>
                    <w:widowControl/>
                    <w:spacing w:line="240" w:lineRule="auto"/>
                    <w:ind w:firstLine="0" w:firstLineChars="0"/>
                    <w:jc w:val="center"/>
                    <w:rPr>
                      <w:rFonts w:eastAsia="等线" w:cs="Times New Roman"/>
                      <w:color w:val="000000"/>
                      <w:kern w:val="0"/>
                      <w:sz w:val="21"/>
                      <w:szCs w:val="21"/>
                    </w:rPr>
                  </w:pPr>
                  <w:r>
                    <w:rPr>
                      <w:rFonts w:eastAsia="等线" w:cs="Times New Roman"/>
                      <w:color w:val="000000"/>
                      <w:kern w:val="0"/>
                      <w:sz w:val="21"/>
                      <w:szCs w:val="21"/>
                    </w:rPr>
                    <w:t>24°44</w:t>
                  </w:r>
                  <w:r>
                    <w:rPr>
                      <w:rFonts w:cs="Times New Roman"/>
                      <w:color w:val="000000"/>
                      <w:kern w:val="0"/>
                      <w:sz w:val="21"/>
                      <w:szCs w:val="21"/>
                    </w:rPr>
                    <w:t>′</w:t>
                  </w:r>
                  <w:r>
                    <w:rPr>
                      <w:rFonts w:eastAsia="等线" w:cs="Times New Roman"/>
                      <w:color w:val="000000"/>
                      <w:kern w:val="0"/>
                      <w:sz w:val="21"/>
                      <w:szCs w:val="21"/>
                    </w:rPr>
                    <w:t>42.691</w:t>
                  </w:r>
                  <w:r>
                    <w:rPr>
                      <w:rFonts w:cs="Times New Roman"/>
                      <w:color w:val="000000"/>
                      <w:kern w:val="0"/>
                      <w:sz w:val="21"/>
                      <w:szCs w:val="21"/>
                    </w:rPr>
                    <w:t>″</w:t>
                  </w:r>
                </w:p>
              </w:tc>
              <w:tc>
                <w:tcPr>
                  <w:tcW w:w="992" w:type="dxa"/>
                  <w:tcBorders>
                    <w:top w:val="nil"/>
                    <w:left w:val="nil"/>
                    <w:bottom w:val="single" w:color="auto" w:sz="4" w:space="0"/>
                    <w:right w:val="single" w:color="auto" w:sz="4" w:space="0"/>
                  </w:tcBorders>
                  <w:noWrap/>
                  <w:vAlign w:val="bottom"/>
                </w:tcPr>
                <w:p w14:paraId="46E4B2B6">
                  <w:pPr>
                    <w:widowControl/>
                    <w:spacing w:line="240" w:lineRule="auto"/>
                    <w:ind w:firstLine="0" w:firstLineChars="0"/>
                    <w:jc w:val="left"/>
                    <w:rPr>
                      <w:rFonts w:eastAsia="等线" w:cs="Times New Roman"/>
                      <w:color w:val="000000"/>
                      <w:kern w:val="0"/>
                      <w:sz w:val="21"/>
                      <w:szCs w:val="21"/>
                    </w:rPr>
                  </w:pPr>
                  <w:r>
                    <w:rPr>
                      <w:rFonts w:eastAsia="等线" w:cs="Times New Roman"/>
                      <w:color w:val="000000"/>
                      <w:kern w:val="0"/>
                      <w:sz w:val="21"/>
                      <w:szCs w:val="21"/>
                    </w:rPr>
                    <w:t>15户38人</w:t>
                  </w:r>
                </w:p>
              </w:tc>
              <w:tc>
                <w:tcPr>
                  <w:tcW w:w="814" w:type="dxa"/>
                  <w:vMerge w:val="continue"/>
                  <w:tcBorders>
                    <w:top w:val="nil"/>
                    <w:left w:val="single" w:color="auto" w:sz="4" w:space="0"/>
                    <w:bottom w:val="single" w:color="auto" w:sz="4" w:space="0"/>
                    <w:right w:val="single" w:color="auto" w:sz="4" w:space="0"/>
                  </w:tcBorders>
                  <w:vAlign w:val="center"/>
                </w:tcPr>
                <w:p w14:paraId="4EA8C323">
                  <w:pPr>
                    <w:widowControl/>
                    <w:spacing w:line="240" w:lineRule="auto"/>
                    <w:ind w:firstLine="0" w:firstLineChars="0"/>
                    <w:jc w:val="left"/>
                    <w:rPr>
                      <w:rFonts w:cs="Times New Roman"/>
                      <w:color w:val="000000"/>
                      <w:kern w:val="0"/>
                      <w:sz w:val="21"/>
                      <w:szCs w:val="21"/>
                    </w:rPr>
                  </w:pPr>
                </w:p>
              </w:tc>
            </w:tr>
          </w:tbl>
          <w:p w14:paraId="1A40C5A5">
            <w:pPr>
              <w:ind w:firstLine="482"/>
              <w:rPr>
                <w:b/>
                <w:bCs/>
              </w:rPr>
            </w:pPr>
            <w:r>
              <w:rPr>
                <w:rFonts w:hint="eastAsia"/>
                <w:b/>
                <w:bCs/>
              </w:rPr>
              <w:t>（</w:t>
            </w:r>
            <w:r>
              <w:rPr>
                <w:b/>
                <w:bCs/>
              </w:rPr>
              <w:t>4</w:t>
            </w:r>
            <w:r>
              <w:rPr>
                <w:rFonts w:hint="eastAsia"/>
                <w:b/>
                <w:bCs/>
              </w:rPr>
              <w:t>）环境空气保护目标</w:t>
            </w:r>
          </w:p>
          <w:p w14:paraId="41EB0FF3">
            <w:pPr>
              <w:ind w:firstLine="480"/>
            </w:pPr>
            <w:r>
              <w:rPr>
                <w:rFonts w:hint="eastAsia"/>
              </w:rPr>
              <w:t>本次项目箱变、逆变器、光伏阵列区、集电线路以及新建、改建道路工程500m评价范围内的环境空气保护目标情况如下。</w:t>
            </w:r>
          </w:p>
          <w:p w14:paraId="71CFC247">
            <w:pPr>
              <w:pStyle w:val="63"/>
              <w:ind w:firstLine="480"/>
            </w:pPr>
            <w:r>
              <w:rPr>
                <w:rFonts w:hint="eastAsia"/>
              </w:rPr>
              <w:t>表</w:t>
            </w:r>
            <w:r>
              <w:t xml:space="preserve"> </w:t>
            </w:r>
            <w:r>
              <w:fldChar w:fldCharType="begin"/>
            </w:r>
            <w:r>
              <w:instrText xml:space="preserve"> STYLEREF 2 \s </w:instrText>
            </w:r>
            <w:r>
              <w:fldChar w:fldCharType="separate"/>
            </w:r>
            <w:r>
              <w:t>3.5</w:t>
            </w:r>
            <w:r>
              <w:fldChar w:fldCharType="end"/>
            </w:r>
            <w:r>
              <w:noBreakHyphen/>
            </w:r>
            <w:r>
              <w:fldChar w:fldCharType="begin"/>
            </w:r>
            <w:r>
              <w:instrText xml:space="preserve"> SEQ 表 \* ARABIC \s 2 </w:instrText>
            </w:r>
            <w:r>
              <w:fldChar w:fldCharType="separate"/>
            </w:r>
            <w:r>
              <w:t>5</w:t>
            </w:r>
            <w:r>
              <w:fldChar w:fldCharType="end"/>
            </w:r>
            <w:r>
              <w:t xml:space="preserve">  </w:t>
            </w:r>
            <w:r>
              <w:rPr>
                <w:rFonts w:hint="eastAsia"/>
              </w:rPr>
              <w:t>环境空气保护目标</w:t>
            </w:r>
          </w:p>
          <w:tbl>
            <w:tblPr>
              <w:tblStyle w:val="41"/>
              <w:tblW w:w="0" w:type="auto"/>
              <w:tblInd w:w="0" w:type="dxa"/>
              <w:tblLayout w:type="autofit"/>
              <w:tblCellMar>
                <w:top w:w="0" w:type="dxa"/>
                <w:left w:w="108" w:type="dxa"/>
                <w:bottom w:w="0" w:type="dxa"/>
                <w:right w:w="108" w:type="dxa"/>
              </w:tblCellMar>
            </w:tblPr>
            <w:tblGrid>
              <w:gridCol w:w="776"/>
              <w:gridCol w:w="1661"/>
              <w:gridCol w:w="1559"/>
              <w:gridCol w:w="1559"/>
              <w:gridCol w:w="960"/>
              <w:gridCol w:w="1336"/>
            </w:tblGrid>
            <w:tr w14:paraId="285536AC">
              <w:tblPrEx>
                <w:tblCellMar>
                  <w:top w:w="0" w:type="dxa"/>
                  <w:left w:w="108" w:type="dxa"/>
                  <w:bottom w:w="0" w:type="dxa"/>
                  <w:right w:w="108" w:type="dxa"/>
                </w:tblCellMar>
              </w:tblPrEx>
              <w:trPr>
                <w:trHeight w:val="454" w:hRule="atLeast"/>
                <w:tblHeader/>
              </w:trPr>
              <w:tc>
                <w:tcPr>
                  <w:tcW w:w="860" w:type="dxa"/>
                  <w:tcBorders>
                    <w:top w:val="single" w:color="auto" w:sz="4" w:space="0"/>
                    <w:left w:val="single" w:color="auto" w:sz="4" w:space="0"/>
                    <w:bottom w:val="single" w:color="auto" w:sz="4" w:space="0"/>
                    <w:right w:val="single" w:color="auto" w:sz="4" w:space="0"/>
                  </w:tcBorders>
                  <w:vAlign w:val="center"/>
                </w:tcPr>
                <w:p w14:paraId="732D4D7E">
                  <w:pPr>
                    <w:pStyle w:val="65"/>
                    <w:rPr>
                      <w:rFonts w:cs="Times New Roman"/>
                      <w:b/>
                      <w:bCs/>
                      <w:szCs w:val="21"/>
                    </w:rPr>
                  </w:pPr>
                  <w:r>
                    <w:rPr>
                      <w:rFonts w:cs="Times New Roman"/>
                      <w:b/>
                      <w:bCs/>
                      <w:szCs w:val="21"/>
                    </w:rPr>
                    <w:t>保护目标名称</w:t>
                  </w:r>
                </w:p>
              </w:tc>
              <w:tc>
                <w:tcPr>
                  <w:tcW w:w="1843" w:type="dxa"/>
                  <w:tcBorders>
                    <w:top w:val="single" w:color="auto" w:sz="4" w:space="0"/>
                    <w:left w:val="nil"/>
                    <w:bottom w:val="single" w:color="auto" w:sz="4" w:space="0"/>
                    <w:right w:val="single" w:color="auto" w:sz="4" w:space="0"/>
                  </w:tcBorders>
                  <w:vAlign w:val="center"/>
                </w:tcPr>
                <w:p w14:paraId="2C02CE04">
                  <w:pPr>
                    <w:pStyle w:val="65"/>
                    <w:rPr>
                      <w:rFonts w:cs="Times New Roman"/>
                      <w:b/>
                      <w:bCs/>
                      <w:szCs w:val="21"/>
                    </w:rPr>
                  </w:pPr>
                  <w:r>
                    <w:rPr>
                      <w:rFonts w:cs="Times New Roman"/>
                      <w:b/>
                      <w:bCs/>
                      <w:szCs w:val="21"/>
                    </w:rPr>
                    <w:t>位置</w:t>
                  </w:r>
                </w:p>
              </w:tc>
              <w:tc>
                <w:tcPr>
                  <w:tcW w:w="1559" w:type="dxa"/>
                  <w:tcBorders>
                    <w:top w:val="single" w:color="auto" w:sz="4" w:space="0"/>
                    <w:left w:val="nil"/>
                    <w:bottom w:val="single" w:color="auto" w:sz="4" w:space="0"/>
                    <w:right w:val="single" w:color="auto" w:sz="4" w:space="0"/>
                  </w:tcBorders>
                  <w:vAlign w:val="center"/>
                </w:tcPr>
                <w:p w14:paraId="02A63105">
                  <w:pPr>
                    <w:pStyle w:val="65"/>
                    <w:rPr>
                      <w:rFonts w:cs="Times New Roman"/>
                      <w:b/>
                      <w:bCs/>
                      <w:szCs w:val="21"/>
                    </w:rPr>
                  </w:pPr>
                  <w:r>
                    <w:rPr>
                      <w:rFonts w:cs="Times New Roman"/>
                      <w:b/>
                      <w:bCs/>
                      <w:szCs w:val="21"/>
                    </w:rPr>
                    <w:t>纬度</w:t>
                  </w:r>
                </w:p>
              </w:tc>
              <w:tc>
                <w:tcPr>
                  <w:tcW w:w="1559" w:type="dxa"/>
                  <w:tcBorders>
                    <w:top w:val="single" w:color="auto" w:sz="4" w:space="0"/>
                    <w:left w:val="nil"/>
                    <w:bottom w:val="single" w:color="auto" w:sz="4" w:space="0"/>
                    <w:right w:val="single" w:color="auto" w:sz="4" w:space="0"/>
                  </w:tcBorders>
                  <w:vAlign w:val="center"/>
                </w:tcPr>
                <w:p w14:paraId="3CB33DD2">
                  <w:pPr>
                    <w:pStyle w:val="65"/>
                    <w:rPr>
                      <w:rFonts w:cs="Times New Roman"/>
                      <w:b/>
                      <w:bCs/>
                      <w:szCs w:val="21"/>
                    </w:rPr>
                  </w:pPr>
                  <w:r>
                    <w:rPr>
                      <w:rFonts w:cs="Times New Roman"/>
                      <w:b/>
                      <w:bCs/>
                      <w:szCs w:val="21"/>
                    </w:rPr>
                    <w:t>经度</w:t>
                  </w:r>
                </w:p>
              </w:tc>
              <w:tc>
                <w:tcPr>
                  <w:tcW w:w="960" w:type="dxa"/>
                  <w:tcBorders>
                    <w:top w:val="single" w:color="auto" w:sz="4" w:space="0"/>
                    <w:left w:val="nil"/>
                    <w:bottom w:val="single" w:color="auto" w:sz="4" w:space="0"/>
                    <w:right w:val="single" w:color="auto" w:sz="4" w:space="0"/>
                  </w:tcBorders>
                  <w:vAlign w:val="center"/>
                </w:tcPr>
                <w:p w14:paraId="43577330">
                  <w:pPr>
                    <w:pStyle w:val="65"/>
                    <w:rPr>
                      <w:rFonts w:cs="Times New Roman"/>
                      <w:b/>
                      <w:bCs/>
                      <w:szCs w:val="21"/>
                    </w:rPr>
                  </w:pPr>
                  <w:r>
                    <w:rPr>
                      <w:rFonts w:cs="Times New Roman"/>
                      <w:b/>
                      <w:bCs/>
                      <w:szCs w:val="21"/>
                    </w:rPr>
                    <w:t>特性/规模</w:t>
                  </w:r>
                </w:p>
              </w:tc>
              <w:tc>
                <w:tcPr>
                  <w:tcW w:w="846" w:type="dxa"/>
                  <w:tcBorders>
                    <w:top w:val="single" w:color="auto" w:sz="4" w:space="0"/>
                    <w:left w:val="nil"/>
                    <w:bottom w:val="single" w:color="auto" w:sz="4" w:space="0"/>
                    <w:right w:val="single" w:color="auto" w:sz="4" w:space="0"/>
                  </w:tcBorders>
                  <w:vAlign w:val="center"/>
                </w:tcPr>
                <w:p w14:paraId="0CEAD760">
                  <w:pPr>
                    <w:pStyle w:val="65"/>
                    <w:rPr>
                      <w:rFonts w:cs="Times New Roman"/>
                      <w:b/>
                      <w:bCs/>
                      <w:szCs w:val="21"/>
                    </w:rPr>
                  </w:pPr>
                  <w:r>
                    <w:rPr>
                      <w:rFonts w:cs="Times New Roman"/>
                      <w:b/>
                      <w:bCs/>
                      <w:szCs w:val="21"/>
                    </w:rPr>
                    <w:t>保护级别</w:t>
                  </w:r>
                </w:p>
              </w:tc>
            </w:tr>
            <w:tr w14:paraId="3810A8FB">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681F322F">
                  <w:pPr>
                    <w:pStyle w:val="65"/>
                    <w:rPr>
                      <w:rFonts w:cs="Times New Roman"/>
                      <w:szCs w:val="21"/>
                    </w:rPr>
                  </w:pPr>
                  <w:r>
                    <w:rPr>
                      <w:rFonts w:cs="Times New Roman"/>
                      <w:szCs w:val="21"/>
                    </w:rPr>
                    <w:t>旧村</w:t>
                  </w:r>
                </w:p>
              </w:tc>
              <w:tc>
                <w:tcPr>
                  <w:tcW w:w="1843" w:type="dxa"/>
                  <w:tcBorders>
                    <w:top w:val="nil"/>
                    <w:left w:val="nil"/>
                    <w:bottom w:val="single" w:color="auto" w:sz="4" w:space="0"/>
                    <w:right w:val="single" w:color="auto" w:sz="4" w:space="0"/>
                  </w:tcBorders>
                  <w:vAlign w:val="center"/>
                </w:tcPr>
                <w:p w14:paraId="0FD51CC7">
                  <w:pPr>
                    <w:pStyle w:val="65"/>
                    <w:jc w:val="both"/>
                    <w:rPr>
                      <w:rFonts w:cs="Times New Roman"/>
                      <w:szCs w:val="21"/>
                    </w:rPr>
                  </w:pPr>
                  <w:r>
                    <w:rPr>
                      <w:rFonts w:cs="Times New Roman"/>
                      <w:szCs w:val="21"/>
                    </w:rPr>
                    <w:t>方阵S03南侧154m，距箱变最近距离181m，距改扩建道路约5m</w:t>
                  </w:r>
                </w:p>
              </w:tc>
              <w:tc>
                <w:tcPr>
                  <w:tcW w:w="1559" w:type="dxa"/>
                  <w:tcBorders>
                    <w:top w:val="nil"/>
                    <w:left w:val="nil"/>
                    <w:bottom w:val="single" w:color="auto" w:sz="4" w:space="0"/>
                    <w:right w:val="single" w:color="auto" w:sz="4" w:space="0"/>
                  </w:tcBorders>
                  <w:vAlign w:val="center"/>
                </w:tcPr>
                <w:p w14:paraId="7DBDC0C0">
                  <w:pPr>
                    <w:pStyle w:val="65"/>
                    <w:rPr>
                      <w:rFonts w:cs="Times New Roman"/>
                      <w:szCs w:val="21"/>
                    </w:rPr>
                  </w:pPr>
                  <w:r>
                    <w:rPr>
                      <w:rFonts w:cs="Times New Roman"/>
                      <w:szCs w:val="21"/>
                    </w:rPr>
                    <w:t>100°26′21.175″</w:t>
                  </w:r>
                </w:p>
              </w:tc>
              <w:tc>
                <w:tcPr>
                  <w:tcW w:w="1559" w:type="dxa"/>
                  <w:tcBorders>
                    <w:top w:val="nil"/>
                    <w:left w:val="nil"/>
                    <w:bottom w:val="single" w:color="auto" w:sz="4" w:space="0"/>
                    <w:right w:val="single" w:color="auto" w:sz="4" w:space="0"/>
                  </w:tcBorders>
                  <w:vAlign w:val="center"/>
                </w:tcPr>
                <w:p w14:paraId="73988A5F">
                  <w:pPr>
                    <w:pStyle w:val="65"/>
                    <w:rPr>
                      <w:rFonts w:cs="Times New Roman"/>
                      <w:szCs w:val="21"/>
                    </w:rPr>
                  </w:pPr>
                  <w:r>
                    <w:rPr>
                      <w:rFonts w:cs="Times New Roman"/>
                      <w:szCs w:val="21"/>
                    </w:rPr>
                    <w:t>24°46′44.279″</w:t>
                  </w:r>
                </w:p>
              </w:tc>
              <w:tc>
                <w:tcPr>
                  <w:tcW w:w="960" w:type="dxa"/>
                  <w:tcBorders>
                    <w:top w:val="nil"/>
                    <w:left w:val="nil"/>
                    <w:bottom w:val="single" w:color="auto" w:sz="4" w:space="0"/>
                    <w:right w:val="single" w:color="auto" w:sz="4" w:space="0"/>
                  </w:tcBorders>
                  <w:vAlign w:val="center"/>
                </w:tcPr>
                <w:p w14:paraId="3E014BD5">
                  <w:pPr>
                    <w:pStyle w:val="65"/>
                    <w:rPr>
                      <w:rFonts w:cs="Times New Roman"/>
                      <w:szCs w:val="21"/>
                    </w:rPr>
                  </w:pPr>
                  <w:r>
                    <w:rPr>
                      <w:rFonts w:cs="Times New Roman"/>
                      <w:szCs w:val="21"/>
                    </w:rPr>
                    <w:t>46户161人</w:t>
                  </w:r>
                </w:p>
              </w:tc>
              <w:tc>
                <w:tcPr>
                  <w:tcW w:w="846" w:type="dxa"/>
                  <w:vMerge w:val="restart"/>
                  <w:tcBorders>
                    <w:top w:val="nil"/>
                    <w:left w:val="single" w:color="auto" w:sz="4" w:space="0"/>
                    <w:right w:val="single" w:color="auto" w:sz="4" w:space="0"/>
                  </w:tcBorders>
                  <w:vAlign w:val="center"/>
                </w:tcPr>
                <w:p w14:paraId="52C704D1">
                  <w:pPr>
                    <w:pStyle w:val="65"/>
                    <w:rPr>
                      <w:rFonts w:cs="Times New Roman"/>
                      <w:szCs w:val="21"/>
                    </w:rPr>
                  </w:pPr>
                  <w:r>
                    <w:rPr>
                      <w:rFonts w:cs="Times New Roman"/>
                      <w:szCs w:val="21"/>
                    </w:rPr>
                    <w:t>《环境空气质量标准》（GB 3095-2012）二级标准及修改单</w:t>
                  </w:r>
                </w:p>
              </w:tc>
            </w:tr>
            <w:tr w14:paraId="6B25B9E5">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722F83F7">
                  <w:pPr>
                    <w:pStyle w:val="65"/>
                    <w:rPr>
                      <w:rFonts w:cs="Times New Roman"/>
                      <w:szCs w:val="21"/>
                    </w:rPr>
                  </w:pPr>
                  <w:r>
                    <w:rPr>
                      <w:rFonts w:cs="Times New Roman"/>
                      <w:szCs w:val="21"/>
                    </w:rPr>
                    <w:t>蚂蟥箐</w:t>
                  </w:r>
                </w:p>
              </w:tc>
              <w:tc>
                <w:tcPr>
                  <w:tcW w:w="1843" w:type="dxa"/>
                  <w:tcBorders>
                    <w:top w:val="nil"/>
                    <w:left w:val="nil"/>
                    <w:bottom w:val="single" w:color="auto" w:sz="4" w:space="0"/>
                    <w:right w:val="single" w:color="auto" w:sz="4" w:space="0"/>
                  </w:tcBorders>
                  <w:vAlign w:val="center"/>
                </w:tcPr>
                <w:p w14:paraId="23E69251">
                  <w:pPr>
                    <w:pStyle w:val="65"/>
                    <w:jc w:val="both"/>
                    <w:rPr>
                      <w:rFonts w:cs="Times New Roman"/>
                      <w:szCs w:val="21"/>
                    </w:rPr>
                  </w:pPr>
                  <w:r>
                    <w:rPr>
                      <w:rFonts w:cs="Times New Roman"/>
                      <w:szCs w:val="21"/>
                    </w:rPr>
                    <w:t>方阵S10东侧4米，距箱变最近距离283m，距新建道路约5m</w:t>
                  </w:r>
                </w:p>
              </w:tc>
              <w:tc>
                <w:tcPr>
                  <w:tcW w:w="1559" w:type="dxa"/>
                  <w:tcBorders>
                    <w:top w:val="nil"/>
                    <w:left w:val="nil"/>
                    <w:bottom w:val="single" w:color="auto" w:sz="4" w:space="0"/>
                    <w:right w:val="single" w:color="auto" w:sz="4" w:space="0"/>
                  </w:tcBorders>
                  <w:vAlign w:val="center"/>
                </w:tcPr>
                <w:p w14:paraId="5F88035E">
                  <w:pPr>
                    <w:pStyle w:val="65"/>
                    <w:rPr>
                      <w:rFonts w:cs="Times New Roman"/>
                      <w:szCs w:val="21"/>
                    </w:rPr>
                  </w:pPr>
                  <w:r>
                    <w:rPr>
                      <w:rFonts w:cs="Times New Roman"/>
                      <w:szCs w:val="21"/>
                    </w:rPr>
                    <w:t>100°27′10.193″</w:t>
                  </w:r>
                </w:p>
              </w:tc>
              <w:tc>
                <w:tcPr>
                  <w:tcW w:w="1559" w:type="dxa"/>
                  <w:tcBorders>
                    <w:top w:val="nil"/>
                    <w:left w:val="nil"/>
                    <w:bottom w:val="single" w:color="auto" w:sz="4" w:space="0"/>
                    <w:right w:val="single" w:color="auto" w:sz="4" w:space="0"/>
                  </w:tcBorders>
                  <w:vAlign w:val="center"/>
                </w:tcPr>
                <w:p w14:paraId="7FF61419">
                  <w:pPr>
                    <w:pStyle w:val="65"/>
                    <w:rPr>
                      <w:rFonts w:cs="Times New Roman"/>
                      <w:szCs w:val="21"/>
                    </w:rPr>
                  </w:pPr>
                  <w:r>
                    <w:rPr>
                      <w:rFonts w:cs="Times New Roman"/>
                      <w:szCs w:val="21"/>
                    </w:rPr>
                    <w:t>24°47′3.758″</w:t>
                  </w:r>
                </w:p>
              </w:tc>
              <w:tc>
                <w:tcPr>
                  <w:tcW w:w="960" w:type="dxa"/>
                  <w:tcBorders>
                    <w:top w:val="nil"/>
                    <w:left w:val="nil"/>
                    <w:bottom w:val="single" w:color="auto" w:sz="4" w:space="0"/>
                    <w:right w:val="single" w:color="auto" w:sz="4" w:space="0"/>
                  </w:tcBorders>
                  <w:vAlign w:val="center"/>
                </w:tcPr>
                <w:p w14:paraId="1E6DF2F4">
                  <w:pPr>
                    <w:pStyle w:val="65"/>
                    <w:rPr>
                      <w:rFonts w:cs="Times New Roman"/>
                      <w:szCs w:val="21"/>
                    </w:rPr>
                  </w:pPr>
                  <w:r>
                    <w:rPr>
                      <w:rFonts w:cs="Times New Roman"/>
                      <w:szCs w:val="21"/>
                    </w:rPr>
                    <w:t>90户359人</w:t>
                  </w:r>
                </w:p>
              </w:tc>
              <w:tc>
                <w:tcPr>
                  <w:tcW w:w="846" w:type="dxa"/>
                  <w:vMerge w:val="continue"/>
                  <w:tcBorders>
                    <w:left w:val="single" w:color="auto" w:sz="4" w:space="0"/>
                    <w:right w:val="single" w:color="auto" w:sz="4" w:space="0"/>
                  </w:tcBorders>
                  <w:vAlign w:val="center"/>
                </w:tcPr>
                <w:p w14:paraId="7B0E3575">
                  <w:pPr>
                    <w:pStyle w:val="65"/>
                    <w:rPr>
                      <w:rFonts w:cs="Times New Roman"/>
                      <w:szCs w:val="21"/>
                    </w:rPr>
                  </w:pPr>
                </w:p>
              </w:tc>
            </w:tr>
            <w:tr w14:paraId="04225AAF">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215971B7">
                  <w:pPr>
                    <w:pStyle w:val="65"/>
                    <w:rPr>
                      <w:rFonts w:cs="Times New Roman"/>
                      <w:szCs w:val="21"/>
                    </w:rPr>
                  </w:pPr>
                  <w:r>
                    <w:rPr>
                      <w:rFonts w:cs="Times New Roman"/>
                      <w:szCs w:val="21"/>
                    </w:rPr>
                    <w:t>包茂村</w:t>
                  </w:r>
                </w:p>
              </w:tc>
              <w:tc>
                <w:tcPr>
                  <w:tcW w:w="1843" w:type="dxa"/>
                  <w:tcBorders>
                    <w:top w:val="nil"/>
                    <w:left w:val="nil"/>
                    <w:bottom w:val="single" w:color="auto" w:sz="4" w:space="0"/>
                    <w:right w:val="single" w:color="auto" w:sz="4" w:space="0"/>
                  </w:tcBorders>
                  <w:vAlign w:val="center"/>
                </w:tcPr>
                <w:p w14:paraId="7F6C4621">
                  <w:pPr>
                    <w:pStyle w:val="65"/>
                    <w:jc w:val="both"/>
                    <w:rPr>
                      <w:rFonts w:cs="Times New Roman"/>
                      <w:szCs w:val="21"/>
                    </w:rPr>
                  </w:pPr>
                  <w:r>
                    <w:rPr>
                      <w:rFonts w:cs="Times New Roman"/>
                      <w:szCs w:val="21"/>
                    </w:rPr>
                    <w:t>方阵S12西南侧8米，距箱变最近距离109m，距新建道路约460m</w:t>
                  </w:r>
                </w:p>
              </w:tc>
              <w:tc>
                <w:tcPr>
                  <w:tcW w:w="1559" w:type="dxa"/>
                  <w:tcBorders>
                    <w:top w:val="nil"/>
                    <w:left w:val="nil"/>
                    <w:bottom w:val="single" w:color="auto" w:sz="4" w:space="0"/>
                    <w:right w:val="single" w:color="auto" w:sz="4" w:space="0"/>
                  </w:tcBorders>
                  <w:vAlign w:val="center"/>
                </w:tcPr>
                <w:p w14:paraId="77CB5938">
                  <w:pPr>
                    <w:pStyle w:val="65"/>
                    <w:rPr>
                      <w:rFonts w:cs="Times New Roman"/>
                      <w:szCs w:val="21"/>
                    </w:rPr>
                  </w:pPr>
                  <w:r>
                    <w:rPr>
                      <w:rFonts w:cs="Times New Roman"/>
                      <w:szCs w:val="21"/>
                    </w:rPr>
                    <w:t>100°28′10.687″</w:t>
                  </w:r>
                </w:p>
              </w:tc>
              <w:tc>
                <w:tcPr>
                  <w:tcW w:w="1559" w:type="dxa"/>
                  <w:tcBorders>
                    <w:top w:val="nil"/>
                    <w:left w:val="nil"/>
                    <w:bottom w:val="single" w:color="auto" w:sz="4" w:space="0"/>
                    <w:right w:val="single" w:color="auto" w:sz="4" w:space="0"/>
                  </w:tcBorders>
                  <w:vAlign w:val="center"/>
                </w:tcPr>
                <w:p w14:paraId="4F2AB5A6">
                  <w:pPr>
                    <w:pStyle w:val="65"/>
                    <w:rPr>
                      <w:rFonts w:cs="Times New Roman"/>
                      <w:szCs w:val="21"/>
                    </w:rPr>
                  </w:pPr>
                  <w:r>
                    <w:rPr>
                      <w:rFonts w:cs="Times New Roman"/>
                      <w:szCs w:val="21"/>
                    </w:rPr>
                    <w:t>24°46′6.211″</w:t>
                  </w:r>
                </w:p>
              </w:tc>
              <w:tc>
                <w:tcPr>
                  <w:tcW w:w="960" w:type="dxa"/>
                  <w:tcBorders>
                    <w:top w:val="nil"/>
                    <w:left w:val="nil"/>
                    <w:bottom w:val="single" w:color="auto" w:sz="4" w:space="0"/>
                    <w:right w:val="single" w:color="auto" w:sz="4" w:space="0"/>
                  </w:tcBorders>
                  <w:vAlign w:val="center"/>
                </w:tcPr>
                <w:p w14:paraId="34878855">
                  <w:pPr>
                    <w:pStyle w:val="65"/>
                    <w:rPr>
                      <w:rFonts w:cs="Times New Roman"/>
                      <w:szCs w:val="21"/>
                    </w:rPr>
                  </w:pPr>
                  <w:r>
                    <w:rPr>
                      <w:rFonts w:cs="Times New Roman"/>
                      <w:szCs w:val="21"/>
                    </w:rPr>
                    <w:t>67户268人</w:t>
                  </w:r>
                </w:p>
              </w:tc>
              <w:tc>
                <w:tcPr>
                  <w:tcW w:w="846" w:type="dxa"/>
                  <w:vMerge w:val="continue"/>
                  <w:tcBorders>
                    <w:left w:val="single" w:color="auto" w:sz="4" w:space="0"/>
                    <w:right w:val="single" w:color="auto" w:sz="4" w:space="0"/>
                  </w:tcBorders>
                  <w:vAlign w:val="center"/>
                </w:tcPr>
                <w:p w14:paraId="4E85F55A">
                  <w:pPr>
                    <w:pStyle w:val="65"/>
                    <w:rPr>
                      <w:rFonts w:cs="Times New Roman"/>
                      <w:szCs w:val="21"/>
                    </w:rPr>
                  </w:pPr>
                </w:p>
              </w:tc>
            </w:tr>
            <w:tr w14:paraId="0E4ADDB9">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34FDAF03">
                  <w:pPr>
                    <w:pStyle w:val="65"/>
                    <w:rPr>
                      <w:rFonts w:cs="Times New Roman"/>
                      <w:szCs w:val="21"/>
                    </w:rPr>
                  </w:pPr>
                  <w:r>
                    <w:rPr>
                      <w:rFonts w:cs="Times New Roman"/>
                      <w:szCs w:val="21"/>
                    </w:rPr>
                    <w:t>包茂村散户</w:t>
                  </w:r>
                </w:p>
              </w:tc>
              <w:tc>
                <w:tcPr>
                  <w:tcW w:w="1843" w:type="dxa"/>
                  <w:tcBorders>
                    <w:top w:val="nil"/>
                    <w:left w:val="nil"/>
                    <w:bottom w:val="single" w:color="auto" w:sz="4" w:space="0"/>
                    <w:right w:val="single" w:color="auto" w:sz="4" w:space="0"/>
                  </w:tcBorders>
                  <w:vAlign w:val="center"/>
                </w:tcPr>
                <w:p w14:paraId="032FCBDA">
                  <w:pPr>
                    <w:pStyle w:val="65"/>
                    <w:jc w:val="both"/>
                    <w:rPr>
                      <w:rFonts w:cs="Times New Roman"/>
                      <w:szCs w:val="21"/>
                    </w:rPr>
                  </w:pPr>
                  <w:r>
                    <w:rPr>
                      <w:rFonts w:cs="Times New Roman"/>
                      <w:szCs w:val="21"/>
                    </w:rPr>
                    <w:t>方阵S16中间，最近距离4米，距箱变最近距离89m，距改建道路约163m</w:t>
                  </w:r>
                </w:p>
              </w:tc>
              <w:tc>
                <w:tcPr>
                  <w:tcW w:w="1559" w:type="dxa"/>
                  <w:tcBorders>
                    <w:top w:val="nil"/>
                    <w:left w:val="nil"/>
                    <w:bottom w:val="single" w:color="auto" w:sz="4" w:space="0"/>
                    <w:right w:val="single" w:color="auto" w:sz="4" w:space="0"/>
                  </w:tcBorders>
                  <w:vAlign w:val="center"/>
                </w:tcPr>
                <w:p w14:paraId="5BAC21CA">
                  <w:pPr>
                    <w:pStyle w:val="65"/>
                    <w:rPr>
                      <w:rFonts w:cs="Times New Roman"/>
                      <w:szCs w:val="21"/>
                    </w:rPr>
                  </w:pPr>
                  <w:r>
                    <w:rPr>
                      <w:rFonts w:cs="Times New Roman"/>
                      <w:szCs w:val="21"/>
                    </w:rPr>
                    <w:t>100°28′43.344″</w:t>
                  </w:r>
                </w:p>
              </w:tc>
              <w:tc>
                <w:tcPr>
                  <w:tcW w:w="1559" w:type="dxa"/>
                  <w:tcBorders>
                    <w:top w:val="nil"/>
                    <w:left w:val="nil"/>
                    <w:bottom w:val="single" w:color="auto" w:sz="4" w:space="0"/>
                    <w:right w:val="single" w:color="auto" w:sz="4" w:space="0"/>
                  </w:tcBorders>
                  <w:vAlign w:val="center"/>
                </w:tcPr>
                <w:p w14:paraId="75993A0B">
                  <w:pPr>
                    <w:pStyle w:val="65"/>
                    <w:rPr>
                      <w:rFonts w:cs="Times New Roman"/>
                      <w:szCs w:val="21"/>
                    </w:rPr>
                  </w:pPr>
                  <w:r>
                    <w:rPr>
                      <w:rFonts w:cs="Times New Roman"/>
                      <w:szCs w:val="21"/>
                    </w:rPr>
                    <w:t>24°46′19.809″</w:t>
                  </w:r>
                </w:p>
              </w:tc>
              <w:tc>
                <w:tcPr>
                  <w:tcW w:w="960" w:type="dxa"/>
                  <w:tcBorders>
                    <w:top w:val="nil"/>
                    <w:left w:val="nil"/>
                    <w:bottom w:val="single" w:color="auto" w:sz="4" w:space="0"/>
                    <w:right w:val="single" w:color="auto" w:sz="4" w:space="0"/>
                  </w:tcBorders>
                  <w:noWrap/>
                  <w:vAlign w:val="center"/>
                </w:tcPr>
                <w:p w14:paraId="1254ABEA">
                  <w:pPr>
                    <w:pStyle w:val="65"/>
                    <w:rPr>
                      <w:rFonts w:cs="Times New Roman"/>
                      <w:szCs w:val="21"/>
                    </w:rPr>
                  </w:pPr>
                  <w:r>
                    <w:rPr>
                      <w:rFonts w:cs="Times New Roman"/>
                      <w:szCs w:val="21"/>
                    </w:rPr>
                    <w:t>1户5人</w:t>
                  </w:r>
                </w:p>
              </w:tc>
              <w:tc>
                <w:tcPr>
                  <w:tcW w:w="846" w:type="dxa"/>
                  <w:vMerge w:val="continue"/>
                  <w:tcBorders>
                    <w:left w:val="single" w:color="auto" w:sz="4" w:space="0"/>
                    <w:right w:val="single" w:color="auto" w:sz="4" w:space="0"/>
                  </w:tcBorders>
                  <w:vAlign w:val="center"/>
                </w:tcPr>
                <w:p w14:paraId="5553E37C">
                  <w:pPr>
                    <w:pStyle w:val="65"/>
                    <w:rPr>
                      <w:rFonts w:cs="Times New Roman"/>
                      <w:szCs w:val="21"/>
                    </w:rPr>
                  </w:pPr>
                </w:p>
              </w:tc>
            </w:tr>
            <w:tr w14:paraId="79D97568">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6928B53B">
                  <w:pPr>
                    <w:pStyle w:val="65"/>
                    <w:rPr>
                      <w:rFonts w:cs="Times New Roman"/>
                      <w:szCs w:val="21"/>
                    </w:rPr>
                  </w:pPr>
                  <w:r>
                    <w:rPr>
                      <w:rFonts w:cs="Times New Roman"/>
                      <w:szCs w:val="21"/>
                    </w:rPr>
                    <w:t>大歇场</w:t>
                  </w:r>
                </w:p>
              </w:tc>
              <w:tc>
                <w:tcPr>
                  <w:tcW w:w="1843" w:type="dxa"/>
                  <w:tcBorders>
                    <w:top w:val="nil"/>
                    <w:left w:val="nil"/>
                    <w:bottom w:val="single" w:color="auto" w:sz="4" w:space="0"/>
                    <w:right w:val="single" w:color="auto" w:sz="4" w:space="0"/>
                  </w:tcBorders>
                  <w:vAlign w:val="center"/>
                </w:tcPr>
                <w:p w14:paraId="59BD8D05">
                  <w:pPr>
                    <w:pStyle w:val="65"/>
                    <w:jc w:val="both"/>
                    <w:rPr>
                      <w:rFonts w:cs="Times New Roman"/>
                      <w:szCs w:val="21"/>
                    </w:rPr>
                  </w:pPr>
                  <w:r>
                    <w:rPr>
                      <w:rFonts w:cs="Times New Roman"/>
                      <w:szCs w:val="21"/>
                    </w:rPr>
                    <w:t>方阵S17西侧4米，距箱变最近距离26m，距改建道路约382m</w:t>
                  </w:r>
                </w:p>
              </w:tc>
              <w:tc>
                <w:tcPr>
                  <w:tcW w:w="1559" w:type="dxa"/>
                  <w:tcBorders>
                    <w:top w:val="nil"/>
                    <w:left w:val="nil"/>
                    <w:bottom w:val="single" w:color="auto" w:sz="4" w:space="0"/>
                    <w:right w:val="single" w:color="auto" w:sz="4" w:space="0"/>
                  </w:tcBorders>
                  <w:vAlign w:val="center"/>
                </w:tcPr>
                <w:p w14:paraId="57D7EAEE">
                  <w:pPr>
                    <w:pStyle w:val="65"/>
                    <w:rPr>
                      <w:rFonts w:cs="Times New Roman"/>
                      <w:szCs w:val="21"/>
                    </w:rPr>
                  </w:pPr>
                  <w:r>
                    <w:rPr>
                      <w:rFonts w:cs="Times New Roman"/>
                      <w:szCs w:val="21"/>
                    </w:rPr>
                    <w:t>100°29′3.877″</w:t>
                  </w:r>
                </w:p>
              </w:tc>
              <w:tc>
                <w:tcPr>
                  <w:tcW w:w="1559" w:type="dxa"/>
                  <w:tcBorders>
                    <w:top w:val="nil"/>
                    <w:left w:val="nil"/>
                    <w:bottom w:val="single" w:color="auto" w:sz="4" w:space="0"/>
                    <w:right w:val="single" w:color="auto" w:sz="4" w:space="0"/>
                  </w:tcBorders>
                  <w:vAlign w:val="center"/>
                </w:tcPr>
                <w:p w14:paraId="115C9ECE">
                  <w:pPr>
                    <w:pStyle w:val="65"/>
                    <w:rPr>
                      <w:rFonts w:cs="Times New Roman"/>
                      <w:szCs w:val="21"/>
                    </w:rPr>
                  </w:pPr>
                  <w:r>
                    <w:rPr>
                      <w:rFonts w:cs="Times New Roman"/>
                      <w:szCs w:val="21"/>
                    </w:rPr>
                    <w:t>24°46′14.514″</w:t>
                  </w:r>
                </w:p>
              </w:tc>
              <w:tc>
                <w:tcPr>
                  <w:tcW w:w="960" w:type="dxa"/>
                  <w:tcBorders>
                    <w:top w:val="nil"/>
                    <w:left w:val="nil"/>
                    <w:bottom w:val="single" w:color="auto" w:sz="4" w:space="0"/>
                    <w:right w:val="single" w:color="auto" w:sz="4" w:space="0"/>
                  </w:tcBorders>
                  <w:noWrap/>
                  <w:vAlign w:val="center"/>
                </w:tcPr>
                <w:p w14:paraId="2944FF5B">
                  <w:pPr>
                    <w:pStyle w:val="65"/>
                    <w:rPr>
                      <w:rFonts w:cs="Times New Roman"/>
                      <w:szCs w:val="21"/>
                    </w:rPr>
                  </w:pPr>
                  <w:r>
                    <w:rPr>
                      <w:rFonts w:cs="Times New Roman"/>
                      <w:szCs w:val="21"/>
                    </w:rPr>
                    <w:t>60户253人</w:t>
                  </w:r>
                </w:p>
              </w:tc>
              <w:tc>
                <w:tcPr>
                  <w:tcW w:w="846" w:type="dxa"/>
                  <w:vMerge w:val="continue"/>
                  <w:tcBorders>
                    <w:left w:val="single" w:color="auto" w:sz="4" w:space="0"/>
                    <w:right w:val="single" w:color="auto" w:sz="4" w:space="0"/>
                  </w:tcBorders>
                  <w:vAlign w:val="center"/>
                </w:tcPr>
                <w:p w14:paraId="57051A94">
                  <w:pPr>
                    <w:pStyle w:val="65"/>
                    <w:rPr>
                      <w:rFonts w:cs="Times New Roman"/>
                      <w:szCs w:val="21"/>
                    </w:rPr>
                  </w:pPr>
                </w:p>
              </w:tc>
            </w:tr>
            <w:tr w14:paraId="3B2CAE3E">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267A0839">
                  <w:pPr>
                    <w:pStyle w:val="65"/>
                    <w:rPr>
                      <w:rFonts w:cs="Times New Roman"/>
                      <w:szCs w:val="21"/>
                    </w:rPr>
                  </w:pPr>
                  <w:r>
                    <w:rPr>
                      <w:rFonts w:cs="Times New Roman"/>
                      <w:szCs w:val="21"/>
                    </w:rPr>
                    <w:t>下柏枝</w:t>
                  </w:r>
                </w:p>
              </w:tc>
              <w:tc>
                <w:tcPr>
                  <w:tcW w:w="1843" w:type="dxa"/>
                  <w:tcBorders>
                    <w:top w:val="nil"/>
                    <w:left w:val="nil"/>
                    <w:bottom w:val="single" w:color="auto" w:sz="4" w:space="0"/>
                    <w:right w:val="single" w:color="auto" w:sz="4" w:space="0"/>
                  </w:tcBorders>
                  <w:vAlign w:val="center"/>
                </w:tcPr>
                <w:p w14:paraId="329A4CD9">
                  <w:pPr>
                    <w:pStyle w:val="65"/>
                    <w:jc w:val="both"/>
                    <w:rPr>
                      <w:rFonts w:cs="Times New Roman"/>
                      <w:szCs w:val="21"/>
                    </w:rPr>
                  </w:pPr>
                  <w:r>
                    <w:rPr>
                      <w:rFonts w:cs="Times New Roman"/>
                      <w:szCs w:val="21"/>
                    </w:rPr>
                    <w:t>方阵S19北侧170米，距箱变最近距离408m，距新建道路约338m</w:t>
                  </w:r>
                </w:p>
              </w:tc>
              <w:tc>
                <w:tcPr>
                  <w:tcW w:w="1559" w:type="dxa"/>
                  <w:tcBorders>
                    <w:top w:val="nil"/>
                    <w:left w:val="nil"/>
                    <w:bottom w:val="single" w:color="auto" w:sz="4" w:space="0"/>
                    <w:right w:val="single" w:color="auto" w:sz="4" w:space="0"/>
                  </w:tcBorders>
                  <w:vAlign w:val="center"/>
                </w:tcPr>
                <w:p w14:paraId="6482E803">
                  <w:pPr>
                    <w:pStyle w:val="65"/>
                    <w:rPr>
                      <w:rFonts w:cs="Times New Roman"/>
                      <w:szCs w:val="21"/>
                    </w:rPr>
                  </w:pPr>
                  <w:r>
                    <w:rPr>
                      <w:rFonts w:cs="Times New Roman"/>
                      <w:szCs w:val="21"/>
                    </w:rPr>
                    <w:t>100°26′27.359″</w:t>
                  </w:r>
                </w:p>
              </w:tc>
              <w:tc>
                <w:tcPr>
                  <w:tcW w:w="1559" w:type="dxa"/>
                  <w:tcBorders>
                    <w:top w:val="nil"/>
                    <w:left w:val="nil"/>
                    <w:bottom w:val="single" w:color="auto" w:sz="4" w:space="0"/>
                    <w:right w:val="single" w:color="auto" w:sz="4" w:space="0"/>
                  </w:tcBorders>
                  <w:vAlign w:val="center"/>
                </w:tcPr>
                <w:p w14:paraId="0D0BAA5D">
                  <w:pPr>
                    <w:pStyle w:val="65"/>
                    <w:rPr>
                      <w:rFonts w:cs="Times New Roman"/>
                      <w:szCs w:val="21"/>
                    </w:rPr>
                  </w:pPr>
                  <w:r>
                    <w:rPr>
                      <w:rFonts w:cs="Times New Roman"/>
                      <w:szCs w:val="21"/>
                    </w:rPr>
                    <w:t>24°45′23.795″</w:t>
                  </w:r>
                </w:p>
              </w:tc>
              <w:tc>
                <w:tcPr>
                  <w:tcW w:w="960" w:type="dxa"/>
                  <w:tcBorders>
                    <w:top w:val="nil"/>
                    <w:left w:val="nil"/>
                    <w:bottom w:val="single" w:color="auto" w:sz="4" w:space="0"/>
                    <w:right w:val="single" w:color="auto" w:sz="4" w:space="0"/>
                  </w:tcBorders>
                  <w:vAlign w:val="center"/>
                </w:tcPr>
                <w:p w14:paraId="13935B26">
                  <w:pPr>
                    <w:pStyle w:val="65"/>
                    <w:rPr>
                      <w:rFonts w:cs="Times New Roman"/>
                      <w:szCs w:val="21"/>
                    </w:rPr>
                  </w:pPr>
                  <w:r>
                    <w:rPr>
                      <w:rFonts w:cs="Times New Roman"/>
                      <w:szCs w:val="21"/>
                    </w:rPr>
                    <w:t>4户17人</w:t>
                  </w:r>
                </w:p>
              </w:tc>
              <w:tc>
                <w:tcPr>
                  <w:tcW w:w="846" w:type="dxa"/>
                  <w:vMerge w:val="continue"/>
                  <w:tcBorders>
                    <w:left w:val="single" w:color="auto" w:sz="4" w:space="0"/>
                    <w:right w:val="single" w:color="auto" w:sz="4" w:space="0"/>
                  </w:tcBorders>
                  <w:vAlign w:val="center"/>
                </w:tcPr>
                <w:p w14:paraId="171C7E79">
                  <w:pPr>
                    <w:pStyle w:val="65"/>
                    <w:rPr>
                      <w:rFonts w:cs="Times New Roman"/>
                      <w:szCs w:val="21"/>
                    </w:rPr>
                  </w:pPr>
                </w:p>
              </w:tc>
            </w:tr>
            <w:tr w14:paraId="12C0CA28">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3C254289">
                  <w:pPr>
                    <w:pStyle w:val="65"/>
                    <w:rPr>
                      <w:rFonts w:cs="Times New Roman"/>
                      <w:szCs w:val="21"/>
                    </w:rPr>
                  </w:pPr>
                  <w:r>
                    <w:rPr>
                      <w:rFonts w:cs="Times New Roman"/>
                      <w:szCs w:val="21"/>
                    </w:rPr>
                    <w:t>大平掌</w:t>
                  </w:r>
                </w:p>
              </w:tc>
              <w:tc>
                <w:tcPr>
                  <w:tcW w:w="1843" w:type="dxa"/>
                  <w:tcBorders>
                    <w:top w:val="nil"/>
                    <w:left w:val="nil"/>
                    <w:bottom w:val="single" w:color="auto" w:sz="4" w:space="0"/>
                    <w:right w:val="single" w:color="auto" w:sz="4" w:space="0"/>
                  </w:tcBorders>
                  <w:vAlign w:val="center"/>
                </w:tcPr>
                <w:p w14:paraId="7C765C94">
                  <w:pPr>
                    <w:pStyle w:val="65"/>
                    <w:jc w:val="both"/>
                    <w:rPr>
                      <w:rFonts w:cs="Times New Roman"/>
                      <w:szCs w:val="21"/>
                    </w:rPr>
                  </w:pPr>
                  <w:r>
                    <w:rPr>
                      <w:rFonts w:cs="Times New Roman"/>
                      <w:szCs w:val="21"/>
                    </w:rPr>
                    <w:t>方阵S22东侧52米，距箱变最近距离164m，距新建道路紧邻</w:t>
                  </w:r>
                </w:p>
              </w:tc>
              <w:tc>
                <w:tcPr>
                  <w:tcW w:w="1559" w:type="dxa"/>
                  <w:tcBorders>
                    <w:top w:val="nil"/>
                    <w:left w:val="nil"/>
                    <w:bottom w:val="single" w:color="auto" w:sz="4" w:space="0"/>
                    <w:right w:val="single" w:color="auto" w:sz="4" w:space="0"/>
                  </w:tcBorders>
                  <w:vAlign w:val="center"/>
                </w:tcPr>
                <w:p w14:paraId="63CA9FA9">
                  <w:pPr>
                    <w:pStyle w:val="65"/>
                    <w:rPr>
                      <w:rFonts w:cs="Times New Roman"/>
                      <w:szCs w:val="21"/>
                    </w:rPr>
                  </w:pPr>
                  <w:r>
                    <w:rPr>
                      <w:rFonts w:cs="Times New Roman"/>
                      <w:szCs w:val="21"/>
                    </w:rPr>
                    <w:t>100°26′42.876″</w:t>
                  </w:r>
                </w:p>
              </w:tc>
              <w:tc>
                <w:tcPr>
                  <w:tcW w:w="1559" w:type="dxa"/>
                  <w:tcBorders>
                    <w:top w:val="nil"/>
                    <w:left w:val="nil"/>
                    <w:bottom w:val="single" w:color="auto" w:sz="4" w:space="0"/>
                    <w:right w:val="single" w:color="auto" w:sz="4" w:space="0"/>
                  </w:tcBorders>
                  <w:vAlign w:val="center"/>
                </w:tcPr>
                <w:p w14:paraId="6F5C0702">
                  <w:pPr>
                    <w:pStyle w:val="65"/>
                    <w:rPr>
                      <w:rFonts w:cs="Times New Roman"/>
                      <w:szCs w:val="21"/>
                    </w:rPr>
                  </w:pPr>
                  <w:r>
                    <w:rPr>
                      <w:rFonts w:cs="Times New Roman"/>
                      <w:szCs w:val="21"/>
                    </w:rPr>
                    <w:t>24°45′5.473″</w:t>
                  </w:r>
                </w:p>
              </w:tc>
              <w:tc>
                <w:tcPr>
                  <w:tcW w:w="960" w:type="dxa"/>
                  <w:tcBorders>
                    <w:top w:val="nil"/>
                    <w:left w:val="nil"/>
                    <w:bottom w:val="single" w:color="auto" w:sz="4" w:space="0"/>
                    <w:right w:val="single" w:color="auto" w:sz="4" w:space="0"/>
                  </w:tcBorders>
                  <w:vAlign w:val="center"/>
                </w:tcPr>
                <w:p w14:paraId="3885D828">
                  <w:pPr>
                    <w:pStyle w:val="65"/>
                    <w:rPr>
                      <w:rFonts w:cs="Times New Roman"/>
                      <w:szCs w:val="21"/>
                    </w:rPr>
                  </w:pPr>
                  <w:r>
                    <w:rPr>
                      <w:rFonts w:cs="Times New Roman"/>
                      <w:szCs w:val="21"/>
                    </w:rPr>
                    <w:t>37户152人</w:t>
                  </w:r>
                </w:p>
              </w:tc>
              <w:tc>
                <w:tcPr>
                  <w:tcW w:w="846" w:type="dxa"/>
                  <w:vMerge w:val="continue"/>
                  <w:tcBorders>
                    <w:left w:val="single" w:color="auto" w:sz="4" w:space="0"/>
                    <w:right w:val="single" w:color="auto" w:sz="4" w:space="0"/>
                  </w:tcBorders>
                  <w:vAlign w:val="center"/>
                </w:tcPr>
                <w:p w14:paraId="01C236E6">
                  <w:pPr>
                    <w:pStyle w:val="65"/>
                    <w:rPr>
                      <w:rFonts w:cs="Times New Roman"/>
                      <w:szCs w:val="21"/>
                    </w:rPr>
                  </w:pPr>
                </w:p>
              </w:tc>
            </w:tr>
            <w:tr w14:paraId="6CF02197">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091827A5">
                  <w:pPr>
                    <w:pStyle w:val="65"/>
                    <w:rPr>
                      <w:rFonts w:cs="Times New Roman"/>
                      <w:szCs w:val="21"/>
                    </w:rPr>
                  </w:pPr>
                  <w:r>
                    <w:rPr>
                      <w:rFonts w:cs="Times New Roman"/>
                      <w:szCs w:val="21"/>
                    </w:rPr>
                    <w:t>上夺么</w:t>
                  </w:r>
                </w:p>
              </w:tc>
              <w:tc>
                <w:tcPr>
                  <w:tcW w:w="1843" w:type="dxa"/>
                  <w:tcBorders>
                    <w:top w:val="nil"/>
                    <w:left w:val="nil"/>
                    <w:bottom w:val="single" w:color="auto" w:sz="4" w:space="0"/>
                    <w:right w:val="single" w:color="auto" w:sz="4" w:space="0"/>
                  </w:tcBorders>
                  <w:vAlign w:val="center"/>
                </w:tcPr>
                <w:p w14:paraId="7EB59784">
                  <w:pPr>
                    <w:pStyle w:val="65"/>
                    <w:jc w:val="both"/>
                    <w:rPr>
                      <w:rFonts w:cs="Times New Roman"/>
                      <w:szCs w:val="21"/>
                    </w:rPr>
                  </w:pPr>
                  <w:r>
                    <w:rPr>
                      <w:rFonts w:cs="Times New Roman"/>
                      <w:szCs w:val="21"/>
                    </w:rPr>
                    <w:t>方阵S02东侧40米，距新建道路约430m</w:t>
                  </w:r>
                </w:p>
              </w:tc>
              <w:tc>
                <w:tcPr>
                  <w:tcW w:w="1559" w:type="dxa"/>
                  <w:tcBorders>
                    <w:top w:val="nil"/>
                    <w:left w:val="nil"/>
                    <w:bottom w:val="single" w:color="auto" w:sz="4" w:space="0"/>
                    <w:right w:val="single" w:color="auto" w:sz="4" w:space="0"/>
                  </w:tcBorders>
                  <w:vAlign w:val="center"/>
                </w:tcPr>
                <w:p w14:paraId="17829419">
                  <w:pPr>
                    <w:pStyle w:val="65"/>
                    <w:rPr>
                      <w:rFonts w:cs="Times New Roman"/>
                      <w:szCs w:val="21"/>
                    </w:rPr>
                  </w:pPr>
                  <w:r>
                    <w:rPr>
                      <w:rFonts w:cs="Times New Roman"/>
                      <w:szCs w:val="21"/>
                    </w:rPr>
                    <w:t>100°29′14.368″</w:t>
                  </w:r>
                </w:p>
              </w:tc>
              <w:tc>
                <w:tcPr>
                  <w:tcW w:w="1559" w:type="dxa"/>
                  <w:tcBorders>
                    <w:top w:val="nil"/>
                    <w:left w:val="nil"/>
                    <w:bottom w:val="single" w:color="auto" w:sz="4" w:space="0"/>
                    <w:right w:val="single" w:color="auto" w:sz="4" w:space="0"/>
                  </w:tcBorders>
                  <w:vAlign w:val="center"/>
                </w:tcPr>
                <w:p w14:paraId="0778415A">
                  <w:pPr>
                    <w:pStyle w:val="65"/>
                    <w:rPr>
                      <w:rFonts w:cs="Times New Roman"/>
                      <w:szCs w:val="21"/>
                    </w:rPr>
                  </w:pPr>
                  <w:r>
                    <w:rPr>
                      <w:rFonts w:cs="Times New Roman"/>
                      <w:szCs w:val="21"/>
                    </w:rPr>
                    <w:t>24°45′4.263″</w:t>
                  </w:r>
                </w:p>
              </w:tc>
              <w:tc>
                <w:tcPr>
                  <w:tcW w:w="960" w:type="dxa"/>
                  <w:tcBorders>
                    <w:top w:val="nil"/>
                    <w:left w:val="nil"/>
                    <w:bottom w:val="single" w:color="auto" w:sz="4" w:space="0"/>
                    <w:right w:val="single" w:color="auto" w:sz="4" w:space="0"/>
                  </w:tcBorders>
                  <w:noWrap/>
                  <w:vAlign w:val="center"/>
                </w:tcPr>
                <w:p w14:paraId="2B6FCB00">
                  <w:pPr>
                    <w:pStyle w:val="65"/>
                    <w:rPr>
                      <w:rFonts w:cs="Times New Roman"/>
                      <w:szCs w:val="21"/>
                    </w:rPr>
                  </w:pPr>
                  <w:r>
                    <w:rPr>
                      <w:rFonts w:cs="Times New Roman"/>
                      <w:szCs w:val="21"/>
                    </w:rPr>
                    <w:t>36户148人</w:t>
                  </w:r>
                </w:p>
              </w:tc>
              <w:tc>
                <w:tcPr>
                  <w:tcW w:w="846" w:type="dxa"/>
                  <w:vMerge w:val="continue"/>
                  <w:tcBorders>
                    <w:left w:val="single" w:color="auto" w:sz="4" w:space="0"/>
                    <w:right w:val="single" w:color="auto" w:sz="4" w:space="0"/>
                  </w:tcBorders>
                  <w:vAlign w:val="center"/>
                </w:tcPr>
                <w:p w14:paraId="7ACB8667">
                  <w:pPr>
                    <w:pStyle w:val="65"/>
                    <w:rPr>
                      <w:rFonts w:cs="Times New Roman"/>
                      <w:szCs w:val="21"/>
                    </w:rPr>
                  </w:pPr>
                </w:p>
              </w:tc>
            </w:tr>
            <w:tr w14:paraId="7BEBBC47">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53458794">
                  <w:pPr>
                    <w:pStyle w:val="65"/>
                    <w:rPr>
                      <w:rFonts w:cs="Times New Roman"/>
                      <w:szCs w:val="21"/>
                    </w:rPr>
                  </w:pPr>
                  <w:r>
                    <w:rPr>
                      <w:rFonts w:cs="Times New Roman"/>
                      <w:szCs w:val="21"/>
                    </w:rPr>
                    <w:t>下朵么</w:t>
                  </w:r>
                </w:p>
              </w:tc>
              <w:tc>
                <w:tcPr>
                  <w:tcW w:w="1843" w:type="dxa"/>
                  <w:tcBorders>
                    <w:top w:val="nil"/>
                    <w:left w:val="nil"/>
                    <w:bottom w:val="single" w:color="auto" w:sz="4" w:space="0"/>
                    <w:right w:val="single" w:color="auto" w:sz="4" w:space="0"/>
                  </w:tcBorders>
                  <w:vAlign w:val="center"/>
                </w:tcPr>
                <w:p w14:paraId="2D6F1DFF">
                  <w:pPr>
                    <w:pStyle w:val="65"/>
                    <w:jc w:val="both"/>
                    <w:rPr>
                      <w:rFonts w:cs="Times New Roman"/>
                      <w:szCs w:val="21"/>
                    </w:rPr>
                  </w:pPr>
                  <w:r>
                    <w:rPr>
                      <w:rFonts w:cs="Times New Roman"/>
                      <w:szCs w:val="21"/>
                    </w:rPr>
                    <w:t>方阵S02南侧163米，距箱变最近距离168m，距新建道路约304m</w:t>
                  </w:r>
                </w:p>
              </w:tc>
              <w:tc>
                <w:tcPr>
                  <w:tcW w:w="1559" w:type="dxa"/>
                  <w:tcBorders>
                    <w:top w:val="nil"/>
                    <w:left w:val="nil"/>
                    <w:bottom w:val="single" w:color="auto" w:sz="4" w:space="0"/>
                    <w:right w:val="single" w:color="auto" w:sz="4" w:space="0"/>
                  </w:tcBorders>
                  <w:vAlign w:val="center"/>
                </w:tcPr>
                <w:p w14:paraId="1ADE8253">
                  <w:pPr>
                    <w:pStyle w:val="65"/>
                    <w:rPr>
                      <w:rFonts w:cs="Times New Roman"/>
                      <w:szCs w:val="21"/>
                    </w:rPr>
                  </w:pPr>
                  <w:r>
                    <w:rPr>
                      <w:rFonts w:cs="Times New Roman"/>
                      <w:szCs w:val="21"/>
                    </w:rPr>
                    <w:t>100°29′1.009″</w:t>
                  </w:r>
                </w:p>
              </w:tc>
              <w:tc>
                <w:tcPr>
                  <w:tcW w:w="1559" w:type="dxa"/>
                  <w:tcBorders>
                    <w:top w:val="nil"/>
                    <w:left w:val="nil"/>
                    <w:bottom w:val="single" w:color="auto" w:sz="4" w:space="0"/>
                    <w:right w:val="single" w:color="auto" w:sz="4" w:space="0"/>
                  </w:tcBorders>
                  <w:vAlign w:val="center"/>
                </w:tcPr>
                <w:p w14:paraId="653A76F4">
                  <w:pPr>
                    <w:pStyle w:val="65"/>
                    <w:rPr>
                      <w:rFonts w:cs="Times New Roman"/>
                      <w:szCs w:val="21"/>
                    </w:rPr>
                  </w:pPr>
                  <w:r>
                    <w:rPr>
                      <w:rFonts w:cs="Times New Roman"/>
                      <w:szCs w:val="21"/>
                    </w:rPr>
                    <w:t>24°44′56.840″</w:t>
                  </w:r>
                </w:p>
              </w:tc>
              <w:tc>
                <w:tcPr>
                  <w:tcW w:w="960" w:type="dxa"/>
                  <w:tcBorders>
                    <w:top w:val="nil"/>
                    <w:left w:val="nil"/>
                    <w:bottom w:val="single" w:color="auto" w:sz="4" w:space="0"/>
                    <w:right w:val="single" w:color="auto" w:sz="4" w:space="0"/>
                  </w:tcBorders>
                  <w:noWrap/>
                  <w:vAlign w:val="center"/>
                </w:tcPr>
                <w:p w14:paraId="0EF24F74">
                  <w:pPr>
                    <w:pStyle w:val="65"/>
                    <w:rPr>
                      <w:rFonts w:cs="Times New Roman"/>
                      <w:szCs w:val="21"/>
                    </w:rPr>
                  </w:pPr>
                  <w:r>
                    <w:rPr>
                      <w:rFonts w:cs="Times New Roman"/>
                      <w:szCs w:val="21"/>
                    </w:rPr>
                    <w:t>17户77人</w:t>
                  </w:r>
                </w:p>
              </w:tc>
              <w:tc>
                <w:tcPr>
                  <w:tcW w:w="846" w:type="dxa"/>
                  <w:vMerge w:val="continue"/>
                  <w:tcBorders>
                    <w:left w:val="single" w:color="auto" w:sz="4" w:space="0"/>
                    <w:right w:val="single" w:color="auto" w:sz="4" w:space="0"/>
                  </w:tcBorders>
                  <w:vAlign w:val="center"/>
                </w:tcPr>
                <w:p w14:paraId="00DEBC55">
                  <w:pPr>
                    <w:pStyle w:val="65"/>
                    <w:rPr>
                      <w:rFonts w:cs="Times New Roman"/>
                      <w:szCs w:val="21"/>
                    </w:rPr>
                  </w:pPr>
                </w:p>
              </w:tc>
            </w:tr>
            <w:tr w14:paraId="7D07F555">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1DA2E0DD">
                  <w:pPr>
                    <w:pStyle w:val="65"/>
                    <w:rPr>
                      <w:rFonts w:cs="Times New Roman"/>
                      <w:szCs w:val="21"/>
                    </w:rPr>
                  </w:pPr>
                  <w:r>
                    <w:rPr>
                      <w:rFonts w:cs="Times New Roman"/>
                      <w:szCs w:val="21"/>
                    </w:rPr>
                    <w:t>安召</w:t>
                  </w:r>
                </w:p>
              </w:tc>
              <w:tc>
                <w:tcPr>
                  <w:tcW w:w="1843" w:type="dxa"/>
                  <w:tcBorders>
                    <w:top w:val="nil"/>
                    <w:left w:val="nil"/>
                    <w:bottom w:val="single" w:color="auto" w:sz="4" w:space="0"/>
                    <w:right w:val="single" w:color="auto" w:sz="4" w:space="0"/>
                  </w:tcBorders>
                  <w:vAlign w:val="center"/>
                </w:tcPr>
                <w:p w14:paraId="0C99410D">
                  <w:pPr>
                    <w:pStyle w:val="65"/>
                    <w:jc w:val="both"/>
                    <w:rPr>
                      <w:rFonts w:cs="Times New Roman"/>
                      <w:szCs w:val="21"/>
                    </w:rPr>
                  </w:pPr>
                  <w:r>
                    <w:rPr>
                      <w:rFonts w:cs="Times New Roman"/>
                      <w:szCs w:val="21"/>
                    </w:rPr>
                    <w:t>方阵S11东侧10米，距箱变最近距离246m，距改扩建道路约366m</w:t>
                  </w:r>
                </w:p>
              </w:tc>
              <w:tc>
                <w:tcPr>
                  <w:tcW w:w="1559" w:type="dxa"/>
                  <w:tcBorders>
                    <w:top w:val="nil"/>
                    <w:left w:val="nil"/>
                    <w:bottom w:val="single" w:color="auto" w:sz="4" w:space="0"/>
                    <w:right w:val="single" w:color="auto" w:sz="4" w:space="0"/>
                  </w:tcBorders>
                  <w:vAlign w:val="center"/>
                </w:tcPr>
                <w:p w14:paraId="6E613D20">
                  <w:pPr>
                    <w:pStyle w:val="65"/>
                    <w:rPr>
                      <w:rFonts w:cs="Times New Roman"/>
                      <w:szCs w:val="21"/>
                    </w:rPr>
                  </w:pPr>
                  <w:r>
                    <w:rPr>
                      <w:rFonts w:cs="Times New Roman"/>
                      <w:szCs w:val="21"/>
                    </w:rPr>
                    <w:t>100°30′8.789″</w:t>
                  </w:r>
                </w:p>
              </w:tc>
              <w:tc>
                <w:tcPr>
                  <w:tcW w:w="1559" w:type="dxa"/>
                  <w:tcBorders>
                    <w:top w:val="nil"/>
                    <w:left w:val="nil"/>
                    <w:bottom w:val="single" w:color="auto" w:sz="4" w:space="0"/>
                    <w:right w:val="single" w:color="auto" w:sz="4" w:space="0"/>
                  </w:tcBorders>
                  <w:vAlign w:val="center"/>
                </w:tcPr>
                <w:p w14:paraId="2372F7AD">
                  <w:pPr>
                    <w:pStyle w:val="65"/>
                    <w:rPr>
                      <w:rFonts w:cs="Times New Roman"/>
                      <w:szCs w:val="21"/>
                    </w:rPr>
                  </w:pPr>
                  <w:r>
                    <w:rPr>
                      <w:rFonts w:cs="Times New Roman"/>
                      <w:szCs w:val="21"/>
                    </w:rPr>
                    <w:t>24°44′42.691″</w:t>
                  </w:r>
                </w:p>
              </w:tc>
              <w:tc>
                <w:tcPr>
                  <w:tcW w:w="960" w:type="dxa"/>
                  <w:tcBorders>
                    <w:top w:val="nil"/>
                    <w:left w:val="nil"/>
                    <w:bottom w:val="single" w:color="auto" w:sz="4" w:space="0"/>
                    <w:right w:val="single" w:color="auto" w:sz="4" w:space="0"/>
                  </w:tcBorders>
                  <w:noWrap/>
                  <w:vAlign w:val="center"/>
                </w:tcPr>
                <w:p w14:paraId="0C9475DA">
                  <w:pPr>
                    <w:pStyle w:val="65"/>
                    <w:rPr>
                      <w:rFonts w:cs="Times New Roman"/>
                      <w:szCs w:val="21"/>
                    </w:rPr>
                  </w:pPr>
                  <w:r>
                    <w:rPr>
                      <w:rFonts w:cs="Times New Roman"/>
                      <w:szCs w:val="21"/>
                    </w:rPr>
                    <w:t>15户38人</w:t>
                  </w:r>
                </w:p>
              </w:tc>
              <w:tc>
                <w:tcPr>
                  <w:tcW w:w="846" w:type="dxa"/>
                  <w:vMerge w:val="continue"/>
                  <w:tcBorders>
                    <w:left w:val="single" w:color="auto" w:sz="4" w:space="0"/>
                    <w:right w:val="single" w:color="auto" w:sz="4" w:space="0"/>
                  </w:tcBorders>
                  <w:vAlign w:val="center"/>
                </w:tcPr>
                <w:p w14:paraId="3679E30B">
                  <w:pPr>
                    <w:pStyle w:val="65"/>
                    <w:rPr>
                      <w:rFonts w:cs="Times New Roman"/>
                      <w:szCs w:val="21"/>
                    </w:rPr>
                  </w:pPr>
                </w:p>
              </w:tc>
            </w:tr>
            <w:tr w14:paraId="75567A62">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355BC400">
                  <w:pPr>
                    <w:pStyle w:val="65"/>
                    <w:rPr>
                      <w:rFonts w:cs="Times New Roman"/>
                      <w:szCs w:val="21"/>
                    </w:rPr>
                  </w:pPr>
                  <w:r>
                    <w:rPr>
                      <w:rFonts w:cs="Times New Roman"/>
                      <w:szCs w:val="21"/>
                    </w:rPr>
                    <w:t>顿德</w:t>
                  </w:r>
                </w:p>
              </w:tc>
              <w:tc>
                <w:tcPr>
                  <w:tcW w:w="1843" w:type="dxa"/>
                  <w:tcBorders>
                    <w:top w:val="nil"/>
                    <w:left w:val="nil"/>
                    <w:bottom w:val="single" w:color="auto" w:sz="4" w:space="0"/>
                    <w:right w:val="single" w:color="auto" w:sz="4" w:space="0"/>
                  </w:tcBorders>
                  <w:vAlign w:val="center"/>
                </w:tcPr>
                <w:p w14:paraId="1C7B133D">
                  <w:pPr>
                    <w:pStyle w:val="65"/>
                    <w:jc w:val="both"/>
                    <w:rPr>
                      <w:rFonts w:cs="Times New Roman"/>
                      <w:szCs w:val="21"/>
                    </w:rPr>
                  </w:pPr>
                  <w:r>
                    <w:rPr>
                      <w:rFonts w:cs="Times New Roman"/>
                      <w:szCs w:val="21"/>
                    </w:rPr>
                    <w:t>方阵S21东北侧370米，距改扩建道路约433m</w:t>
                  </w:r>
                </w:p>
              </w:tc>
              <w:tc>
                <w:tcPr>
                  <w:tcW w:w="1559" w:type="dxa"/>
                  <w:tcBorders>
                    <w:top w:val="nil"/>
                    <w:left w:val="nil"/>
                    <w:bottom w:val="single" w:color="auto" w:sz="4" w:space="0"/>
                    <w:right w:val="single" w:color="auto" w:sz="4" w:space="0"/>
                  </w:tcBorders>
                  <w:noWrap/>
                  <w:vAlign w:val="center"/>
                </w:tcPr>
                <w:p w14:paraId="389DB977">
                  <w:pPr>
                    <w:pStyle w:val="65"/>
                    <w:rPr>
                      <w:rFonts w:cs="Times New Roman"/>
                      <w:szCs w:val="21"/>
                    </w:rPr>
                  </w:pPr>
                  <w:r>
                    <w:rPr>
                      <w:rFonts w:cs="Times New Roman"/>
                      <w:szCs w:val="21"/>
                    </w:rPr>
                    <w:t>100°26′53.837″</w:t>
                  </w:r>
                </w:p>
              </w:tc>
              <w:tc>
                <w:tcPr>
                  <w:tcW w:w="1559" w:type="dxa"/>
                  <w:tcBorders>
                    <w:top w:val="nil"/>
                    <w:left w:val="nil"/>
                    <w:bottom w:val="single" w:color="auto" w:sz="4" w:space="0"/>
                    <w:right w:val="single" w:color="auto" w:sz="4" w:space="0"/>
                  </w:tcBorders>
                  <w:noWrap/>
                  <w:vAlign w:val="center"/>
                </w:tcPr>
                <w:p w14:paraId="15E0EDD0">
                  <w:pPr>
                    <w:pStyle w:val="65"/>
                    <w:rPr>
                      <w:rFonts w:cs="Times New Roman"/>
                      <w:szCs w:val="21"/>
                    </w:rPr>
                  </w:pPr>
                  <w:r>
                    <w:rPr>
                      <w:rFonts w:cs="Times New Roman"/>
                      <w:szCs w:val="21"/>
                    </w:rPr>
                    <w:t>24°45′16.301″</w:t>
                  </w:r>
                </w:p>
              </w:tc>
              <w:tc>
                <w:tcPr>
                  <w:tcW w:w="960" w:type="dxa"/>
                  <w:tcBorders>
                    <w:top w:val="nil"/>
                    <w:left w:val="nil"/>
                    <w:bottom w:val="single" w:color="auto" w:sz="4" w:space="0"/>
                    <w:right w:val="single" w:color="auto" w:sz="4" w:space="0"/>
                  </w:tcBorders>
                  <w:noWrap/>
                  <w:vAlign w:val="center"/>
                </w:tcPr>
                <w:p w14:paraId="71100765">
                  <w:pPr>
                    <w:pStyle w:val="65"/>
                    <w:rPr>
                      <w:rFonts w:cs="Times New Roman"/>
                      <w:szCs w:val="21"/>
                    </w:rPr>
                  </w:pPr>
                  <w:r>
                    <w:rPr>
                      <w:rFonts w:cs="Times New Roman"/>
                      <w:szCs w:val="21"/>
                    </w:rPr>
                    <w:t>65户288人</w:t>
                  </w:r>
                </w:p>
              </w:tc>
              <w:tc>
                <w:tcPr>
                  <w:tcW w:w="846" w:type="dxa"/>
                  <w:vMerge w:val="continue"/>
                  <w:tcBorders>
                    <w:left w:val="single" w:color="auto" w:sz="4" w:space="0"/>
                    <w:right w:val="single" w:color="auto" w:sz="4" w:space="0"/>
                  </w:tcBorders>
                  <w:noWrap/>
                  <w:vAlign w:val="center"/>
                </w:tcPr>
                <w:p w14:paraId="0EF8AECC">
                  <w:pPr>
                    <w:pStyle w:val="65"/>
                    <w:rPr>
                      <w:rFonts w:cs="Times New Roman"/>
                      <w:szCs w:val="21"/>
                    </w:rPr>
                  </w:pPr>
                </w:p>
              </w:tc>
            </w:tr>
            <w:tr w14:paraId="5AFD51C1">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11A1FD3D">
                  <w:pPr>
                    <w:pStyle w:val="65"/>
                    <w:rPr>
                      <w:rFonts w:cs="Times New Roman"/>
                      <w:szCs w:val="21"/>
                    </w:rPr>
                  </w:pPr>
                  <w:r>
                    <w:rPr>
                      <w:rFonts w:cs="Times New Roman"/>
                      <w:szCs w:val="21"/>
                    </w:rPr>
                    <w:t>上柏芝</w:t>
                  </w:r>
                </w:p>
              </w:tc>
              <w:tc>
                <w:tcPr>
                  <w:tcW w:w="1843" w:type="dxa"/>
                  <w:tcBorders>
                    <w:top w:val="nil"/>
                    <w:left w:val="nil"/>
                    <w:bottom w:val="single" w:color="auto" w:sz="4" w:space="0"/>
                    <w:right w:val="single" w:color="auto" w:sz="4" w:space="0"/>
                  </w:tcBorders>
                  <w:vAlign w:val="center"/>
                </w:tcPr>
                <w:p w14:paraId="0E7CB58D">
                  <w:pPr>
                    <w:pStyle w:val="65"/>
                    <w:jc w:val="both"/>
                    <w:rPr>
                      <w:rFonts w:cs="Times New Roman"/>
                      <w:szCs w:val="21"/>
                    </w:rPr>
                  </w:pPr>
                  <w:r>
                    <w:rPr>
                      <w:rFonts w:cs="Times New Roman"/>
                      <w:szCs w:val="21"/>
                    </w:rPr>
                    <w:t>方阵S20、S21东北侧346米，距新建道路约440m</w:t>
                  </w:r>
                </w:p>
              </w:tc>
              <w:tc>
                <w:tcPr>
                  <w:tcW w:w="1559" w:type="dxa"/>
                  <w:tcBorders>
                    <w:top w:val="nil"/>
                    <w:left w:val="nil"/>
                    <w:bottom w:val="single" w:color="auto" w:sz="4" w:space="0"/>
                    <w:right w:val="single" w:color="auto" w:sz="4" w:space="0"/>
                  </w:tcBorders>
                  <w:noWrap/>
                  <w:vAlign w:val="center"/>
                </w:tcPr>
                <w:p w14:paraId="614D9206">
                  <w:pPr>
                    <w:pStyle w:val="65"/>
                    <w:rPr>
                      <w:rFonts w:cs="Times New Roman"/>
                      <w:szCs w:val="21"/>
                    </w:rPr>
                  </w:pPr>
                  <w:r>
                    <w:rPr>
                      <w:rFonts w:cs="Times New Roman"/>
                      <w:szCs w:val="21"/>
                    </w:rPr>
                    <w:t>100°26′40.319″</w:t>
                  </w:r>
                </w:p>
              </w:tc>
              <w:tc>
                <w:tcPr>
                  <w:tcW w:w="1559" w:type="dxa"/>
                  <w:tcBorders>
                    <w:top w:val="nil"/>
                    <w:left w:val="nil"/>
                    <w:bottom w:val="single" w:color="auto" w:sz="4" w:space="0"/>
                    <w:right w:val="single" w:color="auto" w:sz="4" w:space="0"/>
                  </w:tcBorders>
                  <w:noWrap/>
                  <w:vAlign w:val="center"/>
                </w:tcPr>
                <w:p w14:paraId="77E7EC08">
                  <w:pPr>
                    <w:pStyle w:val="65"/>
                    <w:rPr>
                      <w:rFonts w:cs="Times New Roman"/>
                      <w:szCs w:val="21"/>
                    </w:rPr>
                  </w:pPr>
                  <w:r>
                    <w:rPr>
                      <w:rFonts w:cs="Times New Roman"/>
                      <w:szCs w:val="21"/>
                    </w:rPr>
                    <w:t>24°45′21.361″</w:t>
                  </w:r>
                </w:p>
              </w:tc>
              <w:tc>
                <w:tcPr>
                  <w:tcW w:w="960" w:type="dxa"/>
                  <w:tcBorders>
                    <w:top w:val="nil"/>
                    <w:left w:val="nil"/>
                    <w:bottom w:val="single" w:color="auto" w:sz="4" w:space="0"/>
                    <w:right w:val="single" w:color="auto" w:sz="4" w:space="0"/>
                  </w:tcBorders>
                  <w:noWrap/>
                  <w:vAlign w:val="center"/>
                </w:tcPr>
                <w:p w14:paraId="1756F8C7">
                  <w:pPr>
                    <w:pStyle w:val="65"/>
                    <w:rPr>
                      <w:rFonts w:cs="Times New Roman"/>
                      <w:szCs w:val="21"/>
                    </w:rPr>
                  </w:pPr>
                  <w:r>
                    <w:rPr>
                      <w:rFonts w:cs="Times New Roman"/>
                      <w:szCs w:val="21"/>
                    </w:rPr>
                    <w:t>21户95人</w:t>
                  </w:r>
                </w:p>
              </w:tc>
              <w:tc>
                <w:tcPr>
                  <w:tcW w:w="846" w:type="dxa"/>
                  <w:vMerge w:val="continue"/>
                  <w:tcBorders>
                    <w:left w:val="single" w:color="auto" w:sz="4" w:space="0"/>
                    <w:right w:val="single" w:color="auto" w:sz="4" w:space="0"/>
                  </w:tcBorders>
                  <w:noWrap/>
                  <w:vAlign w:val="center"/>
                </w:tcPr>
                <w:p w14:paraId="7E92A628">
                  <w:pPr>
                    <w:pStyle w:val="65"/>
                    <w:rPr>
                      <w:rFonts w:cs="Times New Roman"/>
                      <w:szCs w:val="21"/>
                    </w:rPr>
                  </w:pPr>
                </w:p>
              </w:tc>
            </w:tr>
            <w:tr w14:paraId="10A93EFD">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43363174">
                  <w:pPr>
                    <w:pStyle w:val="65"/>
                    <w:rPr>
                      <w:rFonts w:cs="Times New Roman"/>
                      <w:szCs w:val="21"/>
                    </w:rPr>
                  </w:pPr>
                  <w:r>
                    <w:rPr>
                      <w:rFonts w:cs="Times New Roman"/>
                      <w:szCs w:val="21"/>
                    </w:rPr>
                    <w:t>柏芝新村</w:t>
                  </w:r>
                </w:p>
              </w:tc>
              <w:tc>
                <w:tcPr>
                  <w:tcW w:w="1843" w:type="dxa"/>
                  <w:tcBorders>
                    <w:top w:val="nil"/>
                    <w:left w:val="nil"/>
                    <w:bottom w:val="single" w:color="auto" w:sz="4" w:space="0"/>
                    <w:right w:val="single" w:color="auto" w:sz="4" w:space="0"/>
                  </w:tcBorders>
                  <w:vAlign w:val="center"/>
                </w:tcPr>
                <w:p w14:paraId="11140EE7">
                  <w:pPr>
                    <w:pStyle w:val="65"/>
                    <w:jc w:val="both"/>
                    <w:rPr>
                      <w:rFonts w:cs="Times New Roman"/>
                      <w:szCs w:val="21"/>
                    </w:rPr>
                  </w:pPr>
                  <w:r>
                    <w:rPr>
                      <w:rFonts w:cs="Times New Roman"/>
                      <w:szCs w:val="21"/>
                    </w:rPr>
                    <w:t>方阵S21东北侧362米</w:t>
                  </w:r>
                </w:p>
              </w:tc>
              <w:tc>
                <w:tcPr>
                  <w:tcW w:w="1559" w:type="dxa"/>
                  <w:tcBorders>
                    <w:top w:val="nil"/>
                    <w:left w:val="nil"/>
                    <w:bottom w:val="single" w:color="auto" w:sz="4" w:space="0"/>
                    <w:right w:val="single" w:color="auto" w:sz="4" w:space="0"/>
                  </w:tcBorders>
                  <w:noWrap/>
                  <w:vAlign w:val="center"/>
                </w:tcPr>
                <w:p w14:paraId="498C6CA3">
                  <w:pPr>
                    <w:pStyle w:val="65"/>
                    <w:rPr>
                      <w:rFonts w:cs="Times New Roman"/>
                      <w:szCs w:val="21"/>
                    </w:rPr>
                  </w:pPr>
                  <w:r>
                    <w:rPr>
                      <w:rFonts w:cs="Times New Roman"/>
                      <w:szCs w:val="21"/>
                    </w:rPr>
                    <w:t>100°26′46.421″</w:t>
                  </w:r>
                </w:p>
              </w:tc>
              <w:tc>
                <w:tcPr>
                  <w:tcW w:w="1559" w:type="dxa"/>
                  <w:tcBorders>
                    <w:top w:val="nil"/>
                    <w:left w:val="nil"/>
                    <w:bottom w:val="single" w:color="auto" w:sz="4" w:space="0"/>
                    <w:right w:val="single" w:color="auto" w:sz="4" w:space="0"/>
                  </w:tcBorders>
                  <w:noWrap/>
                  <w:vAlign w:val="center"/>
                </w:tcPr>
                <w:p w14:paraId="2B309650">
                  <w:pPr>
                    <w:pStyle w:val="65"/>
                    <w:rPr>
                      <w:rFonts w:cs="Times New Roman"/>
                      <w:szCs w:val="21"/>
                    </w:rPr>
                  </w:pPr>
                  <w:r>
                    <w:rPr>
                      <w:rFonts w:cs="Times New Roman"/>
                      <w:szCs w:val="21"/>
                    </w:rPr>
                    <w:t>24°45′20.859″</w:t>
                  </w:r>
                </w:p>
              </w:tc>
              <w:tc>
                <w:tcPr>
                  <w:tcW w:w="960" w:type="dxa"/>
                  <w:tcBorders>
                    <w:top w:val="nil"/>
                    <w:left w:val="nil"/>
                    <w:bottom w:val="single" w:color="auto" w:sz="4" w:space="0"/>
                    <w:right w:val="single" w:color="auto" w:sz="4" w:space="0"/>
                  </w:tcBorders>
                  <w:noWrap/>
                  <w:vAlign w:val="center"/>
                </w:tcPr>
                <w:p w14:paraId="02034086">
                  <w:pPr>
                    <w:pStyle w:val="65"/>
                    <w:rPr>
                      <w:rFonts w:cs="Times New Roman"/>
                      <w:szCs w:val="21"/>
                    </w:rPr>
                  </w:pPr>
                  <w:r>
                    <w:rPr>
                      <w:rFonts w:cs="Times New Roman"/>
                      <w:szCs w:val="21"/>
                    </w:rPr>
                    <w:t>34户153人</w:t>
                  </w:r>
                </w:p>
              </w:tc>
              <w:tc>
                <w:tcPr>
                  <w:tcW w:w="846" w:type="dxa"/>
                  <w:vMerge w:val="continue"/>
                  <w:tcBorders>
                    <w:left w:val="single" w:color="auto" w:sz="4" w:space="0"/>
                    <w:right w:val="single" w:color="auto" w:sz="4" w:space="0"/>
                  </w:tcBorders>
                  <w:noWrap/>
                  <w:vAlign w:val="center"/>
                </w:tcPr>
                <w:p w14:paraId="51CF16C4">
                  <w:pPr>
                    <w:pStyle w:val="65"/>
                    <w:rPr>
                      <w:rFonts w:cs="Times New Roman"/>
                      <w:szCs w:val="21"/>
                    </w:rPr>
                  </w:pPr>
                </w:p>
              </w:tc>
            </w:tr>
            <w:tr w14:paraId="66B0FF72">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47E23BF6">
                  <w:pPr>
                    <w:pStyle w:val="65"/>
                    <w:rPr>
                      <w:rFonts w:cs="Times New Roman"/>
                      <w:szCs w:val="21"/>
                    </w:rPr>
                  </w:pPr>
                  <w:r>
                    <w:rPr>
                      <w:rFonts w:cs="Times New Roman"/>
                      <w:szCs w:val="21"/>
                    </w:rPr>
                    <w:t>大乐计</w:t>
                  </w:r>
                </w:p>
              </w:tc>
              <w:tc>
                <w:tcPr>
                  <w:tcW w:w="1843" w:type="dxa"/>
                  <w:tcBorders>
                    <w:top w:val="nil"/>
                    <w:left w:val="nil"/>
                    <w:bottom w:val="single" w:color="auto" w:sz="4" w:space="0"/>
                    <w:right w:val="single" w:color="auto" w:sz="4" w:space="0"/>
                  </w:tcBorders>
                  <w:vAlign w:val="center"/>
                </w:tcPr>
                <w:p w14:paraId="4D233438">
                  <w:pPr>
                    <w:pStyle w:val="65"/>
                    <w:jc w:val="both"/>
                    <w:rPr>
                      <w:rFonts w:cs="Times New Roman"/>
                      <w:szCs w:val="21"/>
                    </w:rPr>
                  </w:pPr>
                  <w:r>
                    <w:rPr>
                      <w:rFonts w:cs="Times New Roman"/>
                      <w:szCs w:val="21"/>
                    </w:rPr>
                    <w:t>方阵S19北侧374米</w:t>
                  </w:r>
                </w:p>
              </w:tc>
              <w:tc>
                <w:tcPr>
                  <w:tcW w:w="1559" w:type="dxa"/>
                  <w:tcBorders>
                    <w:top w:val="nil"/>
                    <w:left w:val="nil"/>
                    <w:bottom w:val="single" w:color="auto" w:sz="4" w:space="0"/>
                    <w:right w:val="single" w:color="auto" w:sz="4" w:space="0"/>
                  </w:tcBorders>
                  <w:noWrap/>
                  <w:vAlign w:val="center"/>
                </w:tcPr>
                <w:p w14:paraId="5A9718BE">
                  <w:pPr>
                    <w:pStyle w:val="65"/>
                    <w:rPr>
                      <w:rFonts w:cs="Times New Roman"/>
                      <w:szCs w:val="21"/>
                    </w:rPr>
                  </w:pPr>
                  <w:r>
                    <w:rPr>
                      <w:rFonts w:cs="Times New Roman"/>
                      <w:szCs w:val="21"/>
                    </w:rPr>
                    <w:t>100°26′46.421″</w:t>
                  </w:r>
                </w:p>
              </w:tc>
              <w:tc>
                <w:tcPr>
                  <w:tcW w:w="1559" w:type="dxa"/>
                  <w:tcBorders>
                    <w:top w:val="nil"/>
                    <w:left w:val="nil"/>
                    <w:bottom w:val="single" w:color="auto" w:sz="4" w:space="0"/>
                    <w:right w:val="single" w:color="auto" w:sz="4" w:space="0"/>
                  </w:tcBorders>
                  <w:noWrap/>
                  <w:vAlign w:val="center"/>
                </w:tcPr>
                <w:p w14:paraId="719D070A">
                  <w:pPr>
                    <w:pStyle w:val="65"/>
                    <w:rPr>
                      <w:rFonts w:cs="Times New Roman"/>
                      <w:szCs w:val="21"/>
                    </w:rPr>
                  </w:pPr>
                  <w:r>
                    <w:rPr>
                      <w:rFonts w:cs="Times New Roman"/>
                      <w:szCs w:val="21"/>
                    </w:rPr>
                    <w:t>24°45′20.859″</w:t>
                  </w:r>
                </w:p>
              </w:tc>
              <w:tc>
                <w:tcPr>
                  <w:tcW w:w="960" w:type="dxa"/>
                  <w:tcBorders>
                    <w:top w:val="nil"/>
                    <w:left w:val="nil"/>
                    <w:bottom w:val="single" w:color="auto" w:sz="4" w:space="0"/>
                    <w:right w:val="single" w:color="auto" w:sz="4" w:space="0"/>
                  </w:tcBorders>
                  <w:noWrap/>
                  <w:vAlign w:val="center"/>
                </w:tcPr>
                <w:p w14:paraId="3023F88E">
                  <w:pPr>
                    <w:pStyle w:val="65"/>
                    <w:rPr>
                      <w:rFonts w:cs="Times New Roman"/>
                      <w:szCs w:val="21"/>
                    </w:rPr>
                  </w:pPr>
                  <w:r>
                    <w:rPr>
                      <w:rFonts w:cs="Times New Roman"/>
                      <w:szCs w:val="21"/>
                    </w:rPr>
                    <w:t>34户153人</w:t>
                  </w:r>
                </w:p>
              </w:tc>
              <w:tc>
                <w:tcPr>
                  <w:tcW w:w="846" w:type="dxa"/>
                  <w:vMerge w:val="continue"/>
                  <w:tcBorders>
                    <w:left w:val="single" w:color="auto" w:sz="4" w:space="0"/>
                    <w:right w:val="single" w:color="auto" w:sz="4" w:space="0"/>
                  </w:tcBorders>
                  <w:noWrap/>
                  <w:vAlign w:val="center"/>
                </w:tcPr>
                <w:p w14:paraId="6F03250B">
                  <w:pPr>
                    <w:pStyle w:val="65"/>
                    <w:rPr>
                      <w:rFonts w:cs="Times New Roman"/>
                      <w:szCs w:val="21"/>
                    </w:rPr>
                  </w:pPr>
                </w:p>
              </w:tc>
            </w:tr>
            <w:tr w14:paraId="2672EB5F">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2F449A59">
                  <w:pPr>
                    <w:pStyle w:val="65"/>
                    <w:rPr>
                      <w:rFonts w:cs="Times New Roman"/>
                      <w:szCs w:val="21"/>
                    </w:rPr>
                  </w:pPr>
                  <w:r>
                    <w:rPr>
                      <w:rFonts w:cs="Times New Roman"/>
                      <w:szCs w:val="21"/>
                    </w:rPr>
                    <w:t>新村</w:t>
                  </w:r>
                </w:p>
              </w:tc>
              <w:tc>
                <w:tcPr>
                  <w:tcW w:w="1843" w:type="dxa"/>
                  <w:tcBorders>
                    <w:top w:val="nil"/>
                    <w:left w:val="nil"/>
                    <w:bottom w:val="single" w:color="auto" w:sz="4" w:space="0"/>
                    <w:right w:val="single" w:color="auto" w:sz="4" w:space="0"/>
                  </w:tcBorders>
                  <w:vAlign w:val="center"/>
                </w:tcPr>
                <w:p w14:paraId="75E20B51">
                  <w:pPr>
                    <w:pStyle w:val="65"/>
                    <w:jc w:val="both"/>
                    <w:rPr>
                      <w:rFonts w:cs="Times New Roman"/>
                      <w:szCs w:val="21"/>
                    </w:rPr>
                  </w:pPr>
                  <w:r>
                    <w:rPr>
                      <w:rFonts w:cs="Times New Roman"/>
                      <w:szCs w:val="21"/>
                    </w:rPr>
                    <w:t>方阵S04北侧424米，距箱变最近距离350m，距改扩建道路约345m</w:t>
                  </w:r>
                </w:p>
              </w:tc>
              <w:tc>
                <w:tcPr>
                  <w:tcW w:w="1559" w:type="dxa"/>
                  <w:tcBorders>
                    <w:top w:val="nil"/>
                    <w:left w:val="nil"/>
                    <w:bottom w:val="single" w:color="auto" w:sz="4" w:space="0"/>
                    <w:right w:val="single" w:color="auto" w:sz="4" w:space="0"/>
                  </w:tcBorders>
                  <w:noWrap/>
                  <w:vAlign w:val="center"/>
                </w:tcPr>
                <w:p w14:paraId="7BD90B19">
                  <w:pPr>
                    <w:pStyle w:val="65"/>
                    <w:rPr>
                      <w:rFonts w:cs="Times New Roman"/>
                      <w:szCs w:val="21"/>
                    </w:rPr>
                  </w:pPr>
                  <w:r>
                    <w:rPr>
                      <w:rFonts w:cs="Times New Roman"/>
                      <w:szCs w:val="21"/>
                    </w:rPr>
                    <w:t>100°26′39.757″</w:t>
                  </w:r>
                </w:p>
              </w:tc>
              <w:tc>
                <w:tcPr>
                  <w:tcW w:w="1559" w:type="dxa"/>
                  <w:tcBorders>
                    <w:top w:val="nil"/>
                    <w:left w:val="nil"/>
                    <w:bottom w:val="single" w:color="auto" w:sz="4" w:space="0"/>
                    <w:right w:val="single" w:color="auto" w:sz="4" w:space="0"/>
                  </w:tcBorders>
                  <w:noWrap/>
                  <w:vAlign w:val="center"/>
                </w:tcPr>
                <w:p w14:paraId="508BB4D8">
                  <w:pPr>
                    <w:pStyle w:val="65"/>
                    <w:rPr>
                      <w:rFonts w:cs="Times New Roman"/>
                      <w:szCs w:val="21"/>
                    </w:rPr>
                  </w:pPr>
                  <w:r>
                    <w:rPr>
                      <w:rFonts w:cs="Times New Roman"/>
                      <w:szCs w:val="21"/>
                    </w:rPr>
                    <w:t>24°46′32.807″</w:t>
                  </w:r>
                </w:p>
              </w:tc>
              <w:tc>
                <w:tcPr>
                  <w:tcW w:w="960" w:type="dxa"/>
                  <w:tcBorders>
                    <w:top w:val="nil"/>
                    <w:left w:val="nil"/>
                    <w:bottom w:val="single" w:color="auto" w:sz="4" w:space="0"/>
                    <w:right w:val="single" w:color="auto" w:sz="4" w:space="0"/>
                  </w:tcBorders>
                  <w:noWrap/>
                  <w:vAlign w:val="center"/>
                </w:tcPr>
                <w:p w14:paraId="1AA59890">
                  <w:pPr>
                    <w:pStyle w:val="65"/>
                    <w:rPr>
                      <w:rFonts w:cs="Times New Roman"/>
                      <w:szCs w:val="21"/>
                    </w:rPr>
                  </w:pPr>
                  <w:r>
                    <w:rPr>
                      <w:rFonts w:cs="Times New Roman"/>
                      <w:szCs w:val="21"/>
                    </w:rPr>
                    <w:t>61户275人</w:t>
                  </w:r>
                </w:p>
              </w:tc>
              <w:tc>
                <w:tcPr>
                  <w:tcW w:w="846" w:type="dxa"/>
                  <w:vMerge w:val="continue"/>
                  <w:tcBorders>
                    <w:left w:val="single" w:color="auto" w:sz="4" w:space="0"/>
                    <w:right w:val="single" w:color="auto" w:sz="4" w:space="0"/>
                  </w:tcBorders>
                  <w:noWrap/>
                  <w:vAlign w:val="center"/>
                </w:tcPr>
                <w:p w14:paraId="5DDA9AD6">
                  <w:pPr>
                    <w:pStyle w:val="65"/>
                    <w:rPr>
                      <w:rFonts w:cs="Times New Roman"/>
                      <w:szCs w:val="21"/>
                    </w:rPr>
                  </w:pPr>
                </w:p>
              </w:tc>
            </w:tr>
            <w:tr w14:paraId="0E875F39">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21BC5702">
                  <w:pPr>
                    <w:pStyle w:val="65"/>
                    <w:rPr>
                      <w:rFonts w:cs="Times New Roman"/>
                      <w:szCs w:val="21"/>
                    </w:rPr>
                  </w:pPr>
                  <w:r>
                    <w:rPr>
                      <w:rFonts w:cs="Times New Roman"/>
                      <w:szCs w:val="21"/>
                    </w:rPr>
                    <w:t>官地村</w:t>
                  </w:r>
                </w:p>
              </w:tc>
              <w:tc>
                <w:tcPr>
                  <w:tcW w:w="1843" w:type="dxa"/>
                  <w:tcBorders>
                    <w:top w:val="nil"/>
                    <w:left w:val="nil"/>
                    <w:bottom w:val="single" w:color="auto" w:sz="4" w:space="0"/>
                    <w:right w:val="single" w:color="auto" w:sz="4" w:space="0"/>
                  </w:tcBorders>
                  <w:vAlign w:val="center"/>
                </w:tcPr>
                <w:p w14:paraId="5162A3BE">
                  <w:pPr>
                    <w:pStyle w:val="65"/>
                    <w:jc w:val="both"/>
                    <w:rPr>
                      <w:rFonts w:cs="Times New Roman"/>
                      <w:szCs w:val="21"/>
                    </w:rPr>
                  </w:pPr>
                  <w:r>
                    <w:rPr>
                      <w:rFonts w:cs="Times New Roman"/>
                      <w:szCs w:val="21"/>
                    </w:rPr>
                    <w:t>方阵S01南侧364米，距新建道路约202m</w:t>
                  </w:r>
                </w:p>
              </w:tc>
              <w:tc>
                <w:tcPr>
                  <w:tcW w:w="1559" w:type="dxa"/>
                  <w:tcBorders>
                    <w:top w:val="nil"/>
                    <w:left w:val="nil"/>
                    <w:bottom w:val="single" w:color="auto" w:sz="4" w:space="0"/>
                    <w:right w:val="single" w:color="auto" w:sz="4" w:space="0"/>
                  </w:tcBorders>
                  <w:noWrap/>
                  <w:vAlign w:val="center"/>
                </w:tcPr>
                <w:p w14:paraId="50309CD2">
                  <w:pPr>
                    <w:pStyle w:val="65"/>
                    <w:rPr>
                      <w:rFonts w:cs="Times New Roman"/>
                      <w:szCs w:val="21"/>
                    </w:rPr>
                  </w:pPr>
                  <w:r>
                    <w:rPr>
                      <w:rFonts w:cs="Times New Roman"/>
                      <w:szCs w:val="21"/>
                    </w:rPr>
                    <w:t>100°28′26.822″</w:t>
                  </w:r>
                </w:p>
              </w:tc>
              <w:tc>
                <w:tcPr>
                  <w:tcW w:w="1559" w:type="dxa"/>
                  <w:tcBorders>
                    <w:top w:val="nil"/>
                    <w:left w:val="nil"/>
                    <w:bottom w:val="single" w:color="auto" w:sz="4" w:space="0"/>
                    <w:right w:val="single" w:color="auto" w:sz="4" w:space="0"/>
                  </w:tcBorders>
                  <w:noWrap/>
                  <w:vAlign w:val="center"/>
                </w:tcPr>
                <w:p w14:paraId="73FCF43C">
                  <w:pPr>
                    <w:pStyle w:val="65"/>
                    <w:rPr>
                      <w:rFonts w:cs="Times New Roman"/>
                      <w:szCs w:val="21"/>
                    </w:rPr>
                  </w:pPr>
                  <w:r>
                    <w:rPr>
                      <w:rFonts w:cs="Times New Roman"/>
                      <w:szCs w:val="21"/>
                    </w:rPr>
                    <w:t>24°44′39.949″</w:t>
                  </w:r>
                </w:p>
              </w:tc>
              <w:tc>
                <w:tcPr>
                  <w:tcW w:w="960" w:type="dxa"/>
                  <w:tcBorders>
                    <w:top w:val="nil"/>
                    <w:left w:val="nil"/>
                    <w:bottom w:val="single" w:color="auto" w:sz="4" w:space="0"/>
                    <w:right w:val="single" w:color="auto" w:sz="4" w:space="0"/>
                  </w:tcBorders>
                  <w:noWrap/>
                  <w:vAlign w:val="center"/>
                </w:tcPr>
                <w:p w14:paraId="4A329ABB">
                  <w:pPr>
                    <w:pStyle w:val="65"/>
                    <w:rPr>
                      <w:rFonts w:cs="Times New Roman"/>
                      <w:szCs w:val="21"/>
                    </w:rPr>
                  </w:pPr>
                  <w:r>
                    <w:rPr>
                      <w:rFonts w:cs="Times New Roman"/>
                      <w:szCs w:val="21"/>
                    </w:rPr>
                    <w:t>38户196人</w:t>
                  </w:r>
                </w:p>
              </w:tc>
              <w:tc>
                <w:tcPr>
                  <w:tcW w:w="846" w:type="dxa"/>
                  <w:vMerge w:val="continue"/>
                  <w:tcBorders>
                    <w:left w:val="single" w:color="auto" w:sz="4" w:space="0"/>
                    <w:right w:val="single" w:color="auto" w:sz="4" w:space="0"/>
                  </w:tcBorders>
                  <w:noWrap/>
                  <w:vAlign w:val="center"/>
                </w:tcPr>
                <w:p w14:paraId="1266D85F">
                  <w:pPr>
                    <w:pStyle w:val="65"/>
                    <w:rPr>
                      <w:rFonts w:cs="Times New Roman"/>
                      <w:szCs w:val="21"/>
                    </w:rPr>
                  </w:pPr>
                </w:p>
              </w:tc>
            </w:tr>
            <w:tr w14:paraId="660593F0">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7A5CD5B6">
                  <w:pPr>
                    <w:pStyle w:val="65"/>
                    <w:rPr>
                      <w:rFonts w:cs="Times New Roman"/>
                      <w:szCs w:val="21"/>
                    </w:rPr>
                  </w:pPr>
                  <w:r>
                    <w:rPr>
                      <w:rFonts w:cs="Times New Roman"/>
                      <w:szCs w:val="21"/>
                    </w:rPr>
                    <w:t>龙潭</w:t>
                  </w:r>
                </w:p>
              </w:tc>
              <w:tc>
                <w:tcPr>
                  <w:tcW w:w="1843" w:type="dxa"/>
                  <w:tcBorders>
                    <w:top w:val="nil"/>
                    <w:left w:val="nil"/>
                    <w:bottom w:val="single" w:color="auto" w:sz="4" w:space="0"/>
                    <w:right w:val="single" w:color="auto" w:sz="4" w:space="0"/>
                  </w:tcBorders>
                  <w:vAlign w:val="center"/>
                </w:tcPr>
                <w:p w14:paraId="567F964F">
                  <w:pPr>
                    <w:pStyle w:val="65"/>
                    <w:jc w:val="both"/>
                    <w:rPr>
                      <w:rFonts w:cs="Times New Roman"/>
                      <w:szCs w:val="21"/>
                    </w:rPr>
                  </w:pPr>
                  <w:r>
                    <w:rPr>
                      <w:rFonts w:cs="Times New Roman"/>
                      <w:szCs w:val="21"/>
                    </w:rPr>
                    <w:t>方阵S02南侧383米</w:t>
                  </w:r>
                </w:p>
              </w:tc>
              <w:tc>
                <w:tcPr>
                  <w:tcW w:w="1559" w:type="dxa"/>
                  <w:tcBorders>
                    <w:top w:val="nil"/>
                    <w:left w:val="nil"/>
                    <w:bottom w:val="single" w:color="auto" w:sz="4" w:space="0"/>
                    <w:right w:val="single" w:color="auto" w:sz="4" w:space="0"/>
                  </w:tcBorders>
                  <w:noWrap/>
                  <w:vAlign w:val="center"/>
                </w:tcPr>
                <w:p w14:paraId="77B643D1">
                  <w:pPr>
                    <w:pStyle w:val="65"/>
                    <w:rPr>
                      <w:rFonts w:cs="Times New Roman"/>
                      <w:szCs w:val="21"/>
                    </w:rPr>
                  </w:pPr>
                  <w:r>
                    <w:rPr>
                      <w:rFonts w:cs="Times New Roman"/>
                      <w:szCs w:val="21"/>
                    </w:rPr>
                    <w:t>100°29′13.480″</w:t>
                  </w:r>
                </w:p>
              </w:tc>
              <w:tc>
                <w:tcPr>
                  <w:tcW w:w="1559" w:type="dxa"/>
                  <w:tcBorders>
                    <w:top w:val="nil"/>
                    <w:left w:val="nil"/>
                    <w:bottom w:val="single" w:color="auto" w:sz="4" w:space="0"/>
                    <w:right w:val="single" w:color="auto" w:sz="4" w:space="0"/>
                  </w:tcBorders>
                  <w:noWrap/>
                  <w:vAlign w:val="center"/>
                </w:tcPr>
                <w:p w14:paraId="26549114">
                  <w:pPr>
                    <w:pStyle w:val="65"/>
                    <w:rPr>
                      <w:rFonts w:cs="Times New Roman"/>
                      <w:szCs w:val="21"/>
                    </w:rPr>
                  </w:pPr>
                  <w:r>
                    <w:rPr>
                      <w:rFonts w:cs="Times New Roman"/>
                      <w:szCs w:val="21"/>
                    </w:rPr>
                    <w:t>24°44′50.763″</w:t>
                  </w:r>
                </w:p>
              </w:tc>
              <w:tc>
                <w:tcPr>
                  <w:tcW w:w="960" w:type="dxa"/>
                  <w:tcBorders>
                    <w:top w:val="nil"/>
                    <w:left w:val="nil"/>
                    <w:bottom w:val="single" w:color="auto" w:sz="4" w:space="0"/>
                    <w:right w:val="single" w:color="auto" w:sz="4" w:space="0"/>
                  </w:tcBorders>
                  <w:noWrap/>
                  <w:vAlign w:val="center"/>
                </w:tcPr>
                <w:p w14:paraId="154E7254">
                  <w:pPr>
                    <w:pStyle w:val="65"/>
                    <w:rPr>
                      <w:rFonts w:cs="Times New Roman"/>
                      <w:szCs w:val="21"/>
                    </w:rPr>
                  </w:pPr>
                  <w:r>
                    <w:rPr>
                      <w:rFonts w:cs="Times New Roman"/>
                      <w:szCs w:val="21"/>
                    </w:rPr>
                    <w:t>21户61人</w:t>
                  </w:r>
                </w:p>
              </w:tc>
              <w:tc>
                <w:tcPr>
                  <w:tcW w:w="846" w:type="dxa"/>
                  <w:vMerge w:val="continue"/>
                  <w:tcBorders>
                    <w:left w:val="single" w:color="auto" w:sz="4" w:space="0"/>
                    <w:right w:val="single" w:color="auto" w:sz="4" w:space="0"/>
                  </w:tcBorders>
                  <w:noWrap/>
                  <w:vAlign w:val="center"/>
                </w:tcPr>
                <w:p w14:paraId="7D84AD9E">
                  <w:pPr>
                    <w:pStyle w:val="65"/>
                    <w:rPr>
                      <w:rFonts w:cs="Times New Roman"/>
                      <w:szCs w:val="21"/>
                    </w:rPr>
                  </w:pPr>
                </w:p>
              </w:tc>
            </w:tr>
            <w:tr w14:paraId="0FE8BA82">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7F093CAB">
                  <w:pPr>
                    <w:pStyle w:val="65"/>
                    <w:rPr>
                      <w:rFonts w:cs="Times New Roman"/>
                      <w:szCs w:val="21"/>
                    </w:rPr>
                  </w:pPr>
                  <w:r>
                    <w:rPr>
                      <w:rFonts w:cs="Times New Roman"/>
                      <w:szCs w:val="21"/>
                    </w:rPr>
                    <w:t>茶花树</w:t>
                  </w:r>
                </w:p>
              </w:tc>
              <w:tc>
                <w:tcPr>
                  <w:tcW w:w="1843" w:type="dxa"/>
                  <w:tcBorders>
                    <w:top w:val="nil"/>
                    <w:left w:val="nil"/>
                    <w:bottom w:val="single" w:color="auto" w:sz="4" w:space="0"/>
                    <w:right w:val="single" w:color="auto" w:sz="4" w:space="0"/>
                  </w:tcBorders>
                  <w:vAlign w:val="center"/>
                </w:tcPr>
                <w:p w14:paraId="20696E33">
                  <w:pPr>
                    <w:pStyle w:val="65"/>
                    <w:jc w:val="both"/>
                    <w:rPr>
                      <w:rFonts w:cs="Times New Roman"/>
                      <w:szCs w:val="21"/>
                    </w:rPr>
                  </w:pPr>
                  <w:r>
                    <w:rPr>
                      <w:rFonts w:cs="Times New Roman"/>
                      <w:szCs w:val="21"/>
                    </w:rPr>
                    <w:t>方阵S11西南侧348米，距箱变最近距离376m，距改扩建道路约291m</w:t>
                  </w:r>
                </w:p>
              </w:tc>
              <w:tc>
                <w:tcPr>
                  <w:tcW w:w="1559" w:type="dxa"/>
                  <w:tcBorders>
                    <w:top w:val="nil"/>
                    <w:left w:val="nil"/>
                    <w:bottom w:val="single" w:color="auto" w:sz="4" w:space="0"/>
                    <w:right w:val="single" w:color="auto" w:sz="4" w:space="0"/>
                  </w:tcBorders>
                  <w:noWrap/>
                  <w:vAlign w:val="center"/>
                </w:tcPr>
                <w:p w14:paraId="07B55A98">
                  <w:pPr>
                    <w:pStyle w:val="65"/>
                    <w:rPr>
                      <w:rFonts w:cs="Times New Roman"/>
                      <w:szCs w:val="21"/>
                    </w:rPr>
                  </w:pPr>
                  <w:r>
                    <w:rPr>
                      <w:rFonts w:cs="Times New Roman"/>
                      <w:szCs w:val="21"/>
                    </w:rPr>
                    <w:t>100°29′52.219″</w:t>
                  </w:r>
                </w:p>
              </w:tc>
              <w:tc>
                <w:tcPr>
                  <w:tcW w:w="1559" w:type="dxa"/>
                  <w:tcBorders>
                    <w:top w:val="nil"/>
                    <w:left w:val="nil"/>
                    <w:bottom w:val="single" w:color="auto" w:sz="4" w:space="0"/>
                    <w:right w:val="single" w:color="auto" w:sz="4" w:space="0"/>
                  </w:tcBorders>
                  <w:noWrap/>
                  <w:vAlign w:val="center"/>
                </w:tcPr>
                <w:p w14:paraId="5361384F">
                  <w:pPr>
                    <w:pStyle w:val="65"/>
                    <w:rPr>
                      <w:rFonts w:cs="Times New Roman"/>
                      <w:szCs w:val="21"/>
                    </w:rPr>
                  </w:pPr>
                  <w:r>
                    <w:rPr>
                      <w:rFonts w:cs="Times New Roman"/>
                      <w:szCs w:val="21"/>
                    </w:rPr>
                    <w:t>24°44′29.288″</w:t>
                  </w:r>
                </w:p>
              </w:tc>
              <w:tc>
                <w:tcPr>
                  <w:tcW w:w="960" w:type="dxa"/>
                  <w:tcBorders>
                    <w:top w:val="nil"/>
                    <w:left w:val="nil"/>
                    <w:bottom w:val="single" w:color="auto" w:sz="4" w:space="0"/>
                    <w:right w:val="single" w:color="auto" w:sz="4" w:space="0"/>
                  </w:tcBorders>
                  <w:noWrap/>
                  <w:vAlign w:val="center"/>
                </w:tcPr>
                <w:p w14:paraId="53BA064A">
                  <w:pPr>
                    <w:pStyle w:val="65"/>
                    <w:rPr>
                      <w:rFonts w:cs="Times New Roman"/>
                      <w:szCs w:val="21"/>
                    </w:rPr>
                  </w:pPr>
                  <w:r>
                    <w:rPr>
                      <w:rFonts w:cs="Times New Roman"/>
                      <w:szCs w:val="21"/>
                    </w:rPr>
                    <w:t>45户180人</w:t>
                  </w:r>
                </w:p>
              </w:tc>
              <w:tc>
                <w:tcPr>
                  <w:tcW w:w="846" w:type="dxa"/>
                  <w:vMerge w:val="continue"/>
                  <w:tcBorders>
                    <w:left w:val="single" w:color="auto" w:sz="4" w:space="0"/>
                    <w:right w:val="single" w:color="auto" w:sz="4" w:space="0"/>
                  </w:tcBorders>
                  <w:noWrap/>
                  <w:vAlign w:val="center"/>
                </w:tcPr>
                <w:p w14:paraId="22902BB0">
                  <w:pPr>
                    <w:pStyle w:val="65"/>
                    <w:rPr>
                      <w:rFonts w:cs="Times New Roman"/>
                      <w:szCs w:val="21"/>
                    </w:rPr>
                  </w:pPr>
                </w:p>
              </w:tc>
            </w:tr>
            <w:tr w14:paraId="57563109">
              <w:tblPrEx>
                <w:tblCellMar>
                  <w:top w:w="0" w:type="dxa"/>
                  <w:left w:w="108" w:type="dxa"/>
                  <w:bottom w:w="0" w:type="dxa"/>
                  <w:right w:w="108" w:type="dxa"/>
                </w:tblCellMar>
              </w:tblPrEx>
              <w:trPr>
                <w:trHeight w:val="454" w:hRule="atLeast"/>
              </w:trPr>
              <w:tc>
                <w:tcPr>
                  <w:tcW w:w="860" w:type="dxa"/>
                  <w:tcBorders>
                    <w:top w:val="nil"/>
                    <w:left w:val="single" w:color="auto" w:sz="4" w:space="0"/>
                    <w:bottom w:val="single" w:color="auto" w:sz="4" w:space="0"/>
                    <w:right w:val="single" w:color="auto" w:sz="4" w:space="0"/>
                  </w:tcBorders>
                  <w:vAlign w:val="center"/>
                </w:tcPr>
                <w:p w14:paraId="6E47D036">
                  <w:pPr>
                    <w:pStyle w:val="65"/>
                    <w:rPr>
                      <w:rFonts w:cs="Times New Roman"/>
                      <w:szCs w:val="21"/>
                    </w:rPr>
                  </w:pPr>
                  <w:r>
                    <w:rPr>
                      <w:rFonts w:cs="Times New Roman"/>
                      <w:szCs w:val="21"/>
                    </w:rPr>
                    <w:t>空心树</w:t>
                  </w:r>
                </w:p>
              </w:tc>
              <w:tc>
                <w:tcPr>
                  <w:tcW w:w="1843" w:type="dxa"/>
                  <w:tcBorders>
                    <w:top w:val="nil"/>
                    <w:left w:val="nil"/>
                    <w:bottom w:val="single" w:color="auto" w:sz="4" w:space="0"/>
                    <w:right w:val="single" w:color="auto" w:sz="4" w:space="0"/>
                  </w:tcBorders>
                  <w:vAlign w:val="center"/>
                </w:tcPr>
                <w:p w14:paraId="540B904B">
                  <w:pPr>
                    <w:pStyle w:val="65"/>
                    <w:jc w:val="both"/>
                    <w:rPr>
                      <w:rFonts w:cs="Times New Roman"/>
                      <w:szCs w:val="21"/>
                    </w:rPr>
                  </w:pPr>
                  <w:r>
                    <w:rPr>
                      <w:rFonts w:cs="Times New Roman"/>
                      <w:szCs w:val="21"/>
                    </w:rPr>
                    <w:t>方阵S11南侧463米，距箱变最近距离478m，距改扩建道路约9m</w:t>
                  </w:r>
                </w:p>
              </w:tc>
              <w:tc>
                <w:tcPr>
                  <w:tcW w:w="1559" w:type="dxa"/>
                  <w:tcBorders>
                    <w:top w:val="nil"/>
                    <w:left w:val="nil"/>
                    <w:bottom w:val="single" w:color="auto" w:sz="4" w:space="0"/>
                    <w:right w:val="single" w:color="auto" w:sz="4" w:space="0"/>
                  </w:tcBorders>
                  <w:noWrap/>
                  <w:vAlign w:val="center"/>
                </w:tcPr>
                <w:p w14:paraId="5AAB5DA5">
                  <w:pPr>
                    <w:pStyle w:val="65"/>
                    <w:rPr>
                      <w:rFonts w:cs="Times New Roman"/>
                      <w:szCs w:val="21"/>
                    </w:rPr>
                  </w:pPr>
                  <w:r>
                    <w:rPr>
                      <w:rFonts w:cs="Times New Roman"/>
                      <w:szCs w:val="21"/>
                    </w:rPr>
                    <w:t>100°29′54.692″</w:t>
                  </w:r>
                </w:p>
              </w:tc>
              <w:tc>
                <w:tcPr>
                  <w:tcW w:w="1559" w:type="dxa"/>
                  <w:tcBorders>
                    <w:top w:val="nil"/>
                    <w:left w:val="nil"/>
                    <w:bottom w:val="single" w:color="auto" w:sz="4" w:space="0"/>
                    <w:right w:val="single" w:color="auto" w:sz="4" w:space="0"/>
                  </w:tcBorders>
                  <w:noWrap/>
                  <w:vAlign w:val="center"/>
                </w:tcPr>
                <w:p w14:paraId="7B3458F5">
                  <w:pPr>
                    <w:pStyle w:val="65"/>
                    <w:rPr>
                      <w:rFonts w:cs="Times New Roman"/>
                      <w:szCs w:val="21"/>
                    </w:rPr>
                  </w:pPr>
                  <w:r>
                    <w:rPr>
                      <w:rFonts w:cs="Times New Roman"/>
                      <w:szCs w:val="21"/>
                    </w:rPr>
                    <w:t>24°44′22.838″</w:t>
                  </w:r>
                </w:p>
              </w:tc>
              <w:tc>
                <w:tcPr>
                  <w:tcW w:w="960" w:type="dxa"/>
                  <w:tcBorders>
                    <w:top w:val="nil"/>
                    <w:left w:val="nil"/>
                    <w:bottom w:val="single" w:color="auto" w:sz="4" w:space="0"/>
                    <w:right w:val="single" w:color="auto" w:sz="4" w:space="0"/>
                  </w:tcBorders>
                  <w:noWrap/>
                  <w:vAlign w:val="center"/>
                </w:tcPr>
                <w:p w14:paraId="22459CED">
                  <w:pPr>
                    <w:pStyle w:val="65"/>
                    <w:rPr>
                      <w:rFonts w:cs="Times New Roman"/>
                      <w:szCs w:val="21"/>
                    </w:rPr>
                  </w:pPr>
                  <w:r>
                    <w:rPr>
                      <w:rFonts w:cs="Times New Roman"/>
                      <w:szCs w:val="21"/>
                    </w:rPr>
                    <w:t>45户181人</w:t>
                  </w:r>
                </w:p>
              </w:tc>
              <w:tc>
                <w:tcPr>
                  <w:tcW w:w="846" w:type="dxa"/>
                  <w:vMerge w:val="continue"/>
                  <w:tcBorders>
                    <w:left w:val="single" w:color="auto" w:sz="4" w:space="0"/>
                    <w:bottom w:val="single" w:color="auto" w:sz="4" w:space="0"/>
                    <w:right w:val="single" w:color="auto" w:sz="4" w:space="0"/>
                  </w:tcBorders>
                  <w:noWrap/>
                  <w:vAlign w:val="center"/>
                </w:tcPr>
                <w:p w14:paraId="63A1F58E">
                  <w:pPr>
                    <w:pStyle w:val="65"/>
                    <w:rPr>
                      <w:rFonts w:cs="Times New Roman"/>
                      <w:szCs w:val="21"/>
                    </w:rPr>
                  </w:pPr>
                </w:p>
              </w:tc>
            </w:tr>
          </w:tbl>
          <w:p w14:paraId="35FB2E40">
            <w:pPr>
              <w:ind w:firstLine="480"/>
            </w:pPr>
          </w:p>
        </w:tc>
      </w:tr>
      <w:tr w14:paraId="5C1AA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265" w:type="pct"/>
            <w:tcBorders>
              <w:top w:val="single" w:color="auto" w:sz="4" w:space="0"/>
              <w:left w:val="single" w:color="auto" w:sz="8" w:space="0"/>
              <w:bottom w:val="single" w:color="auto" w:sz="4" w:space="0"/>
              <w:right w:val="single" w:color="000000" w:sz="2" w:space="0"/>
            </w:tcBorders>
            <w:vAlign w:val="center"/>
          </w:tcPr>
          <w:p w14:paraId="6C2A6F06">
            <w:pPr>
              <w:ind w:firstLine="0" w:firstLineChars="0"/>
              <w:rPr>
                <w:color w:val="auto"/>
              </w:rPr>
            </w:pPr>
            <w:bookmarkStart w:id="729" w:name="_Hlk156835482"/>
            <w:bookmarkStart w:id="730" w:name="_Hlk195216961"/>
            <w:r>
              <w:rPr>
                <w:rFonts w:hint="eastAsia"/>
                <w:color w:val="auto"/>
              </w:rPr>
              <w:t>评价标准</w:t>
            </w:r>
          </w:p>
        </w:tc>
        <w:tc>
          <w:tcPr>
            <w:tcW w:w="4735" w:type="pct"/>
            <w:tcBorders>
              <w:top w:val="single" w:color="auto" w:sz="4" w:space="0"/>
              <w:left w:val="single" w:color="000000" w:sz="2" w:space="0"/>
              <w:bottom w:val="single" w:color="auto" w:sz="4" w:space="0"/>
              <w:right w:val="single" w:color="auto" w:sz="8" w:space="0"/>
            </w:tcBorders>
            <w:vAlign w:val="center"/>
          </w:tcPr>
          <w:p w14:paraId="32F238EF">
            <w:pPr>
              <w:pStyle w:val="3"/>
              <w:spacing w:before="72" w:after="72"/>
              <w:rPr>
                <w:color w:val="auto"/>
              </w:rPr>
            </w:pPr>
            <w:bookmarkStart w:id="731" w:name="_Toc3496"/>
            <w:bookmarkStart w:id="732" w:name="_Toc160473809"/>
            <w:bookmarkStart w:id="733" w:name="_Toc161415563"/>
            <w:bookmarkStart w:id="734" w:name="_Toc158491270"/>
            <w:bookmarkStart w:id="735" w:name="_Toc112424277"/>
            <w:bookmarkStart w:id="736" w:name="_Toc156137849"/>
            <w:bookmarkStart w:id="737" w:name="_Toc160730885"/>
            <w:bookmarkStart w:id="738" w:name="_Toc30388"/>
            <w:bookmarkStart w:id="739" w:name="_Toc112165640"/>
            <w:bookmarkStart w:id="740" w:name="_Toc112173935"/>
            <w:bookmarkStart w:id="741" w:name="_Toc136794327"/>
            <w:bookmarkStart w:id="742" w:name="_Toc156144163"/>
            <w:bookmarkStart w:id="743" w:name="_Toc159349038"/>
            <w:bookmarkStart w:id="744" w:name="_Toc136794202"/>
            <w:bookmarkStart w:id="745" w:name="_Hlk195216987"/>
            <w:r>
              <w:rPr>
                <w:rFonts w:hint="eastAsia"/>
                <w:color w:val="auto"/>
              </w:rPr>
              <w:t>环境质量标准</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117F0584">
            <w:pPr>
              <w:pStyle w:val="4"/>
              <w:spacing w:before="48" w:after="48"/>
              <w:rPr>
                <w:color w:val="auto"/>
              </w:rPr>
            </w:pPr>
            <w:bookmarkStart w:id="746" w:name="_Toc112424278"/>
            <w:bookmarkStart w:id="747" w:name="_Toc112165641"/>
            <w:bookmarkStart w:id="748" w:name="_Toc160730886"/>
            <w:bookmarkStart w:id="749" w:name="_Toc136794328"/>
            <w:bookmarkStart w:id="750" w:name="_Toc159349039"/>
            <w:bookmarkStart w:id="751" w:name="_Toc161415564"/>
            <w:bookmarkStart w:id="752" w:name="_Toc158491271"/>
            <w:bookmarkStart w:id="753" w:name="_Toc156144164"/>
            <w:bookmarkStart w:id="754" w:name="_Toc156137850"/>
            <w:bookmarkStart w:id="755" w:name="_Toc16064"/>
            <w:bookmarkStart w:id="756" w:name="_Toc160473810"/>
            <w:bookmarkStart w:id="757" w:name="_Toc597"/>
            <w:bookmarkStart w:id="758" w:name="_Toc136794203"/>
            <w:bookmarkStart w:id="759" w:name="_Toc112173936"/>
            <w:r>
              <w:rPr>
                <w:rFonts w:hint="eastAsia"/>
                <w:color w:val="auto"/>
              </w:rPr>
              <w:t>环境空气质量标准</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bookmarkEnd w:id="745"/>
          <w:p w14:paraId="1202F90D">
            <w:pPr>
              <w:adjustRightInd w:val="0"/>
              <w:snapToGrid w:val="0"/>
              <w:ind w:firstLine="480"/>
              <w:rPr>
                <w:rFonts w:cs="Times New Roman"/>
                <w:color w:val="auto"/>
                <w:kern w:val="0"/>
                <w:szCs w:val="18"/>
              </w:rPr>
            </w:pPr>
            <w:bookmarkStart w:id="760" w:name="_Hlk181624586"/>
            <w:bookmarkStart w:id="761" w:name="_Hlk195217031"/>
            <w:r>
              <w:rPr>
                <w:rFonts w:hint="eastAsia"/>
                <w:color w:val="auto"/>
              </w:rPr>
              <w:t>项目区位于大理州南涧县公郎镇附近的山坡上，属于环境空气质量二类功能区</w:t>
            </w:r>
            <w:bookmarkEnd w:id="760"/>
            <w:bookmarkStart w:id="762" w:name="_Hlk155626093"/>
            <w:r>
              <w:rPr>
                <w:rFonts w:hint="eastAsia"/>
                <w:color w:val="auto"/>
              </w:rPr>
              <w:t>。</w:t>
            </w:r>
            <w:r>
              <w:rPr>
                <w:rFonts w:hint="eastAsia" w:cs="Times New Roman"/>
                <w:color w:val="auto"/>
                <w:kern w:val="0"/>
                <w:szCs w:val="18"/>
              </w:rPr>
              <w:t>云南无量山国家级自然保护区段执行</w:t>
            </w:r>
            <w:r>
              <w:rPr>
                <w:rFonts w:cs="Times New Roman"/>
                <w:color w:val="auto"/>
                <w:kern w:val="0"/>
                <w:szCs w:val="18"/>
              </w:rPr>
              <w:t>《环境空气质量标准》（GB3095-2012）一级标准</w:t>
            </w:r>
            <w:r>
              <w:rPr>
                <w:rFonts w:hint="eastAsia" w:cs="Times New Roman"/>
                <w:color w:val="auto"/>
                <w:kern w:val="0"/>
                <w:szCs w:val="18"/>
              </w:rPr>
              <w:t>，其余</w:t>
            </w:r>
            <w:r>
              <w:rPr>
                <w:rFonts w:cs="Times New Roman"/>
                <w:color w:val="auto"/>
                <w:kern w:val="0"/>
                <w:szCs w:val="18"/>
              </w:rPr>
              <w:t>所在区域环境空气质量执行《环境空气质量标准》（GB3095-2012）二级标准</w:t>
            </w:r>
            <w:r>
              <w:rPr>
                <w:rFonts w:hint="eastAsia" w:cs="Times New Roman"/>
                <w:color w:val="auto"/>
                <w:kern w:val="0"/>
                <w:szCs w:val="18"/>
              </w:rPr>
              <w:t>，</w:t>
            </w:r>
            <w:r>
              <w:rPr>
                <w:rFonts w:cs="Times New Roman"/>
                <w:color w:val="auto"/>
                <w:kern w:val="0"/>
                <w:szCs w:val="18"/>
              </w:rPr>
              <w:t>标准值见下表。</w:t>
            </w:r>
          </w:p>
          <w:bookmarkEnd w:id="762"/>
          <w:p w14:paraId="04CEDE33">
            <w:pPr>
              <w:pStyle w:val="63"/>
              <w:ind w:firstLine="480"/>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环境空气质量标准限值</w:t>
            </w:r>
          </w:p>
          <w:tbl>
            <w:tblPr>
              <w:tblStyle w:val="41"/>
              <w:tblW w:w="7382" w:type="dxa"/>
              <w:jc w:val="center"/>
              <w:tblLayout w:type="autofit"/>
              <w:tblCellMar>
                <w:top w:w="0" w:type="dxa"/>
                <w:left w:w="108" w:type="dxa"/>
                <w:bottom w:w="0" w:type="dxa"/>
                <w:right w:w="108" w:type="dxa"/>
              </w:tblCellMar>
            </w:tblPr>
            <w:tblGrid>
              <w:gridCol w:w="1211"/>
              <w:gridCol w:w="1934"/>
              <w:gridCol w:w="1341"/>
              <w:gridCol w:w="1057"/>
              <w:gridCol w:w="1839"/>
            </w:tblGrid>
            <w:tr w14:paraId="5799C7F9">
              <w:tblPrEx>
                <w:tblCellMar>
                  <w:top w:w="0" w:type="dxa"/>
                  <w:left w:w="108" w:type="dxa"/>
                  <w:bottom w:w="0" w:type="dxa"/>
                  <w:right w:w="108" w:type="dxa"/>
                </w:tblCellMar>
              </w:tblPrEx>
              <w:trPr>
                <w:trHeight w:val="454" w:hRule="atLeast"/>
                <w:tblHeader/>
                <w:jc w:val="center"/>
              </w:trPr>
              <w:tc>
                <w:tcPr>
                  <w:tcW w:w="872" w:type="pct"/>
                  <w:tcBorders>
                    <w:top w:val="single" w:color="auto" w:sz="4" w:space="0"/>
                    <w:left w:val="single" w:color="auto" w:sz="4" w:space="0"/>
                    <w:bottom w:val="single" w:color="auto" w:sz="4" w:space="0"/>
                    <w:right w:val="single" w:color="auto" w:sz="4" w:space="0"/>
                  </w:tcBorders>
                  <w:vAlign w:val="center"/>
                </w:tcPr>
                <w:p w14:paraId="10BA796D">
                  <w:pPr>
                    <w:adjustRightInd w:val="0"/>
                    <w:snapToGrid w:val="0"/>
                    <w:spacing w:line="240" w:lineRule="auto"/>
                    <w:ind w:firstLine="0" w:firstLineChars="0"/>
                    <w:jc w:val="center"/>
                    <w:rPr>
                      <w:rFonts w:cs="Times New Roman"/>
                      <w:b/>
                      <w:bCs/>
                      <w:color w:val="auto"/>
                      <w:kern w:val="0"/>
                      <w:sz w:val="21"/>
                      <w:szCs w:val="21"/>
                    </w:rPr>
                  </w:pPr>
                  <w:bookmarkStart w:id="763" w:name="_Hlk155626263"/>
                  <w:r>
                    <w:rPr>
                      <w:rFonts w:cs="Times New Roman"/>
                      <w:b/>
                      <w:bCs/>
                      <w:color w:val="auto"/>
                      <w:kern w:val="0"/>
                      <w:sz w:val="21"/>
                      <w:szCs w:val="21"/>
                    </w:rPr>
                    <w:t>指标</w:t>
                  </w:r>
                </w:p>
              </w:tc>
              <w:tc>
                <w:tcPr>
                  <w:tcW w:w="1362" w:type="pct"/>
                  <w:tcBorders>
                    <w:top w:val="single" w:color="auto" w:sz="4" w:space="0"/>
                    <w:left w:val="nil"/>
                    <w:bottom w:val="single" w:color="auto" w:sz="4" w:space="0"/>
                    <w:right w:val="single" w:color="auto" w:sz="4" w:space="0"/>
                  </w:tcBorders>
                  <w:vAlign w:val="center"/>
                </w:tcPr>
                <w:p w14:paraId="5CD11320">
                  <w:pPr>
                    <w:adjustRightInd w:val="0"/>
                    <w:snapToGrid w:val="0"/>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取值时间</w:t>
                  </w:r>
                </w:p>
              </w:tc>
              <w:tc>
                <w:tcPr>
                  <w:tcW w:w="960" w:type="pct"/>
                  <w:tcBorders>
                    <w:top w:val="single" w:color="auto" w:sz="4" w:space="0"/>
                    <w:left w:val="nil"/>
                    <w:bottom w:val="single" w:color="auto" w:sz="4" w:space="0"/>
                    <w:right w:val="single" w:color="auto" w:sz="4" w:space="0"/>
                  </w:tcBorders>
                  <w:vAlign w:val="center"/>
                </w:tcPr>
                <w:p w14:paraId="5BD7AC3B">
                  <w:pPr>
                    <w:adjustRightInd w:val="0"/>
                    <w:snapToGrid w:val="0"/>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浓度标准</w:t>
                  </w:r>
                </w:p>
              </w:tc>
              <w:tc>
                <w:tcPr>
                  <w:tcW w:w="768" w:type="pct"/>
                  <w:tcBorders>
                    <w:top w:val="single" w:color="auto" w:sz="4" w:space="0"/>
                    <w:left w:val="nil"/>
                    <w:bottom w:val="single" w:color="auto" w:sz="4" w:space="0"/>
                    <w:right w:val="single" w:color="auto" w:sz="4" w:space="0"/>
                  </w:tcBorders>
                  <w:vAlign w:val="center"/>
                </w:tcPr>
                <w:p w14:paraId="7BF74C11">
                  <w:pPr>
                    <w:adjustRightInd w:val="0"/>
                    <w:snapToGrid w:val="0"/>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单位</w:t>
                  </w:r>
                </w:p>
              </w:tc>
              <w:tc>
                <w:tcPr>
                  <w:tcW w:w="1037" w:type="pct"/>
                  <w:tcBorders>
                    <w:top w:val="single" w:color="auto" w:sz="4" w:space="0"/>
                    <w:left w:val="nil"/>
                    <w:bottom w:val="single" w:color="auto" w:sz="4" w:space="0"/>
                    <w:right w:val="single" w:color="auto" w:sz="4" w:space="0"/>
                  </w:tcBorders>
                  <w:vAlign w:val="center"/>
                </w:tcPr>
                <w:p w14:paraId="592E12F3">
                  <w:pPr>
                    <w:adjustRightInd w:val="0"/>
                    <w:snapToGrid w:val="0"/>
                    <w:spacing w:line="240" w:lineRule="auto"/>
                    <w:ind w:firstLine="0" w:firstLineChars="0"/>
                    <w:jc w:val="center"/>
                    <w:rPr>
                      <w:rFonts w:cs="Times New Roman"/>
                      <w:b/>
                      <w:bCs/>
                      <w:color w:val="auto"/>
                      <w:kern w:val="0"/>
                      <w:sz w:val="21"/>
                      <w:szCs w:val="21"/>
                    </w:rPr>
                  </w:pPr>
                  <w:r>
                    <w:rPr>
                      <w:rFonts w:cs="Times New Roman"/>
                      <w:b/>
                      <w:bCs/>
                      <w:color w:val="auto"/>
                      <w:kern w:val="0"/>
                      <w:sz w:val="21"/>
                      <w:szCs w:val="21"/>
                    </w:rPr>
                    <w:t>执行标准</w:t>
                  </w:r>
                </w:p>
              </w:tc>
            </w:tr>
            <w:tr w14:paraId="4243DC61">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4199712D">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SO</w:t>
                  </w:r>
                  <w:r>
                    <w:rPr>
                      <w:rFonts w:cs="Times New Roman"/>
                      <w:color w:val="auto"/>
                      <w:kern w:val="0"/>
                      <w:sz w:val="21"/>
                      <w:szCs w:val="21"/>
                      <w:vertAlign w:val="subscript"/>
                    </w:rPr>
                    <w:t>2</w:t>
                  </w:r>
                </w:p>
              </w:tc>
              <w:tc>
                <w:tcPr>
                  <w:tcW w:w="1362" w:type="pct"/>
                  <w:tcBorders>
                    <w:top w:val="nil"/>
                    <w:left w:val="nil"/>
                    <w:bottom w:val="single" w:color="auto" w:sz="4" w:space="0"/>
                    <w:right w:val="single" w:color="auto" w:sz="4" w:space="0"/>
                  </w:tcBorders>
                  <w:vAlign w:val="center"/>
                </w:tcPr>
                <w:p w14:paraId="36979D65">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年平均</w:t>
                  </w:r>
                </w:p>
              </w:tc>
              <w:tc>
                <w:tcPr>
                  <w:tcW w:w="960" w:type="pct"/>
                  <w:tcBorders>
                    <w:top w:val="nil"/>
                    <w:left w:val="nil"/>
                    <w:bottom w:val="single" w:color="auto" w:sz="4" w:space="0"/>
                    <w:right w:val="single" w:color="auto" w:sz="4" w:space="0"/>
                  </w:tcBorders>
                  <w:vAlign w:val="center"/>
                </w:tcPr>
                <w:p w14:paraId="717E018E">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20</w:t>
                  </w:r>
                </w:p>
              </w:tc>
              <w:tc>
                <w:tcPr>
                  <w:tcW w:w="768" w:type="pct"/>
                  <w:vMerge w:val="restart"/>
                  <w:tcBorders>
                    <w:top w:val="nil"/>
                    <w:left w:val="single" w:color="auto" w:sz="4" w:space="0"/>
                    <w:bottom w:val="single" w:color="auto" w:sz="4" w:space="0"/>
                    <w:right w:val="single" w:color="auto" w:sz="4" w:space="0"/>
                  </w:tcBorders>
                  <w:vAlign w:val="center"/>
                </w:tcPr>
                <w:p w14:paraId="0A0EAAF0">
                  <w:pPr>
                    <w:adjustRightInd w:val="0"/>
                    <w:snapToGrid w:val="0"/>
                    <w:spacing w:line="240" w:lineRule="auto"/>
                    <w:ind w:firstLine="0" w:firstLineChars="0"/>
                    <w:jc w:val="center"/>
                    <w:rPr>
                      <w:rFonts w:cs="Times New Roman"/>
                      <w:bCs/>
                      <w:color w:val="auto"/>
                      <w:kern w:val="0"/>
                      <w:sz w:val="21"/>
                      <w:szCs w:val="21"/>
                    </w:rPr>
                  </w:pPr>
                  <w:r>
                    <w:rPr>
                      <w:rFonts w:hint="eastAsia" w:cs="Times New Roman"/>
                      <w:bCs/>
                      <w:color w:val="auto"/>
                      <w:kern w:val="0"/>
                      <w:sz w:val="21"/>
                      <w:szCs w:val="21"/>
                    </w:rPr>
                    <w:t>μ</w:t>
                  </w:r>
                  <w:r>
                    <w:rPr>
                      <w:rFonts w:cs="Times New Roman"/>
                      <w:bCs/>
                      <w:color w:val="auto"/>
                      <w:kern w:val="0"/>
                      <w:sz w:val="21"/>
                      <w:szCs w:val="21"/>
                    </w:rPr>
                    <w:t>g/m</w:t>
                  </w:r>
                  <w:r>
                    <w:rPr>
                      <w:rFonts w:cs="Times New Roman"/>
                      <w:bCs/>
                      <w:color w:val="auto"/>
                      <w:kern w:val="0"/>
                      <w:sz w:val="21"/>
                      <w:szCs w:val="21"/>
                      <w:vertAlign w:val="superscript"/>
                    </w:rPr>
                    <w:t>3</w:t>
                  </w:r>
                </w:p>
              </w:tc>
              <w:tc>
                <w:tcPr>
                  <w:tcW w:w="1037" w:type="pct"/>
                  <w:vMerge w:val="restart"/>
                  <w:tcBorders>
                    <w:top w:val="nil"/>
                    <w:left w:val="single" w:color="auto" w:sz="4" w:space="0"/>
                    <w:bottom w:val="single" w:color="auto" w:sz="4" w:space="0"/>
                    <w:right w:val="single" w:color="auto" w:sz="4" w:space="0"/>
                  </w:tcBorders>
                  <w:vAlign w:val="center"/>
                </w:tcPr>
                <w:p w14:paraId="6FC06086">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《环境空气质量标准》（GB3095-2012）中</w:t>
                  </w:r>
                  <w:r>
                    <w:rPr>
                      <w:rFonts w:hint="eastAsia" w:cs="Times New Roman"/>
                      <w:color w:val="auto"/>
                      <w:kern w:val="0"/>
                      <w:sz w:val="21"/>
                      <w:szCs w:val="21"/>
                    </w:rPr>
                    <w:t>一</w:t>
                  </w:r>
                  <w:r>
                    <w:rPr>
                      <w:rFonts w:cs="Times New Roman"/>
                      <w:color w:val="auto"/>
                      <w:kern w:val="0"/>
                      <w:sz w:val="21"/>
                      <w:szCs w:val="21"/>
                    </w:rPr>
                    <w:t>级标准</w:t>
                  </w:r>
                </w:p>
              </w:tc>
            </w:tr>
            <w:tr w14:paraId="75561FCE">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406A5E10">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4BA76A12">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709D21B5">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50</w:t>
                  </w:r>
                </w:p>
              </w:tc>
              <w:tc>
                <w:tcPr>
                  <w:tcW w:w="768" w:type="pct"/>
                  <w:vMerge w:val="continue"/>
                  <w:tcBorders>
                    <w:top w:val="nil"/>
                    <w:left w:val="single" w:color="auto" w:sz="4" w:space="0"/>
                    <w:bottom w:val="single" w:color="auto" w:sz="4" w:space="0"/>
                    <w:right w:val="single" w:color="auto" w:sz="4" w:space="0"/>
                  </w:tcBorders>
                  <w:vAlign w:val="center"/>
                </w:tcPr>
                <w:p w14:paraId="57230F8B">
                  <w:pPr>
                    <w:adjustRightInd w:val="0"/>
                    <w:snapToGrid w:val="0"/>
                    <w:spacing w:line="240" w:lineRule="auto"/>
                    <w:ind w:firstLine="0" w:firstLineChars="0"/>
                    <w:jc w:val="center"/>
                    <w:rPr>
                      <w:rFonts w:cs="Times New Roman"/>
                      <w:bCs/>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77182BD2">
                  <w:pPr>
                    <w:adjustRightInd w:val="0"/>
                    <w:snapToGrid w:val="0"/>
                    <w:spacing w:line="240" w:lineRule="auto"/>
                    <w:ind w:firstLine="0" w:firstLineChars="0"/>
                    <w:jc w:val="center"/>
                    <w:rPr>
                      <w:rFonts w:cs="Times New Roman"/>
                      <w:color w:val="auto"/>
                      <w:kern w:val="0"/>
                      <w:sz w:val="21"/>
                      <w:szCs w:val="21"/>
                    </w:rPr>
                  </w:pPr>
                </w:p>
              </w:tc>
            </w:tr>
            <w:tr w14:paraId="263741C0">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040F203E">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5354AE7C">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1小时平均</w:t>
                  </w:r>
                </w:p>
              </w:tc>
              <w:tc>
                <w:tcPr>
                  <w:tcW w:w="960" w:type="pct"/>
                  <w:tcBorders>
                    <w:top w:val="nil"/>
                    <w:left w:val="nil"/>
                    <w:bottom w:val="single" w:color="auto" w:sz="4" w:space="0"/>
                    <w:right w:val="single" w:color="auto" w:sz="4" w:space="0"/>
                  </w:tcBorders>
                  <w:vAlign w:val="center"/>
                </w:tcPr>
                <w:p w14:paraId="72B69B38">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150</w:t>
                  </w:r>
                </w:p>
              </w:tc>
              <w:tc>
                <w:tcPr>
                  <w:tcW w:w="768" w:type="pct"/>
                  <w:vMerge w:val="continue"/>
                  <w:tcBorders>
                    <w:top w:val="nil"/>
                    <w:left w:val="single" w:color="auto" w:sz="4" w:space="0"/>
                    <w:bottom w:val="single" w:color="auto" w:sz="4" w:space="0"/>
                    <w:right w:val="single" w:color="auto" w:sz="4" w:space="0"/>
                  </w:tcBorders>
                  <w:vAlign w:val="center"/>
                </w:tcPr>
                <w:p w14:paraId="626D9AD1">
                  <w:pPr>
                    <w:adjustRightInd w:val="0"/>
                    <w:snapToGrid w:val="0"/>
                    <w:spacing w:line="240" w:lineRule="auto"/>
                    <w:ind w:firstLine="0" w:firstLineChars="0"/>
                    <w:jc w:val="center"/>
                    <w:rPr>
                      <w:rFonts w:cs="Times New Roman"/>
                      <w:bCs/>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21D93E49">
                  <w:pPr>
                    <w:adjustRightInd w:val="0"/>
                    <w:snapToGrid w:val="0"/>
                    <w:spacing w:line="240" w:lineRule="auto"/>
                    <w:ind w:firstLine="0" w:firstLineChars="0"/>
                    <w:jc w:val="center"/>
                    <w:rPr>
                      <w:rFonts w:cs="Times New Roman"/>
                      <w:color w:val="auto"/>
                      <w:kern w:val="0"/>
                      <w:sz w:val="21"/>
                      <w:szCs w:val="21"/>
                    </w:rPr>
                  </w:pPr>
                </w:p>
              </w:tc>
            </w:tr>
            <w:tr w14:paraId="15C8AD01">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30E22450">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NO</w:t>
                  </w:r>
                  <w:r>
                    <w:rPr>
                      <w:rFonts w:cs="Times New Roman"/>
                      <w:color w:val="auto"/>
                      <w:kern w:val="0"/>
                      <w:sz w:val="21"/>
                      <w:szCs w:val="21"/>
                      <w:vertAlign w:val="subscript"/>
                    </w:rPr>
                    <w:t>2</w:t>
                  </w:r>
                </w:p>
              </w:tc>
              <w:tc>
                <w:tcPr>
                  <w:tcW w:w="1362" w:type="pct"/>
                  <w:tcBorders>
                    <w:top w:val="nil"/>
                    <w:left w:val="nil"/>
                    <w:bottom w:val="single" w:color="auto" w:sz="4" w:space="0"/>
                    <w:right w:val="single" w:color="auto" w:sz="4" w:space="0"/>
                  </w:tcBorders>
                  <w:vAlign w:val="center"/>
                </w:tcPr>
                <w:p w14:paraId="6E97E86D">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年平均</w:t>
                  </w:r>
                </w:p>
              </w:tc>
              <w:tc>
                <w:tcPr>
                  <w:tcW w:w="960" w:type="pct"/>
                  <w:tcBorders>
                    <w:top w:val="nil"/>
                    <w:left w:val="nil"/>
                    <w:bottom w:val="single" w:color="auto" w:sz="4" w:space="0"/>
                    <w:right w:val="single" w:color="auto" w:sz="4" w:space="0"/>
                  </w:tcBorders>
                  <w:vAlign w:val="center"/>
                </w:tcPr>
                <w:p w14:paraId="54BC95DB">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40</w:t>
                  </w:r>
                </w:p>
              </w:tc>
              <w:tc>
                <w:tcPr>
                  <w:tcW w:w="768" w:type="pct"/>
                  <w:vMerge w:val="continue"/>
                  <w:tcBorders>
                    <w:top w:val="nil"/>
                    <w:left w:val="single" w:color="auto" w:sz="4" w:space="0"/>
                    <w:bottom w:val="single" w:color="auto" w:sz="4" w:space="0"/>
                    <w:right w:val="single" w:color="auto" w:sz="4" w:space="0"/>
                  </w:tcBorders>
                  <w:vAlign w:val="center"/>
                </w:tcPr>
                <w:p w14:paraId="61CDE0ED">
                  <w:pPr>
                    <w:adjustRightInd w:val="0"/>
                    <w:snapToGrid w:val="0"/>
                    <w:spacing w:line="240" w:lineRule="auto"/>
                    <w:ind w:firstLine="0" w:firstLineChars="0"/>
                    <w:jc w:val="center"/>
                    <w:rPr>
                      <w:rFonts w:cs="Times New Roman"/>
                      <w:bCs/>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323AD34B">
                  <w:pPr>
                    <w:adjustRightInd w:val="0"/>
                    <w:snapToGrid w:val="0"/>
                    <w:spacing w:line="240" w:lineRule="auto"/>
                    <w:ind w:firstLine="0" w:firstLineChars="0"/>
                    <w:jc w:val="center"/>
                    <w:rPr>
                      <w:rFonts w:cs="Times New Roman"/>
                      <w:color w:val="auto"/>
                      <w:kern w:val="0"/>
                      <w:sz w:val="21"/>
                      <w:szCs w:val="21"/>
                    </w:rPr>
                  </w:pPr>
                </w:p>
              </w:tc>
            </w:tr>
            <w:tr w14:paraId="11D2552E">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4EA1C126">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2E7BBB14">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5BC4B3CC">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80</w:t>
                  </w:r>
                </w:p>
              </w:tc>
              <w:tc>
                <w:tcPr>
                  <w:tcW w:w="768" w:type="pct"/>
                  <w:vMerge w:val="continue"/>
                  <w:tcBorders>
                    <w:top w:val="nil"/>
                    <w:left w:val="single" w:color="auto" w:sz="4" w:space="0"/>
                    <w:bottom w:val="single" w:color="auto" w:sz="4" w:space="0"/>
                    <w:right w:val="single" w:color="auto" w:sz="4" w:space="0"/>
                  </w:tcBorders>
                  <w:vAlign w:val="center"/>
                </w:tcPr>
                <w:p w14:paraId="24328888">
                  <w:pPr>
                    <w:adjustRightInd w:val="0"/>
                    <w:snapToGrid w:val="0"/>
                    <w:spacing w:line="240" w:lineRule="auto"/>
                    <w:ind w:firstLine="0" w:firstLineChars="0"/>
                    <w:jc w:val="center"/>
                    <w:rPr>
                      <w:rFonts w:cs="Times New Roman"/>
                      <w:bCs/>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41AC80B4">
                  <w:pPr>
                    <w:adjustRightInd w:val="0"/>
                    <w:snapToGrid w:val="0"/>
                    <w:spacing w:line="240" w:lineRule="auto"/>
                    <w:ind w:firstLine="0" w:firstLineChars="0"/>
                    <w:jc w:val="center"/>
                    <w:rPr>
                      <w:rFonts w:cs="Times New Roman"/>
                      <w:color w:val="auto"/>
                      <w:kern w:val="0"/>
                      <w:sz w:val="21"/>
                      <w:szCs w:val="21"/>
                    </w:rPr>
                  </w:pPr>
                </w:p>
              </w:tc>
            </w:tr>
            <w:tr w14:paraId="0EBF9D07">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4D1A8CBE">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0E96365C">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1小时平均</w:t>
                  </w:r>
                </w:p>
              </w:tc>
              <w:tc>
                <w:tcPr>
                  <w:tcW w:w="960" w:type="pct"/>
                  <w:tcBorders>
                    <w:top w:val="nil"/>
                    <w:left w:val="nil"/>
                    <w:bottom w:val="single" w:color="auto" w:sz="4" w:space="0"/>
                    <w:right w:val="single" w:color="auto" w:sz="4" w:space="0"/>
                  </w:tcBorders>
                  <w:vAlign w:val="center"/>
                </w:tcPr>
                <w:p w14:paraId="33B01907">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200</w:t>
                  </w:r>
                </w:p>
              </w:tc>
              <w:tc>
                <w:tcPr>
                  <w:tcW w:w="768" w:type="pct"/>
                  <w:vMerge w:val="continue"/>
                  <w:tcBorders>
                    <w:top w:val="nil"/>
                    <w:left w:val="single" w:color="auto" w:sz="4" w:space="0"/>
                    <w:bottom w:val="single" w:color="auto" w:sz="4" w:space="0"/>
                    <w:right w:val="single" w:color="auto" w:sz="4" w:space="0"/>
                  </w:tcBorders>
                  <w:vAlign w:val="center"/>
                </w:tcPr>
                <w:p w14:paraId="05BCDE77">
                  <w:pPr>
                    <w:adjustRightInd w:val="0"/>
                    <w:snapToGrid w:val="0"/>
                    <w:spacing w:line="240" w:lineRule="auto"/>
                    <w:ind w:firstLine="0" w:firstLineChars="0"/>
                    <w:jc w:val="center"/>
                    <w:rPr>
                      <w:rFonts w:cs="Times New Roman"/>
                      <w:bCs/>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39AF2232">
                  <w:pPr>
                    <w:adjustRightInd w:val="0"/>
                    <w:snapToGrid w:val="0"/>
                    <w:spacing w:line="240" w:lineRule="auto"/>
                    <w:ind w:firstLine="0" w:firstLineChars="0"/>
                    <w:jc w:val="center"/>
                    <w:rPr>
                      <w:rFonts w:cs="Times New Roman"/>
                      <w:color w:val="auto"/>
                      <w:kern w:val="0"/>
                      <w:sz w:val="21"/>
                      <w:szCs w:val="21"/>
                    </w:rPr>
                  </w:pPr>
                </w:p>
              </w:tc>
            </w:tr>
            <w:tr w14:paraId="04FF0F19">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67F7C63F">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CO</w:t>
                  </w:r>
                </w:p>
              </w:tc>
              <w:tc>
                <w:tcPr>
                  <w:tcW w:w="1362" w:type="pct"/>
                  <w:tcBorders>
                    <w:top w:val="nil"/>
                    <w:left w:val="nil"/>
                    <w:bottom w:val="single" w:color="auto" w:sz="4" w:space="0"/>
                    <w:right w:val="single" w:color="auto" w:sz="4" w:space="0"/>
                  </w:tcBorders>
                  <w:vAlign w:val="center"/>
                </w:tcPr>
                <w:p w14:paraId="277D3B46">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0A57C4D9">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4</w:t>
                  </w:r>
                </w:p>
              </w:tc>
              <w:tc>
                <w:tcPr>
                  <w:tcW w:w="768" w:type="pct"/>
                  <w:vMerge w:val="restart"/>
                  <w:tcBorders>
                    <w:top w:val="nil"/>
                    <w:left w:val="single" w:color="auto" w:sz="4" w:space="0"/>
                    <w:bottom w:val="single" w:color="auto" w:sz="4" w:space="0"/>
                    <w:right w:val="single" w:color="auto" w:sz="4" w:space="0"/>
                  </w:tcBorders>
                  <w:vAlign w:val="center"/>
                </w:tcPr>
                <w:p w14:paraId="64277932">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mg/m</w:t>
                  </w:r>
                  <w:r>
                    <w:rPr>
                      <w:rFonts w:cs="Times New Roman"/>
                      <w:color w:val="auto"/>
                      <w:kern w:val="0"/>
                      <w:sz w:val="21"/>
                      <w:szCs w:val="21"/>
                      <w:vertAlign w:val="superscript"/>
                    </w:rPr>
                    <w:t>3</w:t>
                  </w:r>
                </w:p>
              </w:tc>
              <w:tc>
                <w:tcPr>
                  <w:tcW w:w="1037" w:type="pct"/>
                  <w:vMerge w:val="continue"/>
                  <w:tcBorders>
                    <w:top w:val="nil"/>
                    <w:left w:val="single" w:color="auto" w:sz="4" w:space="0"/>
                    <w:bottom w:val="single" w:color="auto" w:sz="4" w:space="0"/>
                    <w:right w:val="single" w:color="auto" w:sz="4" w:space="0"/>
                  </w:tcBorders>
                  <w:vAlign w:val="center"/>
                </w:tcPr>
                <w:p w14:paraId="59614E20">
                  <w:pPr>
                    <w:adjustRightInd w:val="0"/>
                    <w:snapToGrid w:val="0"/>
                    <w:spacing w:line="240" w:lineRule="auto"/>
                    <w:ind w:firstLine="0" w:firstLineChars="0"/>
                    <w:jc w:val="center"/>
                    <w:rPr>
                      <w:rFonts w:cs="Times New Roman"/>
                      <w:color w:val="auto"/>
                      <w:kern w:val="0"/>
                      <w:sz w:val="21"/>
                      <w:szCs w:val="21"/>
                    </w:rPr>
                  </w:pPr>
                </w:p>
              </w:tc>
            </w:tr>
            <w:tr w14:paraId="4519EF56">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47F2F405">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4E8837A9">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1小时平均</w:t>
                  </w:r>
                </w:p>
              </w:tc>
              <w:tc>
                <w:tcPr>
                  <w:tcW w:w="960" w:type="pct"/>
                  <w:tcBorders>
                    <w:top w:val="nil"/>
                    <w:left w:val="nil"/>
                    <w:bottom w:val="single" w:color="auto" w:sz="4" w:space="0"/>
                    <w:right w:val="single" w:color="auto" w:sz="4" w:space="0"/>
                  </w:tcBorders>
                  <w:vAlign w:val="center"/>
                </w:tcPr>
                <w:p w14:paraId="5ACC320C">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10</w:t>
                  </w:r>
                </w:p>
              </w:tc>
              <w:tc>
                <w:tcPr>
                  <w:tcW w:w="768" w:type="pct"/>
                  <w:vMerge w:val="continue"/>
                  <w:tcBorders>
                    <w:top w:val="nil"/>
                    <w:left w:val="single" w:color="auto" w:sz="4" w:space="0"/>
                    <w:bottom w:val="single" w:color="auto" w:sz="4" w:space="0"/>
                    <w:right w:val="single" w:color="auto" w:sz="4" w:space="0"/>
                  </w:tcBorders>
                  <w:vAlign w:val="center"/>
                </w:tcPr>
                <w:p w14:paraId="66A8E686">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78A09FA8">
                  <w:pPr>
                    <w:adjustRightInd w:val="0"/>
                    <w:snapToGrid w:val="0"/>
                    <w:spacing w:line="240" w:lineRule="auto"/>
                    <w:ind w:firstLine="0" w:firstLineChars="0"/>
                    <w:jc w:val="center"/>
                    <w:rPr>
                      <w:rFonts w:cs="Times New Roman"/>
                      <w:color w:val="auto"/>
                      <w:kern w:val="0"/>
                      <w:sz w:val="21"/>
                      <w:szCs w:val="21"/>
                    </w:rPr>
                  </w:pPr>
                </w:p>
              </w:tc>
            </w:tr>
            <w:tr w14:paraId="0F6BE90D">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0EFF8119">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O</w:t>
                  </w:r>
                  <w:r>
                    <w:rPr>
                      <w:rFonts w:cs="Times New Roman"/>
                      <w:color w:val="auto"/>
                      <w:kern w:val="0"/>
                      <w:sz w:val="21"/>
                      <w:szCs w:val="21"/>
                      <w:vertAlign w:val="subscript"/>
                    </w:rPr>
                    <w:t>3</w:t>
                  </w:r>
                </w:p>
              </w:tc>
              <w:tc>
                <w:tcPr>
                  <w:tcW w:w="1362" w:type="pct"/>
                  <w:tcBorders>
                    <w:top w:val="nil"/>
                    <w:left w:val="nil"/>
                    <w:bottom w:val="single" w:color="auto" w:sz="4" w:space="0"/>
                    <w:right w:val="single" w:color="auto" w:sz="4" w:space="0"/>
                  </w:tcBorders>
                  <w:vAlign w:val="center"/>
                </w:tcPr>
                <w:p w14:paraId="7B08612A">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日最大8小时平均</w:t>
                  </w:r>
                </w:p>
              </w:tc>
              <w:tc>
                <w:tcPr>
                  <w:tcW w:w="960" w:type="pct"/>
                  <w:tcBorders>
                    <w:top w:val="nil"/>
                    <w:left w:val="nil"/>
                    <w:bottom w:val="single" w:color="auto" w:sz="4" w:space="0"/>
                    <w:right w:val="single" w:color="auto" w:sz="4" w:space="0"/>
                  </w:tcBorders>
                  <w:vAlign w:val="center"/>
                </w:tcPr>
                <w:p w14:paraId="0B84743C">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100</w:t>
                  </w:r>
                </w:p>
              </w:tc>
              <w:tc>
                <w:tcPr>
                  <w:tcW w:w="768" w:type="pct"/>
                  <w:vMerge w:val="restart"/>
                  <w:tcBorders>
                    <w:top w:val="nil"/>
                    <w:left w:val="single" w:color="auto" w:sz="4" w:space="0"/>
                    <w:bottom w:val="single" w:color="auto" w:sz="4" w:space="0"/>
                    <w:right w:val="single" w:color="auto" w:sz="4" w:space="0"/>
                  </w:tcBorders>
                  <w:vAlign w:val="center"/>
                </w:tcPr>
                <w:p w14:paraId="736BCB87">
                  <w:pPr>
                    <w:adjustRightInd w:val="0"/>
                    <w:snapToGrid w:val="0"/>
                    <w:spacing w:line="240" w:lineRule="auto"/>
                    <w:ind w:firstLine="0" w:firstLineChars="0"/>
                    <w:jc w:val="center"/>
                    <w:rPr>
                      <w:rFonts w:cs="Times New Roman"/>
                      <w:color w:val="auto"/>
                      <w:kern w:val="0"/>
                      <w:sz w:val="21"/>
                      <w:szCs w:val="21"/>
                    </w:rPr>
                  </w:pPr>
                  <w:r>
                    <w:rPr>
                      <w:rFonts w:hint="eastAsia" w:cs="Times New Roman"/>
                      <w:bCs/>
                      <w:color w:val="auto"/>
                      <w:kern w:val="0"/>
                      <w:sz w:val="21"/>
                      <w:szCs w:val="21"/>
                    </w:rPr>
                    <w:t>μ</w:t>
                  </w:r>
                  <w:r>
                    <w:rPr>
                      <w:rFonts w:cs="Times New Roman"/>
                      <w:bCs/>
                      <w:color w:val="auto"/>
                      <w:kern w:val="0"/>
                      <w:sz w:val="21"/>
                      <w:szCs w:val="21"/>
                    </w:rPr>
                    <w:t>g/m</w:t>
                  </w:r>
                  <w:r>
                    <w:rPr>
                      <w:rFonts w:cs="Times New Roman"/>
                      <w:bCs/>
                      <w:color w:val="auto"/>
                      <w:kern w:val="0"/>
                      <w:sz w:val="21"/>
                      <w:szCs w:val="21"/>
                      <w:vertAlign w:val="superscript"/>
                    </w:rPr>
                    <w:t>3</w:t>
                  </w:r>
                </w:p>
              </w:tc>
              <w:tc>
                <w:tcPr>
                  <w:tcW w:w="1037" w:type="pct"/>
                  <w:vMerge w:val="continue"/>
                  <w:tcBorders>
                    <w:top w:val="nil"/>
                    <w:left w:val="single" w:color="auto" w:sz="4" w:space="0"/>
                    <w:bottom w:val="single" w:color="auto" w:sz="4" w:space="0"/>
                    <w:right w:val="single" w:color="auto" w:sz="4" w:space="0"/>
                  </w:tcBorders>
                  <w:vAlign w:val="center"/>
                </w:tcPr>
                <w:p w14:paraId="096C00EB">
                  <w:pPr>
                    <w:adjustRightInd w:val="0"/>
                    <w:snapToGrid w:val="0"/>
                    <w:spacing w:line="240" w:lineRule="auto"/>
                    <w:ind w:firstLine="0" w:firstLineChars="0"/>
                    <w:jc w:val="center"/>
                    <w:rPr>
                      <w:rFonts w:cs="Times New Roman"/>
                      <w:color w:val="auto"/>
                      <w:kern w:val="0"/>
                      <w:sz w:val="21"/>
                      <w:szCs w:val="21"/>
                    </w:rPr>
                  </w:pPr>
                </w:p>
              </w:tc>
            </w:tr>
            <w:tr w14:paraId="40F843BB">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39D85B9C">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3C3F38E1">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1小时平均</w:t>
                  </w:r>
                </w:p>
              </w:tc>
              <w:tc>
                <w:tcPr>
                  <w:tcW w:w="960" w:type="pct"/>
                  <w:tcBorders>
                    <w:top w:val="nil"/>
                    <w:left w:val="nil"/>
                    <w:bottom w:val="single" w:color="auto" w:sz="4" w:space="0"/>
                    <w:right w:val="single" w:color="auto" w:sz="4" w:space="0"/>
                  </w:tcBorders>
                  <w:vAlign w:val="center"/>
                </w:tcPr>
                <w:p w14:paraId="6075D4F8">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160</w:t>
                  </w:r>
                </w:p>
              </w:tc>
              <w:tc>
                <w:tcPr>
                  <w:tcW w:w="768" w:type="pct"/>
                  <w:vMerge w:val="continue"/>
                  <w:tcBorders>
                    <w:top w:val="nil"/>
                    <w:left w:val="single" w:color="auto" w:sz="4" w:space="0"/>
                    <w:bottom w:val="single" w:color="auto" w:sz="4" w:space="0"/>
                    <w:right w:val="single" w:color="auto" w:sz="4" w:space="0"/>
                  </w:tcBorders>
                  <w:vAlign w:val="center"/>
                </w:tcPr>
                <w:p w14:paraId="23782801">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53A37625">
                  <w:pPr>
                    <w:adjustRightInd w:val="0"/>
                    <w:snapToGrid w:val="0"/>
                    <w:spacing w:line="240" w:lineRule="auto"/>
                    <w:ind w:firstLine="0" w:firstLineChars="0"/>
                    <w:jc w:val="center"/>
                    <w:rPr>
                      <w:rFonts w:cs="Times New Roman"/>
                      <w:color w:val="auto"/>
                      <w:kern w:val="0"/>
                      <w:sz w:val="21"/>
                      <w:szCs w:val="21"/>
                    </w:rPr>
                  </w:pPr>
                </w:p>
              </w:tc>
            </w:tr>
            <w:tr w14:paraId="71A37B13">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0F4B320E">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TSP</w:t>
                  </w:r>
                </w:p>
              </w:tc>
              <w:tc>
                <w:tcPr>
                  <w:tcW w:w="1362" w:type="pct"/>
                  <w:tcBorders>
                    <w:top w:val="nil"/>
                    <w:left w:val="nil"/>
                    <w:bottom w:val="single" w:color="auto" w:sz="4" w:space="0"/>
                    <w:right w:val="single" w:color="auto" w:sz="4" w:space="0"/>
                  </w:tcBorders>
                  <w:vAlign w:val="center"/>
                </w:tcPr>
                <w:p w14:paraId="52CC03C0">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年平均</w:t>
                  </w:r>
                </w:p>
              </w:tc>
              <w:tc>
                <w:tcPr>
                  <w:tcW w:w="960" w:type="pct"/>
                  <w:tcBorders>
                    <w:top w:val="nil"/>
                    <w:left w:val="nil"/>
                    <w:bottom w:val="single" w:color="auto" w:sz="4" w:space="0"/>
                    <w:right w:val="single" w:color="auto" w:sz="4" w:space="0"/>
                  </w:tcBorders>
                  <w:vAlign w:val="center"/>
                </w:tcPr>
                <w:p w14:paraId="77B8AD38">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80</w:t>
                  </w:r>
                </w:p>
              </w:tc>
              <w:tc>
                <w:tcPr>
                  <w:tcW w:w="768" w:type="pct"/>
                  <w:vMerge w:val="continue"/>
                  <w:tcBorders>
                    <w:top w:val="nil"/>
                    <w:left w:val="single" w:color="auto" w:sz="4" w:space="0"/>
                    <w:bottom w:val="single" w:color="auto" w:sz="4" w:space="0"/>
                    <w:right w:val="single" w:color="auto" w:sz="4" w:space="0"/>
                  </w:tcBorders>
                  <w:vAlign w:val="center"/>
                </w:tcPr>
                <w:p w14:paraId="02DA40B2">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09F0B02E">
                  <w:pPr>
                    <w:adjustRightInd w:val="0"/>
                    <w:snapToGrid w:val="0"/>
                    <w:spacing w:line="240" w:lineRule="auto"/>
                    <w:ind w:firstLine="0" w:firstLineChars="0"/>
                    <w:jc w:val="center"/>
                    <w:rPr>
                      <w:rFonts w:cs="Times New Roman"/>
                      <w:color w:val="auto"/>
                      <w:kern w:val="0"/>
                      <w:sz w:val="21"/>
                      <w:szCs w:val="21"/>
                    </w:rPr>
                  </w:pPr>
                </w:p>
              </w:tc>
            </w:tr>
            <w:tr w14:paraId="721A9F92">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27B578BD">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77E5A421">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3FD66C0A">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120</w:t>
                  </w:r>
                </w:p>
              </w:tc>
              <w:tc>
                <w:tcPr>
                  <w:tcW w:w="768" w:type="pct"/>
                  <w:vMerge w:val="continue"/>
                  <w:tcBorders>
                    <w:top w:val="nil"/>
                    <w:left w:val="single" w:color="auto" w:sz="4" w:space="0"/>
                    <w:bottom w:val="single" w:color="auto" w:sz="4" w:space="0"/>
                    <w:right w:val="single" w:color="auto" w:sz="4" w:space="0"/>
                  </w:tcBorders>
                  <w:vAlign w:val="center"/>
                </w:tcPr>
                <w:p w14:paraId="1FFBA4C2">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13EC7A40">
                  <w:pPr>
                    <w:adjustRightInd w:val="0"/>
                    <w:snapToGrid w:val="0"/>
                    <w:spacing w:line="240" w:lineRule="auto"/>
                    <w:ind w:firstLine="0" w:firstLineChars="0"/>
                    <w:jc w:val="center"/>
                    <w:rPr>
                      <w:rFonts w:cs="Times New Roman"/>
                      <w:color w:val="auto"/>
                      <w:kern w:val="0"/>
                      <w:sz w:val="21"/>
                      <w:szCs w:val="21"/>
                    </w:rPr>
                  </w:pPr>
                </w:p>
              </w:tc>
            </w:tr>
            <w:tr w14:paraId="0F4E3BE9">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02689855">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PM</w:t>
                  </w:r>
                  <w:r>
                    <w:rPr>
                      <w:rFonts w:cs="Times New Roman"/>
                      <w:color w:val="auto"/>
                      <w:kern w:val="0"/>
                      <w:sz w:val="21"/>
                      <w:szCs w:val="21"/>
                      <w:vertAlign w:val="subscript"/>
                    </w:rPr>
                    <w:t>2.5</w:t>
                  </w:r>
                </w:p>
              </w:tc>
              <w:tc>
                <w:tcPr>
                  <w:tcW w:w="1362" w:type="pct"/>
                  <w:tcBorders>
                    <w:top w:val="nil"/>
                    <w:left w:val="nil"/>
                    <w:bottom w:val="single" w:color="auto" w:sz="4" w:space="0"/>
                    <w:right w:val="single" w:color="auto" w:sz="4" w:space="0"/>
                  </w:tcBorders>
                  <w:vAlign w:val="center"/>
                </w:tcPr>
                <w:p w14:paraId="01A8A4C3">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年平均</w:t>
                  </w:r>
                </w:p>
              </w:tc>
              <w:tc>
                <w:tcPr>
                  <w:tcW w:w="960" w:type="pct"/>
                  <w:tcBorders>
                    <w:top w:val="nil"/>
                    <w:left w:val="nil"/>
                    <w:bottom w:val="single" w:color="auto" w:sz="4" w:space="0"/>
                    <w:right w:val="single" w:color="auto" w:sz="4" w:space="0"/>
                  </w:tcBorders>
                  <w:vAlign w:val="center"/>
                </w:tcPr>
                <w:p w14:paraId="3DC582F1">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15</w:t>
                  </w:r>
                </w:p>
              </w:tc>
              <w:tc>
                <w:tcPr>
                  <w:tcW w:w="768" w:type="pct"/>
                  <w:vMerge w:val="continue"/>
                  <w:tcBorders>
                    <w:top w:val="nil"/>
                    <w:left w:val="single" w:color="auto" w:sz="4" w:space="0"/>
                    <w:bottom w:val="single" w:color="auto" w:sz="4" w:space="0"/>
                    <w:right w:val="single" w:color="auto" w:sz="4" w:space="0"/>
                  </w:tcBorders>
                  <w:vAlign w:val="center"/>
                </w:tcPr>
                <w:p w14:paraId="5D3D2791">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0E23D27A">
                  <w:pPr>
                    <w:adjustRightInd w:val="0"/>
                    <w:snapToGrid w:val="0"/>
                    <w:spacing w:line="240" w:lineRule="auto"/>
                    <w:ind w:firstLine="0" w:firstLineChars="0"/>
                    <w:jc w:val="center"/>
                    <w:rPr>
                      <w:rFonts w:cs="Times New Roman"/>
                      <w:color w:val="auto"/>
                      <w:kern w:val="0"/>
                      <w:sz w:val="21"/>
                      <w:szCs w:val="21"/>
                    </w:rPr>
                  </w:pPr>
                </w:p>
              </w:tc>
            </w:tr>
            <w:tr w14:paraId="1F7684EE">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475D05DA">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56B65C7A">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2D069DD2">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35</w:t>
                  </w:r>
                </w:p>
              </w:tc>
              <w:tc>
                <w:tcPr>
                  <w:tcW w:w="768" w:type="pct"/>
                  <w:vMerge w:val="continue"/>
                  <w:tcBorders>
                    <w:top w:val="nil"/>
                    <w:left w:val="single" w:color="auto" w:sz="4" w:space="0"/>
                    <w:bottom w:val="single" w:color="auto" w:sz="4" w:space="0"/>
                    <w:right w:val="single" w:color="auto" w:sz="4" w:space="0"/>
                  </w:tcBorders>
                  <w:vAlign w:val="center"/>
                </w:tcPr>
                <w:p w14:paraId="71E15189">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6C01E336">
                  <w:pPr>
                    <w:adjustRightInd w:val="0"/>
                    <w:snapToGrid w:val="0"/>
                    <w:spacing w:line="240" w:lineRule="auto"/>
                    <w:ind w:firstLine="0" w:firstLineChars="0"/>
                    <w:jc w:val="center"/>
                    <w:rPr>
                      <w:rFonts w:cs="Times New Roman"/>
                      <w:color w:val="auto"/>
                      <w:kern w:val="0"/>
                      <w:sz w:val="21"/>
                      <w:szCs w:val="21"/>
                    </w:rPr>
                  </w:pPr>
                </w:p>
              </w:tc>
            </w:tr>
            <w:tr w14:paraId="6F3EC945">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20D6711C">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PM</w:t>
                  </w:r>
                  <w:r>
                    <w:rPr>
                      <w:rFonts w:cs="Times New Roman"/>
                      <w:color w:val="auto"/>
                      <w:kern w:val="0"/>
                      <w:sz w:val="21"/>
                      <w:szCs w:val="21"/>
                      <w:vertAlign w:val="subscript"/>
                    </w:rPr>
                    <w:t>10</w:t>
                  </w:r>
                </w:p>
              </w:tc>
              <w:tc>
                <w:tcPr>
                  <w:tcW w:w="1362" w:type="pct"/>
                  <w:tcBorders>
                    <w:top w:val="nil"/>
                    <w:left w:val="nil"/>
                    <w:bottom w:val="single" w:color="auto" w:sz="4" w:space="0"/>
                    <w:right w:val="single" w:color="auto" w:sz="4" w:space="0"/>
                  </w:tcBorders>
                  <w:vAlign w:val="center"/>
                </w:tcPr>
                <w:p w14:paraId="5DBE000F">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年平均</w:t>
                  </w:r>
                </w:p>
              </w:tc>
              <w:tc>
                <w:tcPr>
                  <w:tcW w:w="960" w:type="pct"/>
                  <w:tcBorders>
                    <w:top w:val="nil"/>
                    <w:left w:val="nil"/>
                    <w:bottom w:val="single" w:color="auto" w:sz="4" w:space="0"/>
                    <w:right w:val="single" w:color="auto" w:sz="4" w:space="0"/>
                  </w:tcBorders>
                  <w:vAlign w:val="center"/>
                </w:tcPr>
                <w:p w14:paraId="5D1524D3">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40</w:t>
                  </w:r>
                </w:p>
              </w:tc>
              <w:tc>
                <w:tcPr>
                  <w:tcW w:w="768" w:type="pct"/>
                  <w:vMerge w:val="continue"/>
                  <w:tcBorders>
                    <w:top w:val="nil"/>
                    <w:left w:val="single" w:color="auto" w:sz="4" w:space="0"/>
                    <w:bottom w:val="single" w:color="auto" w:sz="4" w:space="0"/>
                    <w:right w:val="single" w:color="auto" w:sz="4" w:space="0"/>
                  </w:tcBorders>
                  <w:vAlign w:val="center"/>
                </w:tcPr>
                <w:p w14:paraId="0F32A9A4">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25A2BD24">
                  <w:pPr>
                    <w:adjustRightInd w:val="0"/>
                    <w:snapToGrid w:val="0"/>
                    <w:spacing w:line="240" w:lineRule="auto"/>
                    <w:ind w:firstLine="0" w:firstLineChars="0"/>
                    <w:jc w:val="center"/>
                    <w:rPr>
                      <w:rFonts w:cs="Times New Roman"/>
                      <w:color w:val="auto"/>
                      <w:kern w:val="0"/>
                      <w:sz w:val="21"/>
                      <w:szCs w:val="21"/>
                    </w:rPr>
                  </w:pPr>
                </w:p>
              </w:tc>
            </w:tr>
            <w:tr w14:paraId="48F77664">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56BC48F0">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1046F62F">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0D5F1822">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50</w:t>
                  </w:r>
                </w:p>
              </w:tc>
              <w:tc>
                <w:tcPr>
                  <w:tcW w:w="768" w:type="pct"/>
                  <w:vMerge w:val="continue"/>
                  <w:tcBorders>
                    <w:top w:val="nil"/>
                    <w:left w:val="single" w:color="auto" w:sz="4" w:space="0"/>
                    <w:bottom w:val="single" w:color="auto" w:sz="4" w:space="0"/>
                    <w:right w:val="single" w:color="auto" w:sz="4" w:space="0"/>
                  </w:tcBorders>
                  <w:vAlign w:val="center"/>
                </w:tcPr>
                <w:p w14:paraId="142D8687">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318EA908">
                  <w:pPr>
                    <w:adjustRightInd w:val="0"/>
                    <w:snapToGrid w:val="0"/>
                    <w:spacing w:line="240" w:lineRule="auto"/>
                    <w:ind w:firstLine="0" w:firstLineChars="0"/>
                    <w:jc w:val="center"/>
                    <w:rPr>
                      <w:rFonts w:cs="Times New Roman"/>
                      <w:color w:val="auto"/>
                      <w:kern w:val="0"/>
                      <w:sz w:val="21"/>
                      <w:szCs w:val="21"/>
                    </w:rPr>
                  </w:pPr>
                </w:p>
              </w:tc>
            </w:tr>
            <w:tr w14:paraId="73A9DD79">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5885B60A">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SO</w:t>
                  </w:r>
                  <w:r>
                    <w:rPr>
                      <w:rFonts w:cs="Times New Roman"/>
                      <w:color w:val="auto"/>
                      <w:kern w:val="0"/>
                      <w:sz w:val="21"/>
                      <w:szCs w:val="21"/>
                      <w:vertAlign w:val="subscript"/>
                    </w:rPr>
                    <w:t>2</w:t>
                  </w:r>
                </w:p>
              </w:tc>
              <w:tc>
                <w:tcPr>
                  <w:tcW w:w="1362" w:type="pct"/>
                  <w:tcBorders>
                    <w:top w:val="nil"/>
                    <w:left w:val="nil"/>
                    <w:bottom w:val="single" w:color="auto" w:sz="4" w:space="0"/>
                    <w:right w:val="single" w:color="auto" w:sz="4" w:space="0"/>
                  </w:tcBorders>
                  <w:vAlign w:val="center"/>
                </w:tcPr>
                <w:p w14:paraId="1CA58410">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年平均</w:t>
                  </w:r>
                </w:p>
              </w:tc>
              <w:tc>
                <w:tcPr>
                  <w:tcW w:w="960" w:type="pct"/>
                  <w:tcBorders>
                    <w:top w:val="nil"/>
                    <w:left w:val="nil"/>
                    <w:bottom w:val="single" w:color="auto" w:sz="4" w:space="0"/>
                    <w:right w:val="single" w:color="auto" w:sz="4" w:space="0"/>
                  </w:tcBorders>
                  <w:vAlign w:val="center"/>
                </w:tcPr>
                <w:p w14:paraId="14C818E8">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60</w:t>
                  </w:r>
                </w:p>
              </w:tc>
              <w:tc>
                <w:tcPr>
                  <w:tcW w:w="768" w:type="pct"/>
                  <w:vMerge w:val="restart"/>
                  <w:tcBorders>
                    <w:top w:val="nil"/>
                    <w:left w:val="single" w:color="auto" w:sz="4" w:space="0"/>
                    <w:bottom w:val="single" w:color="auto" w:sz="4" w:space="0"/>
                    <w:right w:val="single" w:color="auto" w:sz="4" w:space="0"/>
                  </w:tcBorders>
                  <w:vAlign w:val="center"/>
                </w:tcPr>
                <w:p w14:paraId="5B702D82">
                  <w:pPr>
                    <w:adjustRightInd w:val="0"/>
                    <w:snapToGrid w:val="0"/>
                    <w:spacing w:line="240" w:lineRule="auto"/>
                    <w:ind w:firstLine="0" w:firstLineChars="0"/>
                    <w:jc w:val="center"/>
                    <w:rPr>
                      <w:rFonts w:cs="Times New Roman"/>
                      <w:bCs/>
                      <w:color w:val="auto"/>
                      <w:kern w:val="0"/>
                      <w:sz w:val="21"/>
                      <w:szCs w:val="21"/>
                    </w:rPr>
                  </w:pPr>
                  <w:r>
                    <w:rPr>
                      <w:rFonts w:hint="eastAsia" w:cs="Times New Roman"/>
                      <w:bCs/>
                      <w:color w:val="auto"/>
                      <w:kern w:val="0"/>
                      <w:sz w:val="21"/>
                      <w:szCs w:val="21"/>
                    </w:rPr>
                    <w:t>μ</w:t>
                  </w:r>
                  <w:r>
                    <w:rPr>
                      <w:rFonts w:cs="Times New Roman"/>
                      <w:bCs/>
                      <w:color w:val="auto"/>
                      <w:kern w:val="0"/>
                      <w:sz w:val="21"/>
                      <w:szCs w:val="21"/>
                    </w:rPr>
                    <w:t>g/m</w:t>
                  </w:r>
                  <w:r>
                    <w:rPr>
                      <w:rFonts w:cs="Times New Roman"/>
                      <w:bCs/>
                      <w:color w:val="auto"/>
                      <w:kern w:val="0"/>
                      <w:sz w:val="21"/>
                      <w:szCs w:val="21"/>
                      <w:vertAlign w:val="superscript"/>
                    </w:rPr>
                    <w:t>3</w:t>
                  </w:r>
                </w:p>
              </w:tc>
              <w:tc>
                <w:tcPr>
                  <w:tcW w:w="1037" w:type="pct"/>
                  <w:vMerge w:val="restart"/>
                  <w:tcBorders>
                    <w:top w:val="nil"/>
                    <w:left w:val="single" w:color="auto" w:sz="4" w:space="0"/>
                    <w:bottom w:val="single" w:color="auto" w:sz="4" w:space="0"/>
                    <w:right w:val="single" w:color="auto" w:sz="4" w:space="0"/>
                  </w:tcBorders>
                  <w:vAlign w:val="center"/>
                </w:tcPr>
                <w:p w14:paraId="798EBB06">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《环境空气质量标准》（GB3095-2012）中二级标准</w:t>
                  </w:r>
                </w:p>
              </w:tc>
            </w:tr>
            <w:tr w14:paraId="247AA9C6">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56A25461">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2C8BFCF5">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1174162D">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150</w:t>
                  </w:r>
                </w:p>
              </w:tc>
              <w:tc>
                <w:tcPr>
                  <w:tcW w:w="768" w:type="pct"/>
                  <w:vMerge w:val="continue"/>
                  <w:tcBorders>
                    <w:top w:val="nil"/>
                    <w:left w:val="single" w:color="auto" w:sz="4" w:space="0"/>
                    <w:bottom w:val="single" w:color="auto" w:sz="4" w:space="0"/>
                    <w:right w:val="single" w:color="auto" w:sz="4" w:space="0"/>
                  </w:tcBorders>
                  <w:vAlign w:val="center"/>
                </w:tcPr>
                <w:p w14:paraId="2D8387A7">
                  <w:pPr>
                    <w:adjustRightInd w:val="0"/>
                    <w:snapToGrid w:val="0"/>
                    <w:spacing w:line="240" w:lineRule="auto"/>
                    <w:ind w:firstLine="0" w:firstLineChars="0"/>
                    <w:jc w:val="center"/>
                    <w:rPr>
                      <w:rFonts w:cs="Times New Roman"/>
                      <w:bCs/>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29F7DA33">
                  <w:pPr>
                    <w:adjustRightInd w:val="0"/>
                    <w:snapToGrid w:val="0"/>
                    <w:spacing w:line="240" w:lineRule="auto"/>
                    <w:ind w:firstLine="0" w:firstLineChars="0"/>
                    <w:jc w:val="center"/>
                    <w:rPr>
                      <w:rFonts w:cs="Times New Roman"/>
                      <w:color w:val="auto"/>
                      <w:kern w:val="0"/>
                      <w:sz w:val="21"/>
                      <w:szCs w:val="21"/>
                    </w:rPr>
                  </w:pPr>
                </w:p>
              </w:tc>
            </w:tr>
            <w:tr w14:paraId="24CE93D6">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10CFE334">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124C064E">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1小时平均</w:t>
                  </w:r>
                </w:p>
              </w:tc>
              <w:tc>
                <w:tcPr>
                  <w:tcW w:w="960" w:type="pct"/>
                  <w:tcBorders>
                    <w:top w:val="nil"/>
                    <w:left w:val="nil"/>
                    <w:bottom w:val="single" w:color="auto" w:sz="4" w:space="0"/>
                    <w:right w:val="single" w:color="auto" w:sz="4" w:space="0"/>
                  </w:tcBorders>
                  <w:vAlign w:val="center"/>
                </w:tcPr>
                <w:p w14:paraId="099A8B99">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500</w:t>
                  </w:r>
                </w:p>
              </w:tc>
              <w:tc>
                <w:tcPr>
                  <w:tcW w:w="768" w:type="pct"/>
                  <w:vMerge w:val="continue"/>
                  <w:tcBorders>
                    <w:top w:val="nil"/>
                    <w:left w:val="single" w:color="auto" w:sz="4" w:space="0"/>
                    <w:bottom w:val="single" w:color="auto" w:sz="4" w:space="0"/>
                    <w:right w:val="single" w:color="auto" w:sz="4" w:space="0"/>
                  </w:tcBorders>
                  <w:vAlign w:val="center"/>
                </w:tcPr>
                <w:p w14:paraId="08EA14F9">
                  <w:pPr>
                    <w:adjustRightInd w:val="0"/>
                    <w:snapToGrid w:val="0"/>
                    <w:spacing w:line="240" w:lineRule="auto"/>
                    <w:ind w:firstLine="0" w:firstLineChars="0"/>
                    <w:jc w:val="center"/>
                    <w:rPr>
                      <w:rFonts w:cs="Times New Roman"/>
                      <w:bCs/>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17334444">
                  <w:pPr>
                    <w:adjustRightInd w:val="0"/>
                    <w:snapToGrid w:val="0"/>
                    <w:spacing w:line="240" w:lineRule="auto"/>
                    <w:ind w:firstLine="0" w:firstLineChars="0"/>
                    <w:jc w:val="center"/>
                    <w:rPr>
                      <w:rFonts w:cs="Times New Roman"/>
                      <w:color w:val="auto"/>
                      <w:kern w:val="0"/>
                      <w:sz w:val="21"/>
                      <w:szCs w:val="21"/>
                    </w:rPr>
                  </w:pPr>
                </w:p>
              </w:tc>
            </w:tr>
            <w:tr w14:paraId="74D7BBC7">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240A35E3">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NO</w:t>
                  </w:r>
                  <w:r>
                    <w:rPr>
                      <w:rFonts w:cs="Times New Roman"/>
                      <w:color w:val="auto"/>
                      <w:kern w:val="0"/>
                      <w:sz w:val="21"/>
                      <w:szCs w:val="21"/>
                      <w:vertAlign w:val="subscript"/>
                    </w:rPr>
                    <w:t>2</w:t>
                  </w:r>
                </w:p>
              </w:tc>
              <w:tc>
                <w:tcPr>
                  <w:tcW w:w="1362" w:type="pct"/>
                  <w:tcBorders>
                    <w:top w:val="nil"/>
                    <w:left w:val="nil"/>
                    <w:bottom w:val="single" w:color="auto" w:sz="4" w:space="0"/>
                    <w:right w:val="single" w:color="auto" w:sz="4" w:space="0"/>
                  </w:tcBorders>
                  <w:vAlign w:val="center"/>
                </w:tcPr>
                <w:p w14:paraId="36C20155">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年平均</w:t>
                  </w:r>
                </w:p>
              </w:tc>
              <w:tc>
                <w:tcPr>
                  <w:tcW w:w="960" w:type="pct"/>
                  <w:tcBorders>
                    <w:top w:val="nil"/>
                    <w:left w:val="nil"/>
                    <w:bottom w:val="single" w:color="auto" w:sz="4" w:space="0"/>
                    <w:right w:val="single" w:color="auto" w:sz="4" w:space="0"/>
                  </w:tcBorders>
                  <w:vAlign w:val="center"/>
                </w:tcPr>
                <w:p w14:paraId="4BB9F8BD">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40</w:t>
                  </w:r>
                </w:p>
              </w:tc>
              <w:tc>
                <w:tcPr>
                  <w:tcW w:w="768" w:type="pct"/>
                  <w:vMerge w:val="continue"/>
                  <w:tcBorders>
                    <w:top w:val="nil"/>
                    <w:left w:val="single" w:color="auto" w:sz="4" w:space="0"/>
                    <w:bottom w:val="single" w:color="auto" w:sz="4" w:space="0"/>
                    <w:right w:val="single" w:color="auto" w:sz="4" w:space="0"/>
                  </w:tcBorders>
                  <w:vAlign w:val="center"/>
                </w:tcPr>
                <w:p w14:paraId="388842DA">
                  <w:pPr>
                    <w:adjustRightInd w:val="0"/>
                    <w:snapToGrid w:val="0"/>
                    <w:spacing w:line="240" w:lineRule="auto"/>
                    <w:ind w:firstLine="0" w:firstLineChars="0"/>
                    <w:jc w:val="center"/>
                    <w:rPr>
                      <w:rFonts w:cs="Times New Roman"/>
                      <w:bCs/>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5E797704">
                  <w:pPr>
                    <w:adjustRightInd w:val="0"/>
                    <w:snapToGrid w:val="0"/>
                    <w:spacing w:line="240" w:lineRule="auto"/>
                    <w:ind w:firstLine="0" w:firstLineChars="0"/>
                    <w:jc w:val="center"/>
                    <w:rPr>
                      <w:rFonts w:cs="Times New Roman"/>
                      <w:color w:val="auto"/>
                      <w:kern w:val="0"/>
                      <w:sz w:val="21"/>
                      <w:szCs w:val="21"/>
                    </w:rPr>
                  </w:pPr>
                </w:p>
              </w:tc>
            </w:tr>
            <w:tr w14:paraId="3B4FC81C">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134BADA4">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5951393B">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1C0D5F4F">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80</w:t>
                  </w:r>
                </w:p>
              </w:tc>
              <w:tc>
                <w:tcPr>
                  <w:tcW w:w="768" w:type="pct"/>
                  <w:vMerge w:val="continue"/>
                  <w:tcBorders>
                    <w:top w:val="nil"/>
                    <w:left w:val="single" w:color="auto" w:sz="4" w:space="0"/>
                    <w:bottom w:val="single" w:color="auto" w:sz="4" w:space="0"/>
                    <w:right w:val="single" w:color="auto" w:sz="4" w:space="0"/>
                  </w:tcBorders>
                  <w:vAlign w:val="center"/>
                </w:tcPr>
                <w:p w14:paraId="480E0921">
                  <w:pPr>
                    <w:adjustRightInd w:val="0"/>
                    <w:snapToGrid w:val="0"/>
                    <w:spacing w:line="240" w:lineRule="auto"/>
                    <w:ind w:firstLine="0" w:firstLineChars="0"/>
                    <w:jc w:val="center"/>
                    <w:rPr>
                      <w:rFonts w:cs="Times New Roman"/>
                      <w:bCs/>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5D811000">
                  <w:pPr>
                    <w:adjustRightInd w:val="0"/>
                    <w:snapToGrid w:val="0"/>
                    <w:spacing w:line="240" w:lineRule="auto"/>
                    <w:ind w:firstLine="0" w:firstLineChars="0"/>
                    <w:jc w:val="center"/>
                    <w:rPr>
                      <w:rFonts w:cs="Times New Roman"/>
                      <w:color w:val="auto"/>
                      <w:kern w:val="0"/>
                      <w:sz w:val="21"/>
                      <w:szCs w:val="21"/>
                    </w:rPr>
                  </w:pPr>
                </w:p>
              </w:tc>
            </w:tr>
            <w:tr w14:paraId="0157EA7C">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7EBCBA87">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294CBD83">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1小时平均</w:t>
                  </w:r>
                </w:p>
              </w:tc>
              <w:tc>
                <w:tcPr>
                  <w:tcW w:w="960" w:type="pct"/>
                  <w:tcBorders>
                    <w:top w:val="nil"/>
                    <w:left w:val="nil"/>
                    <w:bottom w:val="single" w:color="auto" w:sz="4" w:space="0"/>
                    <w:right w:val="single" w:color="auto" w:sz="4" w:space="0"/>
                  </w:tcBorders>
                  <w:vAlign w:val="center"/>
                </w:tcPr>
                <w:p w14:paraId="000F16CC">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200</w:t>
                  </w:r>
                </w:p>
              </w:tc>
              <w:tc>
                <w:tcPr>
                  <w:tcW w:w="768" w:type="pct"/>
                  <w:vMerge w:val="continue"/>
                  <w:tcBorders>
                    <w:top w:val="nil"/>
                    <w:left w:val="single" w:color="auto" w:sz="4" w:space="0"/>
                    <w:bottom w:val="single" w:color="auto" w:sz="4" w:space="0"/>
                    <w:right w:val="single" w:color="auto" w:sz="4" w:space="0"/>
                  </w:tcBorders>
                  <w:vAlign w:val="center"/>
                </w:tcPr>
                <w:p w14:paraId="5DEA392B">
                  <w:pPr>
                    <w:adjustRightInd w:val="0"/>
                    <w:snapToGrid w:val="0"/>
                    <w:spacing w:line="240" w:lineRule="auto"/>
                    <w:ind w:firstLine="0" w:firstLineChars="0"/>
                    <w:jc w:val="center"/>
                    <w:rPr>
                      <w:rFonts w:cs="Times New Roman"/>
                      <w:bCs/>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7DA01523">
                  <w:pPr>
                    <w:adjustRightInd w:val="0"/>
                    <w:snapToGrid w:val="0"/>
                    <w:spacing w:line="240" w:lineRule="auto"/>
                    <w:ind w:firstLine="0" w:firstLineChars="0"/>
                    <w:jc w:val="center"/>
                    <w:rPr>
                      <w:rFonts w:cs="Times New Roman"/>
                      <w:color w:val="auto"/>
                      <w:kern w:val="0"/>
                      <w:sz w:val="21"/>
                      <w:szCs w:val="21"/>
                    </w:rPr>
                  </w:pPr>
                </w:p>
              </w:tc>
            </w:tr>
            <w:tr w14:paraId="511C5329">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24CB59CF">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CO</w:t>
                  </w:r>
                </w:p>
              </w:tc>
              <w:tc>
                <w:tcPr>
                  <w:tcW w:w="1362" w:type="pct"/>
                  <w:tcBorders>
                    <w:top w:val="nil"/>
                    <w:left w:val="nil"/>
                    <w:bottom w:val="single" w:color="auto" w:sz="4" w:space="0"/>
                    <w:right w:val="single" w:color="auto" w:sz="4" w:space="0"/>
                  </w:tcBorders>
                  <w:vAlign w:val="center"/>
                </w:tcPr>
                <w:p w14:paraId="28412DF9">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678D6B48">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4</w:t>
                  </w:r>
                </w:p>
              </w:tc>
              <w:tc>
                <w:tcPr>
                  <w:tcW w:w="768" w:type="pct"/>
                  <w:vMerge w:val="restart"/>
                  <w:tcBorders>
                    <w:top w:val="nil"/>
                    <w:left w:val="single" w:color="auto" w:sz="4" w:space="0"/>
                    <w:bottom w:val="single" w:color="auto" w:sz="4" w:space="0"/>
                    <w:right w:val="single" w:color="auto" w:sz="4" w:space="0"/>
                  </w:tcBorders>
                  <w:vAlign w:val="center"/>
                </w:tcPr>
                <w:p w14:paraId="375985BB">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mg/m</w:t>
                  </w:r>
                  <w:r>
                    <w:rPr>
                      <w:rFonts w:cs="Times New Roman"/>
                      <w:color w:val="auto"/>
                      <w:kern w:val="0"/>
                      <w:sz w:val="21"/>
                      <w:szCs w:val="21"/>
                      <w:vertAlign w:val="superscript"/>
                    </w:rPr>
                    <w:t>3</w:t>
                  </w:r>
                </w:p>
              </w:tc>
              <w:tc>
                <w:tcPr>
                  <w:tcW w:w="1037" w:type="pct"/>
                  <w:vMerge w:val="continue"/>
                  <w:tcBorders>
                    <w:top w:val="nil"/>
                    <w:left w:val="single" w:color="auto" w:sz="4" w:space="0"/>
                    <w:bottom w:val="single" w:color="auto" w:sz="4" w:space="0"/>
                    <w:right w:val="single" w:color="auto" w:sz="4" w:space="0"/>
                  </w:tcBorders>
                  <w:vAlign w:val="center"/>
                </w:tcPr>
                <w:p w14:paraId="006C2D8E">
                  <w:pPr>
                    <w:adjustRightInd w:val="0"/>
                    <w:snapToGrid w:val="0"/>
                    <w:spacing w:line="240" w:lineRule="auto"/>
                    <w:ind w:firstLine="0" w:firstLineChars="0"/>
                    <w:jc w:val="center"/>
                    <w:rPr>
                      <w:rFonts w:cs="Times New Roman"/>
                      <w:color w:val="auto"/>
                      <w:kern w:val="0"/>
                      <w:sz w:val="21"/>
                      <w:szCs w:val="21"/>
                    </w:rPr>
                  </w:pPr>
                </w:p>
              </w:tc>
            </w:tr>
            <w:tr w14:paraId="395BF369">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46AF3D0A">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4BC57236">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1小时平均</w:t>
                  </w:r>
                </w:p>
              </w:tc>
              <w:tc>
                <w:tcPr>
                  <w:tcW w:w="960" w:type="pct"/>
                  <w:tcBorders>
                    <w:top w:val="nil"/>
                    <w:left w:val="nil"/>
                    <w:bottom w:val="single" w:color="auto" w:sz="4" w:space="0"/>
                    <w:right w:val="single" w:color="auto" w:sz="4" w:space="0"/>
                  </w:tcBorders>
                  <w:vAlign w:val="center"/>
                </w:tcPr>
                <w:p w14:paraId="70BB69B1">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10</w:t>
                  </w:r>
                </w:p>
              </w:tc>
              <w:tc>
                <w:tcPr>
                  <w:tcW w:w="768" w:type="pct"/>
                  <w:vMerge w:val="continue"/>
                  <w:tcBorders>
                    <w:top w:val="nil"/>
                    <w:left w:val="single" w:color="auto" w:sz="4" w:space="0"/>
                    <w:bottom w:val="single" w:color="auto" w:sz="4" w:space="0"/>
                    <w:right w:val="single" w:color="auto" w:sz="4" w:space="0"/>
                  </w:tcBorders>
                  <w:vAlign w:val="center"/>
                </w:tcPr>
                <w:p w14:paraId="60D2909A">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090253F7">
                  <w:pPr>
                    <w:adjustRightInd w:val="0"/>
                    <w:snapToGrid w:val="0"/>
                    <w:spacing w:line="240" w:lineRule="auto"/>
                    <w:ind w:firstLine="0" w:firstLineChars="0"/>
                    <w:jc w:val="center"/>
                    <w:rPr>
                      <w:rFonts w:cs="Times New Roman"/>
                      <w:color w:val="auto"/>
                      <w:kern w:val="0"/>
                      <w:sz w:val="21"/>
                      <w:szCs w:val="21"/>
                    </w:rPr>
                  </w:pPr>
                </w:p>
              </w:tc>
            </w:tr>
            <w:tr w14:paraId="1616AC87">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1795E454">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O</w:t>
                  </w:r>
                  <w:r>
                    <w:rPr>
                      <w:rFonts w:cs="Times New Roman"/>
                      <w:color w:val="auto"/>
                      <w:kern w:val="0"/>
                      <w:sz w:val="21"/>
                      <w:szCs w:val="21"/>
                      <w:vertAlign w:val="subscript"/>
                    </w:rPr>
                    <w:t>3</w:t>
                  </w:r>
                </w:p>
              </w:tc>
              <w:tc>
                <w:tcPr>
                  <w:tcW w:w="1362" w:type="pct"/>
                  <w:tcBorders>
                    <w:top w:val="nil"/>
                    <w:left w:val="nil"/>
                    <w:bottom w:val="single" w:color="auto" w:sz="4" w:space="0"/>
                    <w:right w:val="single" w:color="auto" w:sz="4" w:space="0"/>
                  </w:tcBorders>
                  <w:vAlign w:val="center"/>
                </w:tcPr>
                <w:p w14:paraId="6C65348B">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日最大8小时平均</w:t>
                  </w:r>
                </w:p>
              </w:tc>
              <w:tc>
                <w:tcPr>
                  <w:tcW w:w="960" w:type="pct"/>
                  <w:tcBorders>
                    <w:top w:val="nil"/>
                    <w:left w:val="nil"/>
                    <w:bottom w:val="single" w:color="auto" w:sz="4" w:space="0"/>
                    <w:right w:val="single" w:color="auto" w:sz="4" w:space="0"/>
                  </w:tcBorders>
                  <w:vAlign w:val="center"/>
                </w:tcPr>
                <w:p w14:paraId="019DA406">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160</w:t>
                  </w:r>
                </w:p>
              </w:tc>
              <w:tc>
                <w:tcPr>
                  <w:tcW w:w="768" w:type="pct"/>
                  <w:vMerge w:val="restart"/>
                  <w:tcBorders>
                    <w:top w:val="nil"/>
                    <w:left w:val="single" w:color="auto" w:sz="4" w:space="0"/>
                    <w:bottom w:val="single" w:color="auto" w:sz="4" w:space="0"/>
                    <w:right w:val="single" w:color="auto" w:sz="4" w:space="0"/>
                  </w:tcBorders>
                  <w:vAlign w:val="center"/>
                </w:tcPr>
                <w:p w14:paraId="17AA2079">
                  <w:pPr>
                    <w:adjustRightInd w:val="0"/>
                    <w:snapToGrid w:val="0"/>
                    <w:spacing w:line="240" w:lineRule="auto"/>
                    <w:ind w:firstLine="0" w:firstLineChars="0"/>
                    <w:jc w:val="center"/>
                    <w:rPr>
                      <w:rFonts w:cs="Times New Roman"/>
                      <w:color w:val="auto"/>
                      <w:kern w:val="0"/>
                      <w:sz w:val="21"/>
                      <w:szCs w:val="21"/>
                    </w:rPr>
                  </w:pPr>
                  <w:r>
                    <w:rPr>
                      <w:rFonts w:hint="eastAsia" w:cs="Times New Roman"/>
                      <w:bCs/>
                      <w:color w:val="auto"/>
                      <w:kern w:val="0"/>
                      <w:sz w:val="21"/>
                      <w:szCs w:val="21"/>
                    </w:rPr>
                    <w:t>μ</w:t>
                  </w:r>
                  <w:r>
                    <w:rPr>
                      <w:rFonts w:cs="Times New Roman"/>
                      <w:bCs/>
                      <w:color w:val="auto"/>
                      <w:kern w:val="0"/>
                      <w:sz w:val="21"/>
                      <w:szCs w:val="21"/>
                    </w:rPr>
                    <w:t>g/m</w:t>
                  </w:r>
                  <w:r>
                    <w:rPr>
                      <w:rFonts w:cs="Times New Roman"/>
                      <w:bCs/>
                      <w:color w:val="auto"/>
                      <w:kern w:val="0"/>
                      <w:sz w:val="21"/>
                      <w:szCs w:val="21"/>
                      <w:vertAlign w:val="superscript"/>
                    </w:rPr>
                    <w:t>3</w:t>
                  </w:r>
                </w:p>
              </w:tc>
              <w:tc>
                <w:tcPr>
                  <w:tcW w:w="1037" w:type="pct"/>
                  <w:vMerge w:val="continue"/>
                  <w:tcBorders>
                    <w:top w:val="nil"/>
                    <w:left w:val="single" w:color="auto" w:sz="4" w:space="0"/>
                    <w:bottom w:val="single" w:color="auto" w:sz="4" w:space="0"/>
                    <w:right w:val="single" w:color="auto" w:sz="4" w:space="0"/>
                  </w:tcBorders>
                  <w:vAlign w:val="center"/>
                </w:tcPr>
                <w:p w14:paraId="74AC6E76">
                  <w:pPr>
                    <w:adjustRightInd w:val="0"/>
                    <w:snapToGrid w:val="0"/>
                    <w:spacing w:line="240" w:lineRule="auto"/>
                    <w:ind w:firstLine="0" w:firstLineChars="0"/>
                    <w:jc w:val="center"/>
                    <w:rPr>
                      <w:rFonts w:cs="Times New Roman"/>
                      <w:color w:val="auto"/>
                      <w:kern w:val="0"/>
                      <w:sz w:val="21"/>
                      <w:szCs w:val="21"/>
                    </w:rPr>
                  </w:pPr>
                </w:p>
              </w:tc>
            </w:tr>
            <w:tr w14:paraId="17ABDACF">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7EE57874">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444AE9EF">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1小时平均</w:t>
                  </w:r>
                </w:p>
              </w:tc>
              <w:tc>
                <w:tcPr>
                  <w:tcW w:w="960" w:type="pct"/>
                  <w:tcBorders>
                    <w:top w:val="nil"/>
                    <w:left w:val="nil"/>
                    <w:bottom w:val="single" w:color="auto" w:sz="4" w:space="0"/>
                    <w:right w:val="single" w:color="auto" w:sz="4" w:space="0"/>
                  </w:tcBorders>
                  <w:vAlign w:val="center"/>
                </w:tcPr>
                <w:p w14:paraId="08FD4FF7">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200</w:t>
                  </w:r>
                </w:p>
              </w:tc>
              <w:tc>
                <w:tcPr>
                  <w:tcW w:w="768" w:type="pct"/>
                  <w:vMerge w:val="continue"/>
                  <w:tcBorders>
                    <w:top w:val="nil"/>
                    <w:left w:val="single" w:color="auto" w:sz="4" w:space="0"/>
                    <w:bottom w:val="single" w:color="auto" w:sz="4" w:space="0"/>
                    <w:right w:val="single" w:color="auto" w:sz="4" w:space="0"/>
                  </w:tcBorders>
                  <w:vAlign w:val="center"/>
                </w:tcPr>
                <w:p w14:paraId="78F17DE9">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637842E9">
                  <w:pPr>
                    <w:adjustRightInd w:val="0"/>
                    <w:snapToGrid w:val="0"/>
                    <w:spacing w:line="240" w:lineRule="auto"/>
                    <w:ind w:firstLine="0" w:firstLineChars="0"/>
                    <w:jc w:val="center"/>
                    <w:rPr>
                      <w:rFonts w:cs="Times New Roman"/>
                      <w:color w:val="auto"/>
                      <w:kern w:val="0"/>
                      <w:sz w:val="21"/>
                      <w:szCs w:val="21"/>
                    </w:rPr>
                  </w:pPr>
                </w:p>
              </w:tc>
            </w:tr>
            <w:tr w14:paraId="096D1CBE">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36F5FBD6">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TSP</w:t>
                  </w:r>
                </w:p>
              </w:tc>
              <w:tc>
                <w:tcPr>
                  <w:tcW w:w="1362" w:type="pct"/>
                  <w:tcBorders>
                    <w:top w:val="nil"/>
                    <w:left w:val="nil"/>
                    <w:bottom w:val="single" w:color="auto" w:sz="4" w:space="0"/>
                    <w:right w:val="single" w:color="auto" w:sz="4" w:space="0"/>
                  </w:tcBorders>
                  <w:vAlign w:val="center"/>
                </w:tcPr>
                <w:p w14:paraId="15CB02E8">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年平均</w:t>
                  </w:r>
                </w:p>
              </w:tc>
              <w:tc>
                <w:tcPr>
                  <w:tcW w:w="960" w:type="pct"/>
                  <w:tcBorders>
                    <w:top w:val="nil"/>
                    <w:left w:val="nil"/>
                    <w:bottom w:val="single" w:color="auto" w:sz="4" w:space="0"/>
                    <w:right w:val="single" w:color="auto" w:sz="4" w:space="0"/>
                  </w:tcBorders>
                  <w:vAlign w:val="center"/>
                </w:tcPr>
                <w:p w14:paraId="283B40AB">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200</w:t>
                  </w:r>
                </w:p>
              </w:tc>
              <w:tc>
                <w:tcPr>
                  <w:tcW w:w="768" w:type="pct"/>
                  <w:vMerge w:val="continue"/>
                  <w:tcBorders>
                    <w:top w:val="nil"/>
                    <w:left w:val="single" w:color="auto" w:sz="4" w:space="0"/>
                    <w:bottom w:val="single" w:color="auto" w:sz="4" w:space="0"/>
                    <w:right w:val="single" w:color="auto" w:sz="4" w:space="0"/>
                  </w:tcBorders>
                  <w:vAlign w:val="center"/>
                </w:tcPr>
                <w:p w14:paraId="042CB76B">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42852870">
                  <w:pPr>
                    <w:adjustRightInd w:val="0"/>
                    <w:snapToGrid w:val="0"/>
                    <w:spacing w:line="240" w:lineRule="auto"/>
                    <w:ind w:firstLine="0" w:firstLineChars="0"/>
                    <w:jc w:val="center"/>
                    <w:rPr>
                      <w:rFonts w:cs="Times New Roman"/>
                      <w:color w:val="auto"/>
                      <w:kern w:val="0"/>
                      <w:sz w:val="21"/>
                      <w:szCs w:val="21"/>
                    </w:rPr>
                  </w:pPr>
                </w:p>
              </w:tc>
            </w:tr>
            <w:tr w14:paraId="7F42C301">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39F46683">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700D7FFC">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50F3E2ED">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300</w:t>
                  </w:r>
                </w:p>
              </w:tc>
              <w:tc>
                <w:tcPr>
                  <w:tcW w:w="768" w:type="pct"/>
                  <w:vMerge w:val="continue"/>
                  <w:tcBorders>
                    <w:top w:val="nil"/>
                    <w:left w:val="single" w:color="auto" w:sz="4" w:space="0"/>
                    <w:bottom w:val="single" w:color="auto" w:sz="4" w:space="0"/>
                    <w:right w:val="single" w:color="auto" w:sz="4" w:space="0"/>
                  </w:tcBorders>
                  <w:vAlign w:val="center"/>
                </w:tcPr>
                <w:p w14:paraId="37558C05">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67E96133">
                  <w:pPr>
                    <w:adjustRightInd w:val="0"/>
                    <w:snapToGrid w:val="0"/>
                    <w:spacing w:line="240" w:lineRule="auto"/>
                    <w:ind w:firstLine="0" w:firstLineChars="0"/>
                    <w:jc w:val="center"/>
                    <w:rPr>
                      <w:rFonts w:cs="Times New Roman"/>
                      <w:color w:val="auto"/>
                      <w:kern w:val="0"/>
                      <w:sz w:val="21"/>
                      <w:szCs w:val="21"/>
                    </w:rPr>
                  </w:pPr>
                </w:p>
              </w:tc>
            </w:tr>
            <w:tr w14:paraId="1BAE442F">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3F4009A1">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PM</w:t>
                  </w:r>
                  <w:r>
                    <w:rPr>
                      <w:rFonts w:cs="Times New Roman"/>
                      <w:color w:val="auto"/>
                      <w:kern w:val="0"/>
                      <w:sz w:val="21"/>
                      <w:szCs w:val="21"/>
                      <w:vertAlign w:val="subscript"/>
                    </w:rPr>
                    <w:t>2.5</w:t>
                  </w:r>
                </w:p>
              </w:tc>
              <w:tc>
                <w:tcPr>
                  <w:tcW w:w="1362" w:type="pct"/>
                  <w:tcBorders>
                    <w:top w:val="nil"/>
                    <w:left w:val="nil"/>
                    <w:bottom w:val="single" w:color="auto" w:sz="4" w:space="0"/>
                    <w:right w:val="single" w:color="auto" w:sz="4" w:space="0"/>
                  </w:tcBorders>
                  <w:vAlign w:val="center"/>
                </w:tcPr>
                <w:p w14:paraId="16BE4087">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年平均</w:t>
                  </w:r>
                </w:p>
              </w:tc>
              <w:tc>
                <w:tcPr>
                  <w:tcW w:w="960" w:type="pct"/>
                  <w:tcBorders>
                    <w:top w:val="nil"/>
                    <w:left w:val="nil"/>
                    <w:bottom w:val="single" w:color="auto" w:sz="4" w:space="0"/>
                    <w:right w:val="single" w:color="auto" w:sz="4" w:space="0"/>
                  </w:tcBorders>
                  <w:vAlign w:val="center"/>
                </w:tcPr>
                <w:p w14:paraId="1BBE491F">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35</w:t>
                  </w:r>
                </w:p>
              </w:tc>
              <w:tc>
                <w:tcPr>
                  <w:tcW w:w="768" w:type="pct"/>
                  <w:vMerge w:val="continue"/>
                  <w:tcBorders>
                    <w:top w:val="nil"/>
                    <w:left w:val="single" w:color="auto" w:sz="4" w:space="0"/>
                    <w:bottom w:val="single" w:color="auto" w:sz="4" w:space="0"/>
                    <w:right w:val="single" w:color="auto" w:sz="4" w:space="0"/>
                  </w:tcBorders>
                  <w:vAlign w:val="center"/>
                </w:tcPr>
                <w:p w14:paraId="6E07E813">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405F1B7C">
                  <w:pPr>
                    <w:adjustRightInd w:val="0"/>
                    <w:snapToGrid w:val="0"/>
                    <w:spacing w:line="240" w:lineRule="auto"/>
                    <w:ind w:firstLine="0" w:firstLineChars="0"/>
                    <w:jc w:val="center"/>
                    <w:rPr>
                      <w:rFonts w:cs="Times New Roman"/>
                      <w:color w:val="auto"/>
                      <w:kern w:val="0"/>
                      <w:sz w:val="21"/>
                      <w:szCs w:val="21"/>
                    </w:rPr>
                  </w:pPr>
                </w:p>
              </w:tc>
            </w:tr>
            <w:tr w14:paraId="5FDD9089">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077A7447">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7FCB79EB">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3C111A11">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75</w:t>
                  </w:r>
                </w:p>
              </w:tc>
              <w:tc>
                <w:tcPr>
                  <w:tcW w:w="768" w:type="pct"/>
                  <w:vMerge w:val="continue"/>
                  <w:tcBorders>
                    <w:top w:val="nil"/>
                    <w:left w:val="single" w:color="auto" w:sz="4" w:space="0"/>
                    <w:bottom w:val="single" w:color="auto" w:sz="4" w:space="0"/>
                    <w:right w:val="single" w:color="auto" w:sz="4" w:space="0"/>
                  </w:tcBorders>
                  <w:vAlign w:val="center"/>
                </w:tcPr>
                <w:p w14:paraId="7721D504">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67F5E84C">
                  <w:pPr>
                    <w:adjustRightInd w:val="0"/>
                    <w:snapToGrid w:val="0"/>
                    <w:spacing w:line="240" w:lineRule="auto"/>
                    <w:ind w:firstLine="0" w:firstLineChars="0"/>
                    <w:jc w:val="center"/>
                    <w:rPr>
                      <w:rFonts w:cs="Times New Roman"/>
                      <w:color w:val="auto"/>
                      <w:kern w:val="0"/>
                      <w:sz w:val="21"/>
                      <w:szCs w:val="21"/>
                    </w:rPr>
                  </w:pPr>
                </w:p>
              </w:tc>
            </w:tr>
            <w:tr w14:paraId="25A09756">
              <w:tblPrEx>
                <w:tblCellMar>
                  <w:top w:w="0" w:type="dxa"/>
                  <w:left w:w="108" w:type="dxa"/>
                  <w:bottom w:w="0" w:type="dxa"/>
                  <w:right w:w="108" w:type="dxa"/>
                </w:tblCellMar>
              </w:tblPrEx>
              <w:trPr>
                <w:trHeight w:val="454" w:hRule="atLeast"/>
                <w:jc w:val="center"/>
              </w:trPr>
              <w:tc>
                <w:tcPr>
                  <w:tcW w:w="872" w:type="pct"/>
                  <w:vMerge w:val="restart"/>
                  <w:tcBorders>
                    <w:top w:val="nil"/>
                    <w:left w:val="single" w:color="auto" w:sz="4" w:space="0"/>
                    <w:bottom w:val="single" w:color="auto" w:sz="4" w:space="0"/>
                    <w:right w:val="single" w:color="auto" w:sz="4" w:space="0"/>
                  </w:tcBorders>
                  <w:vAlign w:val="center"/>
                </w:tcPr>
                <w:p w14:paraId="51FECB4F">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PM</w:t>
                  </w:r>
                  <w:r>
                    <w:rPr>
                      <w:rFonts w:cs="Times New Roman"/>
                      <w:color w:val="auto"/>
                      <w:kern w:val="0"/>
                      <w:sz w:val="21"/>
                      <w:szCs w:val="21"/>
                      <w:vertAlign w:val="subscript"/>
                    </w:rPr>
                    <w:t>10</w:t>
                  </w:r>
                </w:p>
              </w:tc>
              <w:tc>
                <w:tcPr>
                  <w:tcW w:w="1362" w:type="pct"/>
                  <w:tcBorders>
                    <w:top w:val="nil"/>
                    <w:left w:val="nil"/>
                    <w:bottom w:val="single" w:color="auto" w:sz="4" w:space="0"/>
                    <w:right w:val="single" w:color="auto" w:sz="4" w:space="0"/>
                  </w:tcBorders>
                  <w:vAlign w:val="center"/>
                </w:tcPr>
                <w:p w14:paraId="36CA72FC">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年平均</w:t>
                  </w:r>
                </w:p>
              </w:tc>
              <w:tc>
                <w:tcPr>
                  <w:tcW w:w="960" w:type="pct"/>
                  <w:tcBorders>
                    <w:top w:val="nil"/>
                    <w:left w:val="nil"/>
                    <w:bottom w:val="single" w:color="auto" w:sz="4" w:space="0"/>
                    <w:right w:val="single" w:color="auto" w:sz="4" w:space="0"/>
                  </w:tcBorders>
                  <w:vAlign w:val="center"/>
                </w:tcPr>
                <w:p w14:paraId="0FAA0CDC">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70</w:t>
                  </w:r>
                </w:p>
              </w:tc>
              <w:tc>
                <w:tcPr>
                  <w:tcW w:w="768" w:type="pct"/>
                  <w:vMerge w:val="continue"/>
                  <w:tcBorders>
                    <w:top w:val="nil"/>
                    <w:left w:val="single" w:color="auto" w:sz="4" w:space="0"/>
                    <w:bottom w:val="single" w:color="auto" w:sz="4" w:space="0"/>
                    <w:right w:val="single" w:color="auto" w:sz="4" w:space="0"/>
                  </w:tcBorders>
                  <w:vAlign w:val="center"/>
                </w:tcPr>
                <w:p w14:paraId="09BC0933">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0DB9A2A0">
                  <w:pPr>
                    <w:adjustRightInd w:val="0"/>
                    <w:snapToGrid w:val="0"/>
                    <w:spacing w:line="240" w:lineRule="auto"/>
                    <w:ind w:firstLine="0" w:firstLineChars="0"/>
                    <w:jc w:val="center"/>
                    <w:rPr>
                      <w:rFonts w:cs="Times New Roman"/>
                      <w:color w:val="auto"/>
                      <w:kern w:val="0"/>
                      <w:sz w:val="21"/>
                      <w:szCs w:val="21"/>
                    </w:rPr>
                  </w:pPr>
                </w:p>
              </w:tc>
            </w:tr>
            <w:tr w14:paraId="68B506B8">
              <w:tblPrEx>
                <w:tblCellMar>
                  <w:top w:w="0" w:type="dxa"/>
                  <w:left w:w="108" w:type="dxa"/>
                  <w:bottom w:w="0" w:type="dxa"/>
                  <w:right w:w="108" w:type="dxa"/>
                </w:tblCellMar>
              </w:tblPrEx>
              <w:trPr>
                <w:trHeight w:val="454" w:hRule="atLeast"/>
                <w:jc w:val="center"/>
              </w:trPr>
              <w:tc>
                <w:tcPr>
                  <w:tcW w:w="872" w:type="pct"/>
                  <w:vMerge w:val="continue"/>
                  <w:tcBorders>
                    <w:top w:val="nil"/>
                    <w:left w:val="single" w:color="auto" w:sz="4" w:space="0"/>
                    <w:bottom w:val="single" w:color="auto" w:sz="4" w:space="0"/>
                    <w:right w:val="single" w:color="auto" w:sz="4" w:space="0"/>
                  </w:tcBorders>
                  <w:vAlign w:val="center"/>
                </w:tcPr>
                <w:p w14:paraId="1CDA9576">
                  <w:pPr>
                    <w:adjustRightInd w:val="0"/>
                    <w:snapToGrid w:val="0"/>
                    <w:spacing w:line="240" w:lineRule="auto"/>
                    <w:ind w:firstLine="0" w:firstLineChars="0"/>
                    <w:jc w:val="center"/>
                    <w:rPr>
                      <w:rFonts w:cs="Times New Roman"/>
                      <w:color w:val="auto"/>
                      <w:kern w:val="0"/>
                      <w:sz w:val="21"/>
                      <w:szCs w:val="21"/>
                    </w:rPr>
                  </w:pPr>
                </w:p>
              </w:tc>
              <w:tc>
                <w:tcPr>
                  <w:tcW w:w="1362" w:type="pct"/>
                  <w:tcBorders>
                    <w:top w:val="nil"/>
                    <w:left w:val="nil"/>
                    <w:bottom w:val="single" w:color="auto" w:sz="4" w:space="0"/>
                    <w:right w:val="single" w:color="auto" w:sz="4" w:space="0"/>
                  </w:tcBorders>
                  <w:vAlign w:val="center"/>
                </w:tcPr>
                <w:p w14:paraId="08A493D5">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24小时平均</w:t>
                  </w:r>
                </w:p>
              </w:tc>
              <w:tc>
                <w:tcPr>
                  <w:tcW w:w="960" w:type="pct"/>
                  <w:tcBorders>
                    <w:top w:val="nil"/>
                    <w:left w:val="nil"/>
                    <w:bottom w:val="single" w:color="auto" w:sz="4" w:space="0"/>
                    <w:right w:val="single" w:color="auto" w:sz="4" w:space="0"/>
                  </w:tcBorders>
                  <w:vAlign w:val="center"/>
                </w:tcPr>
                <w:p w14:paraId="2CC7FC31">
                  <w:pPr>
                    <w:adjustRightInd w:val="0"/>
                    <w:snapToGrid w:val="0"/>
                    <w:spacing w:line="240" w:lineRule="auto"/>
                    <w:ind w:firstLine="0" w:firstLineChars="0"/>
                    <w:jc w:val="center"/>
                    <w:rPr>
                      <w:rFonts w:cs="Times New Roman"/>
                      <w:color w:val="auto"/>
                      <w:kern w:val="0"/>
                      <w:sz w:val="21"/>
                      <w:szCs w:val="21"/>
                    </w:rPr>
                  </w:pPr>
                  <w:r>
                    <w:rPr>
                      <w:rFonts w:cs="Times New Roman"/>
                      <w:color w:val="auto"/>
                      <w:kern w:val="0"/>
                      <w:sz w:val="21"/>
                      <w:szCs w:val="21"/>
                    </w:rPr>
                    <w:t>150</w:t>
                  </w:r>
                </w:p>
              </w:tc>
              <w:tc>
                <w:tcPr>
                  <w:tcW w:w="768" w:type="pct"/>
                  <w:vMerge w:val="continue"/>
                  <w:tcBorders>
                    <w:top w:val="nil"/>
                    <w:left w:val="single" w:color="auto" w:sz="4" w:space="0"/>
                    <w:bottom w:val="single" w:color="auto" w:sz="4" w:space="0"/>
                    <w:right w:val="single" w:color="auto" w:sz="4" w:space="0"/>
                  </w:tcBorders>
                  <w:vAlign w:val="center"/>
                </w:tcPr>
                <w:p w14:paraId="0F22A4EB">
                  <w:pPr>
                    <w:adjustRightInd w:val="0"/>
                    <w:snapToGrid w:val="0"/>
                    <w:spacing w:line="240" w:lineRule="auto"/>
                    <w:ind w:firstLine="0" w:firstLineChars="0"/>
                    <w:jc w:val="center"/>
                    <w:rPr>
                      <w:rFonts w:cs="Times New Roman"/>
                      <w:color w:val="auto"/>
                      <w:kern w:val="0"/>
                      <w:sz w:val="21"/>
                      <w:szCs w:val="21"/>
                    </w:rPr>
                  </w:pPr>
                </w:p>
              </w:tc>
              <w:tc>
                <w:tcPr>
                  <w:tcW w:w="1037" w:type="pct"/>
                  <w:vMerge w:val="continue"/>
                  <w:tcBorders>
                    <w:top w:val="nil"/>
                    <w:left w:val="single" w:color="auto" w:sz="4" w:space="0"/>
                    <w:bottom w:val="single" w:color="auto" w:sz="4" w:space="0"/>
                    <w:right w:val="single" w:color="auto" w:sz="4" w:space="0"/>
                  </w:tcBorders>
                  <w:vAlign w:val="center"/>
                </w:tcPr>
                <w:p w14:paraId="3F1D78EE">
                  <w:pPr>
                    <w:adjustRightInd w:val="0"/>
                    <w:snapToGrid w:val="0"/>
                    <w:spacing w:line="240" w:lineRule="auto"/>
                    <w:ind w:firstLine="0" w:firstLineChars="0"/>
                    <w:jc w:val="center"/>
                    <w:rPr>
                      <w:rFonts w:cs="Times New Roman"/>
                      <w:color w:val="auto"/>
                      <w:kern w:val="0"/>
                      <w:sz w:val="21"/>
                      <w:szCs w:val="21"/>
                    </w:rPr>
                  </w:pPr>
                </w:p>
              </w:tc>
            </w:tr>
            <w:bookmarkEnd w:id="761"/>
            <w:bookmarkEnd w:id="763"/>
          </w:tbl>
          <w:p w14:paraId="4AB44529">
            <w:pPr>
              <w:pStyle w:val="4"/>
              <w:spacing w:before="48" w:after="48"/>
              <w:rPr>
                <w:color w:val="auto"/>
              </w:rPr>
            </w:pPr>
            <w:bookmarkStart w:id="764" w:name="_Toc160473811"/>
            <w:bookmarkStart w:id="765" w:name="_Toc156137851"/>
            <w:bookmarkStart w:id="766" w:name="_Toc112165642"/>
            <w:bookmarkStart w:id="767" w:name="_Toc112424279"/>
            <w:bookmarkStart w:id="768" w:name="_Toc160730887"/>
            <w:bookmarkStart w:id="769" w:name="_Toc156144165"/>
            <w:bookmarkStart w:id="770" w:name="_Toc159349040"/>
            <w:bookmarkStart w:id="771" w:name="_Toc24286"/>
            <w:bookmarkStart w:id="772" w:name="_Toc112173937"/>
            <w:bookmarkStart w:id="773" w:name="_Toc136794329"/>
            <w:bookmarkStart w:id="774" w:name="_Toc161415565"/>
            <w:bookmarkStart w:id="775" w:name="_Toc136794204"/>
            <w:bookmarkStart w:id="776" w:name="_Toc158491272"/>
            <w:bookmarkStart w:id="777" w:name="_Toc24709"/>
            <w:bookmarkStart w:id="778" w:name="_Hlk195217194"/>
            <w:r>
              <w:rPr>
                <w:rFonts w:hint="eastAsia"/>
                <w:color w:val="auto"/>
              </w:rPr>
              <w:t>声环境质量标准</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00CE17AE">
            <w:pPr>
              <w:ind w:firstLine="480"/>
              <w:rPr>
                <w:color w:val="auto"/>
              </w:rPr>
            </w:pPr>
            <w:bookmarkStart w:id="779" w:name="_Hlk181624657"/>
            <w:r>
              <w:rPr>
                <w:rFonts w:hint="eastAsia"/>
                <w:color w:val="auto"/>
              </w:rPr>
              <w:t>项目区位于大理州南涧县公郎镇附近的山坡上，</w:t>
            </w:r>
            <w:r>
              <w:rPr>
                <w:color w:val="auto"/>
              </w:rPr>
              <w:t>区域为农村地区，</w:t>
            </w:r>
            <w:r>
              <w:rPr>
                <w:rFonts w:hint="eastAsia"/>
                <w:color w:val="auto"/>
              </w:rPr>
              <w:t>属于</w:t>
            </w:r>
            <w:r>
              <w:rPr>
                <w:color w:val="auto"/>
              </w:rPr>
              <w:t>1</w:t>
            </w:r>
            <w:r>
              <w:rPr>
                <w:rFonts w:hint="eastAsia"/>
                <w:color w:val="auto"/>
              </w:rPr>
              <w:t>类声环境功能区，执行《声环境质量标准》（</w:t>
            </w:r>
            <w:r>
              <w:rPr>
                <w:color w:val="auto"/>
              </w:rPr>
              <w:t>GB3096-2008</w:t>
            </w:r>
            <w:r>
              <w:rPr>
                <w:rFonts w:hint="eastAsia"/>
                <w:color w:val="auto"/>
              </w:rPr>
              <w:t>）中</w:t>
            </w:r>
            <w:r>
              <w:rPr>
                <w:color w:val="auto"/>
              </w:rPr>
              <w:t>1</w:t>
            </w:r>
            <w:r>
              <w:rPr>
                <w:rFonts w:hint="eastAsia"/>
                <w:color w:val="auto"/>
              </w:rPr>
              <w:t>类区标准</w:t>
            </w:r>
            <w:bookmarkEnd w:id="779"/>
            <w:r>
              <w:rPr>
                <w:rFonts w:hint="eastAsia"/>
                <w:color w:val="auto"/>
              </w:rPr>
              <w:t>，具体标准值见下表。</w:t>
            </w:r>
          </w:p>
          <w:p w14:paraId="7D6F2342">
            <w:pPr>
              <w:pStyle w:val="63"/>
              <w:ind w:firstLine="480"/>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3.6</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2</w:t>
            </w:r>
            <w:r>
              <w:rPr>
                <w:color w:val="auto"/>
              </w:rPr>
              <w:fldChar w:fldCharType="end"/>
            </w:r>
            <w:r>
              <w:rPr>
                <w:color w:val="auto"/>
              </w:rPr>
              <w:t xml:space="preserve">  </w:t>
            </w:r>
            <w:r>
              <w:rPr>
                <w:rFonts w:hint="eastAsia"/>
                <w:color w:val="auto"/>
              </w:rPr>
              <w:t>声环境质量标准限值</w:t>
            </w:r>
            <w:r>
              <w:rPr>
                <w:color w:val="auto"/>
              </w:rPr>
              <w:t xml:space="preserve">      </w:t>
            </w:r>
            <w:r>
              <w:rPr>
                <w:rFonts w:hint="eastAsia"/>
                <w:color w:val="auto"/>
              </w:rPr>
              <w:t>单位：</w:t>
            </w:r>
            <w:r>
              <w:rPr>
                <w:color w:val="auto"/>
              </w:rPr>
              <w:t>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6"/>
              <w:gridCol w:w="2790"/>
              <w:gridCol w:w="2440"/>
            </w:tblGrid>
            <w:tr w14:paraId="66BA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67" w:type="pct"/>
                  <w:vMerge w:val="restart"/>
                  <w:tcBorders>
                    <w:top w:val="single" w:color="auto" w:sz="4" w:space="0"/>
                    <w:left w:val="single" w:color="auto" w:sz="4" w:space="0"/>
                    <w:bottom w:val="single" w:color="auto" w:sz="4" w:space="0"/>
                    <w:right w:val="single" w:color="auto" w:sz="4" w:space="0"/>
                  </w:tcBorders>
                  <w:vAlign w:val="center"/>
                </w:tcPr>
                <w:p w14:paraId="2BA88BE5">
                  <w:pPr>
                    <w:pStyle w:val="65"/>
                    <w:rPr>
                      <w:b/>
                      <w:bCs/>
                      <w:color w:val="auto"/>
                    </w:rPr>
                  </w:pPr>
                  <w:r>
                    <w:rPr>
                      <w:rFonts w:hint="eastAsia"/>
                      <w:b/>
                      <w:bCs/>
                      <w:color w:val="auto"/>
                    </w:rPr>
                    <w:t>类别</w:t>
                  </w:r>
                </w:p>
              </w:tc>
              <w:tc>
                <w:tcPr>
                  <w:tcW w:w="3333" w:type="pct"/>
                  <w:gridSpan w:val="2"/>
                  <w:tcBorders>
                    <w:top w:val="single" w:color="auto" w:sz="4" w:space="0"/>
                    <w:left w:val="single" w:color="auto" w:sz="4" w:space="0"/>
                    <w:bottom w:val="single" w:color="auto" w:sz="4" w:space="0"/>
                    <w:right w:val="single" w:color="auto" w:sz="4" w:space="0"/>
                  </w:tcBorders>
                  <w:vAlign w:val="center"/>
                </w:tcPr>
                <w:p w14:paraId="7C0BAB60">
                  <w:pPr>
                    <w:pStyle w:val="65"/>
                    <w:rPr>
                      <w:b/>
                      <w:bCs/>
                      <w:color w:val="auto"/>
                    </w:rPr>
                  </w:pPr>
                  <w:r>
                    <w:rPr>
                      <w:rFonts w:hint="eastAsia"/>
                      <w:b/>
                      <w:bCs/>
                      <w:color w:val="auto"/>
                    </w:rPr>
                    <w:t>等效声级</w:t>
                  </w:r>
                  <w:r>
                    <w:rPr>
                      <w:b/>
                      <w:bCs/>
                      <w:color w:val="auto"/>
                    </w:rPr>
                    <w:t>[dB</w:t>
                  </w:r>
                  <w:r>
                    <w:rPr>
                      <w:rFonts w:hint="eastAsia"/>
                      <w:b/>
                      <w:bCs/>
                      <w:color w:val="auto"/>
                    </w:rPr>
                    <w:t>（</w:t>
                  </w:r>
                  <w:r>
                    <w:rPr>
                      <w:b/>
                      <w:bCs/>
                      <w:color w:val="auto"/>
                    </w:rPr>
                    <w:t>A</w:t>
                  </w:r>
                  <w:r>
                    <w:rPr>
                      <w:rFonts w:hint="eastAsia"/>
                      <w:b/>
                      <w:bCs/>
                      <w:color w:val="auto"/>
                    </w:rPr>
                    <w:t>）</w:t>
                  </w:r>
                  <w:r>
                    <w:rPr>
                      <w:b/>
                      <w:bCs/>
                      <w:color w:val="auto"/>
                    </w:rPr>
                    <w:t>]</w:t>
                  </w:r>
                </w:p>
              </w:tc>
            </w:tr>
            <w:tr w14:paraId="75A6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67" w:type="pct"/>
                  <w:vMerge w:val="continue"/>
                  <w:tcBorders>
                    <w:top w:val="single" w:color="auto" w:sz="4" w:space="0"/>
                    <w:left w:val="single" w:color="auto" w:sz="4" w:space="0"/>
                    <w:bottom w:val="single" w:color="auto" w:sz="4" w:space="0"/>
                    <w:right w:val="single" w:color="auto" w:sz="4" w:space="0"/>
                  </w:tcBorders>
                  <w:vAlign w:val="center"/>
                </w:tcPr>
                <w:p w14:paraId="1C706731">
                  <w:pPr>
                    <w:pStyle w:val="65"/>
                    <w:rPr>
                      <w:b/>
                      <w:bCs/>
                      <w:color w:val="auto"/>
                    </w:rPr>
                  </w:pPr>
                </w:p>
              </w:tc>
              <w:tc>
                <w:tcPr>
                  <w:tcW w:w="1778" w:type="pct"/>
                  <w:tcBorders>
                    <w:top w:val="single" w:color="auto" w:sz="4" w:space="0"/>
                    <w:left w:val="single" w:color="auto" w:sz="4" w:space="0"/>
                    <w:bottom w:val="single" w:color="auto" w:sz="4" w:space="0"/>
                    <w:right w:val="single" w:color="auto" w:sz="4" w:space="0"/>
                  </w:tcBorders>
                  <w:vAlign w:val="center"/>
                </w:tcPr>
                <w:p w14:paraId="1F337169">
                  <w:pPr>
                    <w:pStyle w:val="65"/>
                    <w:rPr>
                      <w:b/>
                      <w:bCs/>
                      <w:color w:val="auto"/>
                    </w:rPr>
                  </w:pPr>
                  <w:r>
                    <w:rPr>
                      <w:rFonts w:hint="eastAsia"/>
                      <w:b/>
                      <w:bCs/>
                      <w:color w:val="auto"/>
                    </w:rPr>
                    <w:t>昼间</w:t>
                  </w:r>
                </w:p>
              </w:tc>
              <w:tc>
                <w:tcPr>
                  <w:tcW w:w="1555" w:type="pct"/>
                  <w:tcBorders>
                    <w:top w:val="single" w:color="auto" w:sz="4" w:space="0"/>
                    <w:left w:val="single" w:color="auto" w:sz="4" w:space="0"/>
                    <w:bottom w:val="single" w:color="auto" w:sz="4" w:space="0"/>
                    <w:right w:val="single" w:color="auto" w:sz="4" w:space="0"/>
                  </w:tcBorders>
                  <w:vAlign w:val="center"/>
                </w:tcPr>
                <w:p w14:paraId="13927BE0">
                  <w:pPr>
                    <w:pStyle w:val="65"/>
                    <w:rPr>
                      <w:b/>
                      <w:bCs/>
                      <w:color w:val="auto"/>
                    </w:rPr>
                  </w:pPr>
                  <w:r>
                    <w:rPr>
                      <w:rFonts w:hint="eastAsia"/>
                      <w:b/>
                      <w:bCs/>
                      <w:color w:val="auto"/>
                    </w:rPr>
                    <w:t>夜间</w:t>
                  </w:r>
                </w:p>
              </w:tc>
            </w:tr>
            <w:tr w14:paraId="3CD7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tcBorders>
                    <w:top w:val="single" w:color="auto" w:sz="4" w:space="0"/>
                    <w:left w:val="single" w:color="auto" w:sz="4" w:space="0"/>
                    <w:bottom w:val="single" w:color="auto" w:sz="4" w:space="0"/>
                    <w:right w:val="single" w:color="auto" w:sz="4" w:space="0"/>
                  </w:tcBorders>
                  <w:vAlign w:val="center"/>
                </w:tcPr>
                <w:p w14:paraId="20BAA5CF">
                  <w:pPr>
                    <w:pStyle w:val="65"/>
                    <w:rPr>
                      <w:bCs/>
                      <w:color w:val="auto"/>
                    </w:rPr>
                  </w:pPr>
                  <w:r>
                    <w:rPr>
                      <w:bCs/>
                      <w:color w:val="auto"/>
                    </w:rPr>
                    <w:t>1</w:t>
                  </w:r>
                  <w:r>
                    <w:rPr>
                      <w:rFonts w:hint="eastAsia"/>
                      <w:bCs/>
                      <w:color w:val="auto"/>
                    </w:rPr>
                    <w:t>类</w:t>
                  </w:r>
                </w:p>
              </w:tc>
              <w:tc>
                <w:tcPr>
                  <w:tcW w:w="1778" w:type="pct"/>
                  <w:tcBorders>
                    <w:top w:val="single" w:color="auto" w:sz="4" w:space="0"/>
                    <w:left w:val="single" w:color="auto" w:sz="4" w:space="0"/>
                    <w:bottom w:val="single" w:color="auto" w:sz="4" w:space="0"/>
                    <w:right w:val="single" w:color="auto" w:sz="4" w:space="0"/>
                  </w:tcBorders>
                  <w:vAlign w:val="center"/>
                </w:tcPr>
                <w:p w14:paraId="3377C0C1">
                  <w:pPr>
                    <w:pStyle w:val="65"/>
                    <w:rPr>
                      <w:bCs/>
                      <w:color w:val="auto"/>
                    </w:rPr>
                  </w:pPr>
                  <w:r>
                    <w:rPr>
                      <w:bCs/>
                      <w:color w:val="auto"/>
                    </w:rPr>
                    <w:t>55</w:t>
                  </w:r>
                </w:p>
              </w:tc>
              <w:tc>
                <w:tcPr>
                  <w:tcW w:w="1555" w:type="pct"/>
                  <w:tcBorders>
                    <w:top w:val="single" w:color="auto" w:sz="4" w:space="0"/>
                    <w:left w:val="single" w:color="auto" w:sz="4" w:space="0"/>
                    <w:bottom w:val="single" w:color="auto" w:sz="4" w:space="0"/>
                    <w:right w:val="single" w:color="auto" w:sz="4" w:space="0"/>
                  </w:tcBorders>
                  <w:vAlign w:val="center"/>
                </w:tcPr>
                <w:p w14:paraId="142A7BB1">
                  <w:pPr>
                    <w:pStyle w:val="65"/>
                    <w:rPr>
                      <w:bCs/>
                      <w:color w:val="auto"/>
                    </w:rPr>
                  </w:pPr>
                  <w:r>
                    <w:rPr>
                      <w:bCs/>
                      <w:color w:val="auto"/>
                    </w:rPr>
                    <w:t>45</w:t>
                  </w:r>
                </w:p>
              </w:tc>
            </w:tr>
          </w:tbl>
          <w:p w14:paraId="417A326E">
            <w:pPr>
              <w:pStyle w:val="4"/>
              <w:spacing w:before="48" w:after="48"/>
              <w:rPr>
                <w:color w:val="auto"/>
              </w:rPr>
            </w:pPr>
            <w:bookmarkStart w:id="780" w:name="_Toc160473812"/>
            <w:bookmarkStart w:id="781" w:name="_Toc161415566"/>
            <w:bookmarkStart w:id="782" w:name="_Toc159349041"/>
            <w:bookmarkStart w:id="783" w:name="_Toc156144166"/>
            <w:bookmarkStart w:id="784" w:name="_Toc386"/>
            <w:bookmarkStart w:id="785" w:name="_Toc32176"/>
            <w:bookmarkStart w:id="786" w:name="_Toc158491273"/>
            <w:bookmarkStart w:id="787" w:name="_Toc156137852"/>
            <w:bookmarkStart w:id="788" w:name="_Toc160730888"/>
            <w:r>
              <w:rPr>
                <w:rFonts w:hint="eastAsia"/>
                <w:color w:val="auto"/>
              </w:rPr>
              <w:t>地表水环境质量标准</w:t>
            </w:r>
            <w:bookmarkEnd w:id="780"/>
            <w:bookmarkEnd w:id="781"/>
            <w:bookmarkEnd w:id="782"/>
            <w:bookmarkEnd w:id="783"/>
            <w:bookmarkEnd w:id="784"/>
            <w:bookmarkEnd w:id="785"/>
            <w:bookmarkEnd w:id="786"/>
            <w:bookmarkEnd w:id="787"/>
            <w:bookmarkEnd w:id="788"/>
          </w:p>
          <w:p w14:paraId="07ED8D97">
            <w:pPr>
              <w:ind w:firstLine="480"/>
              <w:rPr>
                <w:color w:val="auto"/>
              </w:rPr>
            </w:pPr>
            <w:bookmarkStart w:id="789" w:name="_Hlk181624608"/>
            <w:bookmarkStart w:id="790" w:name="_Hlk156835358"/>
            <w:r>
              <w:rPr>
                <w:rFonts w:hint="eastAsia"/>
                <w:color w:val="auto"/>
              </w:rPr>
              <w:t>本项目周边主要地表水体为沙乐河、磨房河、安照河和澜沧江，沙乐河属于银定河上游，银定河和安照河</w:t>
            </w:r>
            <w:r>
              <w:rPr>
                <w:color w:val="auto"/>
              </w:rPr>
              <w:t>最终进入澜沧江</w:t>
            </w:r>
            <w:r>
              <w:rPr>
                <w:rFonts w:hint="eastAsia"/>
                <w:color w:val="auto"/>
              </w:rPr>
              <w:t>。</w:t>
            </w:r>
          </w:p>
          <w:p w14:paraId="3F5D9559">
            <w:pPr>
              <w:ind w:firstLine="480"/>
              <w:rPr>
                <w:color w:val="auto"/>
              </w:rPr>
            </w:pPr>
            <w:r>
              <w:rPr>
                <w:color w:val="auto"/>
              </w:rPr>
              <w:t>根据《云南省水功能区划（2014年修订）》，项目区水功能区划属于</w:t>
            </w:r>
            <w:r>
              <w:rPr>
                <w:rFonts w:hint="eastAsia"/>
                <w:color w:val="auto"/>
              </w:rPr>
              <w:t>“</w:t>
            </w:r>
            <w:r>
              <w:rPr>
                <w:color w:val="auto"/>
              </w:rPr>
              <w:t>黑惠江剑川-南涧保留区</w:t>
            </w:r>
            <w:r>
              <w:rPr>
                <w:rFonts w:hint="eastAsia"/>
                <w:color w:val="auto"/>
              </w:rPr>
              <w:t>”</w:t>
            </w:r>
            <w:r>
              <w:rPr>
                <w:color w:val="auto"/>
              </w:rPr>
              <w:t>现状水质为</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color w:val="auto"/>
              </w:rPr>
              <w:t>~Ⅲ类，规划水平年水质目标为</w:t>
            </w: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color w:val="auto"/>
              </w:rPr>
              <w:t>~Ⅲ类</w:t>
            </w:r>
            <w:r>
              <w:rPr>
                <w:rFonts w:hint="eastAsia"/>
                <w:color w:val="auto"/>
              </w:rPr>
              <w:t>；</w:t>
            </w:r>
            <w:r>
              <w:rPr>
                <w:color w:val="auto"/>
              </w:rPr>
              <w:t>根据《关于加强水环境功能区水质目标管理有关问题的通知》（环办函〔2003〕436号），未划定水功能区划的</w:t>
            </w:r>
            <w:r>
              <w:rPr>
                <w:rFonts w:hint="eastAsia"/>
                <w:color w:val="auto"/>
              </w:rPr>
              <w:t>沙乐河、磨房河、安照河</w:t>
            </w:r>
            <w:r>
              <w:rPr>
                <w:color w:val="auto"/>
              </w:rPr>
              <w:t>执行《地表水环境质量标准》（GB3838-2002）Ⅲ类标准；因此</w:t>
            </w:r>
            <w:r>
              <w:rPr>
                <w:rFonts w:hint="eastAsia"/>
                <w:color w:val="auto"/>
              </w:rPr>
              <w:t>沙乐河、磨房河、安照河和澜沧江</w:t>
            </w:r>
            <w:r>
              <w:rPr>
                <w:color w:val="auto"/>
              </w:rPr>
              <w:t>均执行《地表水环境质量标准》（GB3838-2002）Ⅲ类标准。</w:t>
            </w:r>
          </w:p>
          <w:bookmarkEnd w:id="789"/>
          <w:p w14:paraId="043759B8">
            <w:pPr>
              <w:ind w:firstLine="480"/>
              <w:rPr>
                <w:color w:val="auto"/>
              </w:rPr>
            </w:pPr>
            <w:r>
              <w:rPr>
                <w:rFonts w:hint="eastAsia"/>
                <w:color w:val="auto"/>
              </w:rPr>
              <w:t>具体标准值见下表。</w:t>
            </w:r>
            <w:bookmarkEnd w:id="790"/>
          </w:p>
          <w:p w14:paraId="5A7987E9">
            <w:pPr>
              <w:ind w:firstLine="482"/>
              <w:rPr>
                <w:b/>
                <w:color w:val="auto"/>
              </w:rPr>
            </w:pPr>
            <w:r>
              <w:rPr>
                <w:rFonts w:hint="eastAsia"/>
                <w:b/>
                <w:color w:val="auto"/>
              </w:rPr>
              <w:t>表</w:t>
            </w:r>
            <w:r>
              <w:rPr>
                <w:b/>
                <w:color w:val="auto"/>
              </w:rPr>
              <w:t xml:space="preserve"> </w:t>
            </w:r>
            <w:r>
              <w:rPr>
                <w:b/>
                <w:color w:val="auto"/>
              </w:rPr>
              <w:fldChar w:fldCharType="begin"/>
            </w:r>
            <w:r>
              <w:rPr>
                <w:b/>
                <w:color w:val="auto"/>
              </w:rPr>
              <w:instrText xml:space="preserve"> STYLEREF 2 \s </w:instrText>
            </w:r>
            <w:r>
              <w:rPr>
                <w:b/>
                <w:color w:val="auto"/>
              </w:rPr>
              <w:fldChar w:fldCharType="separate"/>
            </w:r>
            <w:r>
              <w:rPr>
                <w:b/>
                <w:color w:val="auto"/>
              </w:rPr>
              <w:t>3.6</w:t>
            </w:r>
            <w:r>
              <w:rPr>
                <w:b/>
                <w:color w:val="auto"/>
              </w:rPr>
              <w:fldChar w:fldCharType="end"/>
            </w:r>
            <w:r>
              <w:rPr>
                <w:b/>
                <w:color w:val="auto"/>
              </w:rPr>
              <w:noBreakHyphen/>
            </w:r>
            <w:r>
              <w:rPr>
                <w:b/>
                <w:color w:val="auto"/>
              </w:rPr>
              <w:fldChar w:fldCharType="begin"/>
            </w:r>
            <w:r>
              <w:rPr>
                <w:b/>
                <w:color w:val="auto"/>
              </w:rPr>
              <w:instrText xml:space="preserve"> SEQ 表 \* ARABIC \s 2 </w:instrText>
            </w:r>
            <w:r>
              <w:rPr>
                <w:b/>
                <w:color w:val="auto"/>
              </w:rPr>
              <w:fldChar w:fldCharType="separate"/>
            </w:r>
            <w:r>
              <w:rPr>
                <w:b/>
                <w:color w:val="auto"/>
              </w:rPr>
              <w:t>3</w:t>
            </w:r>
            <w:r>
              <w:rPr>
                <w:b/>
                <w:color w:val="auto"/>
              </w:rPr>
              <w:fldChar w:fldCharType="end"/>
            </w:r>
            <w:r>
              <w:rPr>
                <w:b/>
                <w:color w:val="auto"/>
              </w:rPr>
              <w:t xml:space="preserve">  </w:t>
            </w:r>
            <w:r>
              <w:rPr>
                <w:rFonts w:hint="eastAsia"/>
                <w:b/>
                <w:color w:val="auto"/>
              </w:rPr>
              <w:t>地表水环境质量标准</w:t>
            </w:r>
            <w:r>
              <w:rPr>
                <w:b/>
                <w:color w:val="auto"/>
              </w:rPr>
              <w:t xml:space="preserve">  </w:t>
            </w:r>
            <w:r>
              <w:rPr>
                <w:rFonts w:hint="eastAsia"/>
                <w:b/>
                <w:color w:val="auto"/>
              </w:rPr>
              <w:t>单位：</w:t>
            </w:r>
            <w:r>
              <w:rPr>
                <w:b/>
                <w:color w:val="auto"/>
              </w:rPr>
              <w:t>mg/L</w:t>
            </w:r>
            <w:r>
              <w:rPr>
                <w:rFonts w:hint="eastAsia"/>
                <w:b/>
                <w:color w:val="auto"/>
              </w:rPr>
              <w:t>（</w:t>
            </w:r>
            <w:r>
              <w:rPr>
                <w:b/>
                <w:color w:val="auto"/>
              </w:rPr>
              <w:t>pH</w:t>
            </w:r>
            <w:r>
              <w:rPr>
                <w:rFonts w:hint="eastAsia"/>
                <w:b/>
                <w:color w:val="auto"/>
              </w:rPr>
              <w:t>为无量纲）</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675"/>
              <w:gridCol w:w="781"/>
              <w:gridCol w:w="942"/>
              <w:gridCol w:w="764"/>
              <w:gridCol w:w="865"/>
              <w:gridCol w:w="1447"/>
              <w:gridCol w:w="1277"/>
            </w:tblGrid>
            <w:tr w14:paraId="37AA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98" w:type="pct"/>
                  <w:tcBorders>
                    <w:top w:val="single" w:color="auto" w:sz="4" w:space="0"/>
                    <w:left w:val="single" w:color="auto" w:sz="4" w:space="0"/>
                    <w:bottom w:val="single" w:color="auto" w:sz="4" w:space="0"/>
                    <w:right w:val="single" w:color="auto" w:sz="4" w:space="0"/>
                  </w:tcBorders>
                  <w:vAlign w:val="center"/>
                </w:tcPr>
                <w:p w14:paraId="035FEBF6">
                  <w:pPr>
                    <w:pStyle w:val="65"/>
                    <w:rPr>
                      <w:b/>
                      <w:bCs/>
                      <w:color w:val="auto"/>
                    </w:rPr>
                  </w:pPr>
                  <w:bookmarkStart w:id="791" w:name="_Hlk156835369"/>
                  <w:bookmarkStart w:id="792" w:name="_Hlk181624621"/>
                  <w:bookmarkStart w:id="793" w:name="_Toc136794330"/>
                  <w:bookmarkStart w:id="794" w:name="_Toc112173938"/>
                  <w:bookmarkStart w:id="795" w:name="_Toc112165643"/>
                  <w:bookmarkStart w:id="796" w:name="_Toc112424280"/>
                  <w:bookmarkStart w:id="797" w:name="_Toc136794205"/>
                  <w:r>
                    <w:rPr>
                      <w:rFonts w:hint="eastAsia"/>
                      <w:b/>
                      <w:bCs/>
                      <w:color w:val="auto"/>
                    </w:rPr>
                    <w:t>污染物</w:t>
                  </w:r>
                </w:p>
              </w:tc>
              <w:tc>
                <w:tcPr>
                  <w:tcW w:w="430" w:type="pct"/>
                  <w:tcBorders>
                    <w:top w:val="single" w:color="auto" w:sz="4" w:space="0"/>
                    <w:left w:val="single" w:color="auto" w:sz="4" w:space="0"/>
                    <w:bottom w:val="single" w:color="auto" w:sz="4" w:space="0"/>
                    <w:right w:val="single" w:color="auto" w:sz="4" w:space="0"/>
                  </w:tcBorders>
                  <w:vAlign w:val="center"/>
                </w:tcPr>
                <w:p w14:paraId="11EBE894">
                  <w:pPr>
                    <w:pStyle w:val="65"/>
                    <w:rPr>
                      <w:b/>
                      <w:bCs/>
                      <w:color w:val="auto"/>
                    </w:rPr>
                  </w:pPr>
                  <w:r>
                    <w:rPr>
                      <w:b/>
                      <w:bCs/>
                      <w:color w:val="auto"/>
                    </w:rPr>
                    <w:t>pH</w:t>
                  </w:r>
                </w:p>
              </w:tc>
              <w:tc>
                <w:tcPr>
                  <w:tcW w:w="498" w:type="pct"/>
                  <w:tcBorders>
                    <w:top w:val="single" w:color="auto" w:sz="4" w:space="0"/>
                    <w:left w:val="single" w:color="auto" w:sz="4" w:space="0"/>
                    <w:bottom w:val="single" w:color="auto" w:sz="4" w:space="0"/>
                    <w:right w:val="single" w:color="auto" w:sz="4" w:space="0"/>
                  </w:tcBorders>
                  <w:vAlign w:val="center"/>
                </w:tcPr>
                <w:p w14:paraId="22462FB0">
                  <w:pPr>
                    <w:pStyle w:val="65"/>
                    <w:rPr>
                      <w:b/>
                      <w:bCs/>
                      <w:color w:val="auto"/>
                    </w:rPr>
                  </w:pPr>
                  <w:r>
                    <w:rPr>
                      <w:b/>
                      <w:bCs/>
                      <w:color w:val="auto"/>
                    </w:rPr>
                    <w:t>COD</w:t>
                  </w:r>
                </w:p>
              </w:tc>
              <w:tc>
                <w:tcPr>
                  <w:tcW w:w="600" w:type="pct"/>
                  <w:tcBorders>
                    <w:top w:val="single" w:color="auto" w:sz="4" w:space="0"/>
                    <w:left w:val="single" w:color="auto" w:sz="4" w:space="0"/>
                    <w:bottom w:val="single" w:color="auto" w:sz="4" w:space="0"/>
                    <w:right w:val="single" w:color="auto" w:sz="4" w:space="0"/>
                  </w:tcBorders>
                  <w:vAlign w:val="center"/>
                </w:tcPr>
                <w:p w14:paraId="79A03612">
                  <w:pPr>
                    <w:pStyle w:val="65"/>
                    <w:rPr>
                      <w:b/>
                      <w:bCs/>
                      <w:color w:val="auto"/>
                    </w:rPr>
                  </w:pPr>
                  <w:r>
                    <w:rPr>
                      <w:b/>
                      <w:bCs/>
                      <w:color w:val="auto"/>
                    </w:rPr>
                    <w:t>BOD</w:t>
                  </w:r>
                  <w:r>
                    <w:rPr>
                      <w:b/>
                      <w:bCs/>
                      <w:color w:val="auto"/>
                      <w:vertAlign w:val="subscript"/>
                    </w:rPr>
                    <w:t>5</w:t>
                  </w:r>
                </w:p>
              </w:tc>
              <w:tc>
                <w:tcPr>
                  <w:tcW w:w="487" w:type="pct"/>
                  <w:tcBorders>
                    <w:top w:val="single" w:color="auto" w:sz="4" w:space="0"/>
                    <w:left w:val="single" w:color="auto" w:sz="4" w:space="0"/>
                    <w:bottom w:val="single" w:color="auto" w:sz="4" w:space="0"/>
                    <w:right w:val="single" w:color="auto" w:sz="4" w:space="0"/>
                  </w:tcBorders>
                  <w:vAlign w:val="center"/>
                </w:tcPr>
                <w:p w14:paraId="12474727">
                  <w:pPr>
                    <w:pStyle w:val="65"/>
                    <w:rPr>
                      <w:b/>
                      <w:bCs/>
                      <w:color w:val="auto"/>
                    </w:rPr>
                  </w:pPr>
                  <w:r>
                    <w:rPr>
                      <w:rFonts w:hint="eastAsia"/>
                      <w:b/>
                      <w:bCs/>
                      <w:color w:val="auto"/>
                    </w:rPr>
                    <w:t>氨氮</w:t>
                  </w:r>
                </w:p>
              </w:tc>
              <w:tc>
                <w:tcPr>
                  <w:tcW w:w="551" w:type="pct"/>
                  <w:tcBorders>
                    <w:top w:val="single" w:color="auto" w:sz="4" w:space="0"/>
                    <w:left w:val="single" w:color="auto" w:sz="4" w:space="0"/>
                    <w:bottom w:val="single" w:color="auto" w:sz="4" w:space="0"/>
                    <w:right w:val="single" w:color="auto" w:sz="4" w:space="0"/>
                  </w:tcBorders>
                  <w:vAlign w:val="center"/>
                </w:tcPr>
                <w:p w14:paraId="53816B53">
                  <w:pPr>
                    <w:pStyle w:val="65"/>
                    <w:rPr>
                      <w:b/>
                      <w:bCs/>
                      <w:color w:val="auto"/>
                    </w:rPr>
                  </w:pPr>
                  <w:r>
                    <w:rPr>
                      <w:rFonts w:hint="eastAsia"/>
                      <w:b/>
                      <w:bCs/>
                      <w:color w:val="auto"/>
                    </w:rPr>
                    <w:t>石油类</w:t>
                  </w:r>
                </w:p>
              </w:tc>
              <w:tc>
                <w:tcPr>
                  <w:tcW w:w="922" w:type="pct"/>
                  <w:tcBorders>
                    <w:top w:val="single" w:color="auto" w:sz="4" w:space="0"/>
                    <w:left w:val="single" w:color="auto" w:sz="4" w:space="0"/>
                    <w:bottom w:val="single" w:color="auto" w:sz="4" w:space="0"/>
                    <w:right w:val="single" w:color="auto" w:sz="4" w:space="0"/>
                  </w:tcBorders>
                  <w:vAlign w:val="center"/>
                </w:tcPr>
                <w:p w14:paraId="26FF25EC">
                  <w:pPr>
                    <w:pStyle w:val="65"/>
                    <w:rPr>
                      <w:b/>
                      <w:bCs/>
                      <w:color w:val="auto"/>
                    </w:rPr>
                  </w:pPr>
                  <w:r>
                    <w:rPr>
                      <w:b/>
                      <w:bCs/>
                      <w:color w:val="auto"/>
                    </w:rPr>
                    <w:t>TP</w:t>
                  </w:r>
                  <w:r>
                    <w:rPr>
                      <w:rFonts w:hint="eastAsia"/>
                      <w:b/>
                      <w:bCs/>
                      <w:color w:val="auto"/>
                    </w:rPr>
                    <w:t>（以</w:t>
                  </w:r>
                  <w:r>
                    <w:rPr>
                      <w:b/>
                      <w:bCs/>
                      <w:color w:val="auto"/>
                    </w:rPr>
                    <w:t>P</w:t>
                  </w:r>
                  <w:r>
                    <w:rPr>
                      <w:rFonts w:hint="eastAsia"/>
                      <w:b/>
                      <w:bCs/>
                      <w:color w:val="auto"/>
                    </w:rPr>
                    <w:t>计）</w:t>
                  </w:r>
                </w:p>
              </w:tc>
              <w:tc>
                <w:tcPr>
                  <w:tcW w:w="815" w:type="pct"/>
                  <w:tcBorders>
                    <w:top w:val="single" w:color="auto" w:sz="4" w:space="0"/>
                    <w:left w:val="single" w:color="auto" w:sz="4" w:space="0"/>
                    <w:bottom w:val="single" w:color="auto" w:sz="4" w:space="0"/>
                    <w:right w:val="single" w:color="auto" w:sz="4" w:space="0"/>
                  </w:tcBorders>
                  <w:vAlign w:val="center"/>
                </w:tcPr>
                <w:p w14:paraId="255E8F40">
                  <w:pPr>
                    <w:pStyle w:val="65"/>
                    <w:rPr>
                      <w:b/>
                      <w:bCs/>
                      <w:color w:val="auto"/>
                    </w:rPr>
                  </w:pPr>
                  <w:r>
                    <w:rPr>
                      <w:b/>
                      <w:bCs/>
                      <w:color w:val="auto"/>
                    </w:rPr>
                    <w:t>TN</w:t>
                  </w:r>
                  <w:r>
                    <w:rPr>
                      <w:rFonts w:hint="eastAsia"/>
                      <w:b/>
                      <w:bCs/>
                      <w:color w:val="auto"/>
                    </w:rPr>
                    <w:t>（湖、库，以</w:t>
                  </w:r>
                  <w:r>
                    <w:rPr>
                      <w:b/>
                      <w:bCs/>
                      <w:color w:val="auto"/>
                    </w:rPr>
                    <w:t>N</w:t>
                  </w:r>
                  <w:r>
                    <w:rPr>
                      <w:rFonts w:hint="eastAsia"/>
                      <w:b/>
                      <w:bCs/>
                      <w:color w:val="auto"/>
                    </w:rPr>
                    <w:t>计）</w:t>
                  </w:r>
                </w:p>
              </w:tc>
            </w:tr>
            <w:tr w14:paraId="2C30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pct"/>
                  <w:tcBorders>
                    <w:top w:val="single" w:color="auto" w:sz="4" w:space="0"/>
                    <w:left w:val="single" w:color="auto" w:sz="4" w:space="0"/>
                    <w:bottom w:val="single" w:color="auto" w:sz="4" w:space="0"/>
                    <w:right w:val="single" w:color="auto" w:sz="4" w:space="0"/>
                  </w:tcBorders>
                  <w:vAlign w:val="center"/>
                </w:tcPr>
                <w:p w14:paraId="1B50A040">
                  <w:pPr>
                    <w:pStyle w:val="65"/>
                    <w:rPr>
                      <w:bCs/>
                      <w:color w:val="auto"/>
                    </w:rPr>
                  </w:pPr>
                  <w:r>
                    <w:rPr>
                      <w:bCs/>
                      <w:color w:val="auto"/>
                    </w:rPr>
                    <w:t>Ⅲ</w:t>
                  </w:r>
                  <w:r>
                    <w:rPr>
                      <w:rFonts w:hint="eastAsia"/>
                      <w:bCs/>
                      <w:color w:val="auto"/>
                    </w:rPr>
                    <w:t>类标准值（</w:t>
                  </w:r>
                  <w:r>
                    <w:rPr>
                      <w:bCs/>
                      <w:color w:val="auto"/>
                    </w:rPr>
                    <w:t>≤</w:t>
                  </w:r>
                  <w:r>
                    <w:rPr>
                      <w:rFonts w:hint="eastAsia"/>
                      <w:bCs/>
                      <w:color w:val="auto"/>
                    </w:rPr>
                    <w:t>）</w:t>
                  </w:r>
                </w:p>
              </w:tc>
              <w:tc>
                <w:tcPr>
                  <w:tcW w:w="430" w:type="pct"/>
                  <w:tcBorders>
                    <w:top w:val="single" w:color="auto" w:sz="4" w:space="0"/>
                    <w:left w:val="single" w:color="auto" w:sz="4" w:space="0"/>
                    <w:bottom w:val="single" w:color="auto" w:sz="4" w:space="0"/>
                    <w:right w:val="single" w:color="auto" w:sz="4" w:space="0"/>
                  </w:tcBorders>
                  <w:vAlign w:val="center"/>
                </w:tcPr>
                <w:p w14:paraId="7F2079EF">
                  <w:pPr>
                    <w:pStyle w:val="65"/>
                    <w:rPr>
                      <w:bCs/>
                      <w:color w:val="auto"/>
                    </w:rPr>
                  </w:pPr>
                  <w:r>
                    <w:rPr>
                      <w:bCs/>
                      <w:color w:val="auto"/>
                    </w:rPr>
                    <w:t>6</w:t>
                  </w:r>
                  <w:r>
                    <w:rPr>
                      <w:rFonts w:hint="eastAsia"/>
                      <w:bCs/>
                      <w:color w:val="auto"/>
                    </w:rPr>
                    <w:t>～</w:t>
                  </w:r>
                  <w:r>
                    <w:rPr>
                      <w:bCs/>
                      <w:color w:val="auto"/>
                    </w:rPr>
                    <w:t>9</w:t>
                  </w:r>
                </w:p>
              </w:tc>
              <w:tc>
                <w:tcPr>
                  <w:tcW w:w="498" w:type="pct"/>
                  <w:tcBorders>
                    <w:top w:val="single" w:color="auto" w:sz="4" w:space="0"/>
                    <w:left w:val="single" w:color="auto" w:sz="4" w:space="0"/>
                    <w:bottom w:val="single" w:color="auto" w:sz="4" w:space="0"/>
                    <w:right w:val="single" w:color="auto" w:sz="4" w:space="0"/>
                  </w:tcBorders>
                  <w:vAlign w:val="center"/>
                </w:tcPr>
                <w:p w14:paraId="1BF2B8FE">
                  <w:pPr>
                    <w:pStyle w:val="65"/>
                    <w:rPr>
                      <w:bCs/>
                      <w:color w:val="auto"/>
                    </w:rPr>
                  </w:pPr>
                  <w:r>
                    <w:rPr>
                      <w:bCs/>
                      <w:color w:val="auto"/>
                    </w:rPr>
                    <w:t>20</w:t>
                  </w:r>
                </w:p>
              </w:tc>
              <w:tc>
                <w:tcPr>
                  <w:tcW w:w="600" w:type="pct"/>
                  <w:tcBorders>
                    <w:top w:val="single" w:color="auto" w:sz="4" w:space="0"/>
                    <w:left w:val="single" w:color="auto" w:sz="4" w:space="0"/>
                    <w:bottom w:val="single" w:color="auto" w:sz="4" w:space="0"/>
                    <w:right w:val="single" w:color="auto" w:sz="4" w:space="0"/>
                  </w:tcBorders>
                  <w:vAlign w:val="center"/>
                </w:tcPr>
                <w:p w14:paraId="49AFA2CB">
                  <w:pPr>
                    <w:pStyle w:val="65"/>
                    <w:rPr>
                      <w:bCs/>
                      <w:color w:val="auto"/>
                    </w:rPr>
                  </w:pPr>
                  <w:r>
                    <w:rPr>
                      <w:bCs/>
                      <w:color w:val="auto"/>
                    </w:rPr>
                    <w:t>4</w:t>
                  </w:r>
                </w:p>
              </w:tc>
              <w:tc>
                <w:tcPr>
                  <w:tcW w:w="487" w:type="pct"/>
                  <w:tcBorders>
                    <w:top w:val="single" w:color="auto" w:sz="4" w:space="0"/>
                    <w:left w:val="single" w:color="auto" w:sz="4" w:space="0"/>
                    <w:bottom w:val="single" w:color="auto" w:sz="4" w:space="0"/>
                    <w:right w:val="single" w:color="auto" w:sz="4" w:space="0"/>
                  </w:tcBorders>
                  <w:vAlign w:val="center"/>
                </w:tcPr>
                <w:p w14:paraId="72051A43">
                  <w:pPr>
                    <w:pStyle w:val="65"/>
                    <w:rPr>
                      <w:bCs/>
                      <w:color w:val="auto"/>
                    </w:rPr>
                  </w:pPr>
                  <w:r>
                    <w:rPr>
                      <w:bCs/>
                      <w:color w:val="auto"/>
                    </w:rPr>
                    <w:t>1.0</w:t>
                  </w:r>
                </w:p>
              </w:tc>
              <w:tc>
                <w:tcPr>
                  <w:tcW w:w="551" w:type="pct"/>
                  <w:tcBorders>
                    <w:top w:val="single" w:color="auto" w:sz="4" w:space="0"/>
                    <w:left w:val="single" w:color="auto" w:sz="4" w:space="0"/>
                    <w:bottom w:val="single" w:color="auto" w:sz="4" w:space="0"/>
                    <w:right w:val="single" w:color="auto" w:sz="4" w:space="0"/>
                  </w:tcBorders>
                  <w:vAlign w:val="center"/>
                </w:tcPr>
                <w:p w14:paraId="48CD7859">
                  <w:pPr>
                    <w:pStyle w:val="65"/>
                    <w:rPr>
                      <w:bCs/>
                      <w:color w:val="auto"/>
                    </w:rPr>
                  </w:pPr>
                  <w:r>
                    <w:rPr>
                      <w:bCs/>
                      <w:color w:val="auto"/>
                    </w:rPr>
                    <w:t>0.05</w:t>
                  </w:r>
                </w:p>
              </w:tc>
              <w:tc>
                <w:tcPr>
                  <w:tcW w:w="922" w:type="pct"/>
                  <w:tcBorders>
                    <w:top w:val="single" w:color="auto" w:sz="4" w:space="0"/>
                    <w:left w:val="single" w:color="auto" w:sz="4" w:space="0"/>
                    <w:bottom w:val="single" w:color="auto" w:sz="4" w:space="0"/>
                    <w:right w:val="single" w:color="auto" w:sz="4" w:space="0"/>
                  </w:tcBorders>
                  <w:vAlign w:val="center"/>
                </w:tcPr>
                <w:p w14:paraId="0D8EB97D">
                  <w:pPr>
                    <w:pStyle w:val="65"/>
                    <w:rPr>
                      <w:bCs/>
                      <w:color w:val="auto"/>
                    </w:rPr>
                  </w:pPr>
                  <w:r>
                    <w:rPr>
                      <w:bCs/>
                      <w:color w:val="auto"/>
                    </w:rPr>
                    <w:t>0.2</w:t>
                  </w:r>
                </w:p>
                <w:p w14:paraId="376EAB01">
                  <w:pPr>
                    <w:pStyle w:val="65"/>
                    <w:rPr>
                      <w:bCs/>
                      <w:color w:val="auto"/>
                    </w:rPr>
                  </w:pPr>
                  <w:r>
                    <w:rPr>
                      <w:rFonts w:hint="eastAsia"/>
                      <w:bCs/>
                      <w:color w:val="auto"/>
                    </w:rPr>
                    <w:t>（湖、库</w:t>
                  </w:r>
                  <w:r>
                    <w:rPr>
                      <w:bCs/>
                      <w:color w:val="auto"/>
                    </w:rPr>
                    <w:t>0.05</w:t>
                  </w:r>
                  <w:r>
                    <w:rPr>
                      <w:rFonts w:hint="eastAsia"/>
                      <w:bCs/>
                      <w:color w:val="auto"/>
                    </w:rPr>
                    <w:t>）</w:t>
                  </w:r>
                </w:p>
              </w:tc>
              <w:tc>
                <w:tcPr>
                  <w:tcW w:w="815" w:type="pct"/>
                  <w:tcBorders>
                    <w:top w:val="single" w:color="auto" w:sz="4" w:space="0"/>
                    <w:left w:val="single" w:color="auto" w:sz="4" w:space="0"/>
                    <w:bottom w:val="single" w:color="auto" w:sz="4" w:space="0"/>
                    <w:right w:val="single" w:color="auto" w:sz="4" w:space="0"/>
                  </w:tcBorders>
                  <w:vAlign w:val="center"/>
                </w:tcPr>
                <w:p w14:paraId="2BA320DA">
                  <w:pPr>
                    <w:pStyle w:val="65"/>
                    <w:rPr>
                      <w:bCs/>
                      <w:color w:val="auto"/>
                    </w:rPr>
                  </w:pPr>
                  <w:r>
                    <w:rPr>
                      <w:bCs/>
                      <w:color w:val="auto"/>
                    </w:rPr>
                    <w:t>1.0</w:t>
                  </w:r>
                </w:p>
                <w:bookmarkEnd w:id="791"/>
              </w:tc>
            </w:tr>
            <w:bookmarkEnd w:id="778"/>
            <w:bookmarkEnd w:id="792"/>
          </w:tbl>
          <w:p w14:paraId="4CCA8A4C">
            <w:pPr>
              <w:pStyle w:val="3"/>
              <w:spacing w:before="72" w:after="72"/>
              <w:rPr>
                <w:color w:val="auto"/>
              </w:rPr>
            </w:pPr>
            <w:bookmarkStart w:id="798" w:name="_Toc156137854"/>
            <w:bookmarkStart w:id="799" w:name="_Toc160473814"/>
            <w:bookmarkStart w:id="800" w:name="_Toc158491275"/>
            <w:bookmarkStart w:id="801" w:name="_Toc156144168"/>
            <w:bookmarkStart w:id="802" w:name="_Toc3632"/>
            <w:bookmarkStart w:id="803" w:name="_Toc30985"/>
            <w:bookmarkStart w:id="804" w:name="_Toc161415568"/>
            <w:bookmarkStart w:id="805" w:name="_Toc159349043"/>
            <w:bookmarkStart w:id="806" w:name="_Toc160730890"/>
            <w:bookmarkStart w:id="807" w:name="_Hlk195217864"/>
            <w:r>
              <w:rPr>
                <w:rFonts w:hint="eastAsia"/>
                <w:color w:val="auto"/>
              </w:rPr>
              <w:t>污染物排放标准</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11285C14">
            <w:pPr>
              <w:pStyle w:val="4"/>
              <w:spacing w:before="48" w:after="48"/>
              <w:rPr>
                <w:color w:val="auto"/>
              </w:rPr>
            </w:pPr>
            <w:bookmarkStart w:id="808" w:name="_Toc160473815"/>
            <w:bookmarkStart w:id="809" w:name="_Toc159349044"/>
            <w:bookmarkStart w:id="810" w:name="_Toc161415569"/>
            <w:bookmarkStart w:id="811" w:name="_Toc160730891"/>
            <w:bookmarkStart w:id="812" w:name="_Toc31437"/>
            <w:bookmarkStart w:id="813" w:name="_Toc14104"/>
            <w:bookmarkStart w:id="814" w:name="_Toc156137855"/>
            <w:bookmarkStart w:id="815" w:name="_Toc156144169"/>
            <w:bookmarkStart w:id="816" w:name="_Toc158491276"/>
            <w:bookmarkStart w:id="817" w:name="_Hlk156835521" w:colFirst="1" w:colLast="3"/>
            <w:r>
              <w:rPr>
                <w:rFonts w:hint="eastAsia"/>
                <w:color w:val="auto"/>
              </w:rPr>
              <w:t>大气污染物排放标准</w:t>
            </w:r>
            <w:bookmarkEnd w:id="808"/>
            <w:bookmarkEnd w:id="809"/>
            <w:bookmarkEnd w:id="810"/>
            <w:bookmarkEnd w:id="811"/>
            <w:bookmarkEnd w:id="812"/>
            <w:bookmarkEnd w:id="813"/>
            <w:bookmarkEnd w:id="814"/>
            <w:bookmarkEnd w:id="815"/>
            <w:bookmarkEnd w:id="816"/>
          </w:p>
          <w:p w14:paraId="54613645">
            <w:pPr>
              <w:ind w:firstLine="482"/>
              <w:rPr>
                <w:b/>
                <w:bCs/>
                <w:color w:val="auto"/>
              </w:rPr>
            </w:pPr>
            <w:r>
              <w:rPr>
                <w:b/>
                <w:bCs/>
                <w:color w:val="auto"/>
              </w:rPr>
              <w:t>1</w:t>
            </w:r>
            <w:r>
              <w:rPr>
                <w:rFonts w:hint="eastAsia"/>
                <w:b/>
                <w:bCs/>
                <w:color w:val="auto"/>
              </w:rPr>
              <w:t>）施工期</w:t>
            </w:r>
          </w:p>
          <w:p w14:paraId="306BC817">
            <w:pPr>
              <w:ind w:firstLine="480"/>
              <w:rPr>
                <w:color w:val="auto"/>
              </w:rPr>
            </w:pPr>
            <w:r>
              <w:rPr>
                <w:rFonts w:hint="eastAsia"/>
                <w:color w:val="auto"/>
              </w:rPr>
              <w:t>本项目施工期产生的无组织排放大气污染物执行《大气污染物综合排放标准》（</w:t>
            </w:r>
            <w:r>
              <w:rPr>
                <w:color w:val="auto"/>
              </w:rPr>
              <w:t>GB 16297-1996</w:t>
            </w:r>
            <w:r>
              <w:rPr>
                <w:rFonts w:hint="eastAsia"/>
                <w:color w:val="auto"/>
              </w:rPr>
              <w:t>）中其他颗粒物</w:t>
            </w:r>
            <w:r>
              <w:rPr>
                <w:color w:val="auto"/>
              </w:rPr>
              <w:t>“</w:t>
            </w:r>
            <w:r>
              <w:rPr>
                <w:rFonts w:hint="eastAsia"/>
                <w:color w:val="auto"/>
              </w:rPr>
              <w:t>表</w:t>
            </w:r>
            <w:r>
              <w:rPr>
                <w:color w:val="auto"/>
              </w:rPr>
              <w:t xml:space="preserve">2 </w:t>
            </w:r>
            <w:r>
              <w:rPr>
                <w:rFonts w:hint="eastAsia"/>
                <w:color w:val="auto"/>
              </w:rPr>
              <w:t>新污染源大气污染物排放限值</w:t>
            </w:r>
            <w:r>
              <w:rPr>
                <w:color w:val="auto"/>
              </w:rPr>
              <w:t>”</w:t>
            </w:r>
            <w:r>
              <w:rPr>
                <w:rFonts w:hint="eastAsia"/>
                <w:color w:val="auto"/>
              </w:rPr>
              <w:t>的无组织排放监控浓度限值，排放限值详见下表。</w:t>
            </w:r>
          </w:p>
          <w:p w14:paraId="31E7D7B9">
            <w:pPr>
              <w:pStyle w:val="63"/>
              <w:ind w:firstLine="480"/>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3.7</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大气污染物综合排放标准</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3"/>
              <w:gridCol w:w="2847"/>
              <w:gridCol w:w="2486"/>
            </w:tblGrid>
            <w:tr w14:paraId="3E6B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02" w:type="pct"/>
                  <w:vMerge w:val="restart"/>
                  <w:tcBorders>
                    <w:top w:val="single" w:color="auto" w:sz="4" w:space="0"/>
                    <w:left w:val="single" w:color="auto" w:sz="4" w:space="0"/>
                    <w:bottom w:val="single" w:color="auto" w:sz="4" w:space="0"/>
                    <w:right w:val="single" w:color="auto" w:sz="4" w:space="0"/>
                  </w:tcBorders>
                  <w:vAlign w:val="center"/>
                </w:tcPr>
                <w:p w14:paraId="264BA4FB">
                  <w:pPr>
                    <w:pStyle w:val="65"/>
                    <w:rPr>
                      <w:b/>
                      <w:bCs/>
                      <w:color w:val="auto"/>
                    </w:rPr>
                  </w:pPr>
                  <w:r>
                    <w:rPr>
                      <w:rFonts w:hint="eastAsia"/>
                      <w:b/>
                      <w:bCs/>
                      <w:color w:val="auto"/>
                    </w:rPr>
                    <w:t>污染物</w:t>
                  </w:r>
                </w:p>
              </w:tc>
              <w:tc>
                <w:tcPr>
                  <w:tcW w:w="3398" w:type="pct"/>
                  <w:gridSpan w:val="2"/>
                  <w:tcBorders>
                    <w:top w:val="single" w:color="auto" w:sz="4" w:space="0"/>
                    <w:left w:val="single" w:color="auto" w:sz="4" w:space="0"/>
                    <w:bottom w:val="single" w:color="auto" w:sz="4" w:space="0"/>
                    <w:right w:val="single" w:color="auto" w:sz="4" w:space="0"/>
                  </w:tcBorders>
                  <w:vAlign w:val="center"/>
                </w:tcPr>
                <w:p w14:paraId="3F0503AE">
                  <w:pPr>
                    <w:pStyle w:val="65"/>
                    <w:rPr>
                      <w:b/>
                      <w:bCs/>
                      <w:color w:val="auto"/>
                    </w:rPr>
                  </w:pPr>
                  <w:r>
                    <w:rPr>
                      <w:rFonts w:hint="eastAsia"/>
                      <w:b/>
                      <w:bCs/>
                      <w:color w:val="auto"/>
                    </w:rPr>
                    <w:t>无组织排放监控浓度限值</w:t>
                  </w:r>
                </w:p>
              </w:tc>
            </w:tr>
            <w:tr w14:paraId="360D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02" w:type="pct"/>
                  <w:vMerge w:val="continue"/>
                  <w:tcBorders>
                    <w:top w:val="single" w:color="auto" w:sz="4" w:space="0"/>
                    <w:left w:val="single" w:color="auto" w:sz="4" w:space="0"/>
                    <w:bottom w:val="single" w:color="auto" w:sz="4" w:space="0"/>
                    <w:right w:val="single" w:color="auto" w:sz="4" w:space="0"/>
                  </w:tcBorders>
                  <w:vAlign w:val="center"/>
                </w:tcPr>
                <w:p w14:paraId="2A73194D">
                  <w:pPr>
                    <w:pStyle w:val="65"/>
                    <w:rPr>
                      <w:b/>
                      <w:bCs/>
                      <w:color w:val="auto"/>
                    </w:rPr>
                  </w:pPr>
                </w:p>
              </w:tc>
              <w:tc>
                <w:tcPr>
                  <w:tcW w:w="1814" w:type="pct"/>
                  <w:tcBorders>
                    <w:top w:val="single" w:color="auto" w:sz="4" w:space="0"/>
                    <w:left w:val="single" w:color="auto" w:sz="4" w:space="0"/>
                    <w:bottom w:val="single" w:color="auto" w:sz="4" w:space="0"/>
                    <w:right w:val="single" w:color="auto" w:sz="4" w:space="0"/>
                  </w:tcBorders>
                  <w:vAlign w:val="center"/>
                </w:tcPr>
                <w:p w14:paraId="1C9E6ED9">
                  <w:pPr>
                    <w:pStyle w:val="65"/>
                    <w:rPr>
                      <w:b/>
                      <w:bCs/>
                      <w:color w:val="auto"/>
                    </w:rPr>
                  </w:pPr>
                  <w:r>
                    <w:rPr>
                      <w:rFonts w:hint="eastAsia"/>
                      <w:b/>
                      <w:bCs/>
                      <w:color w:val="auto"/>
                    </w:rPr>
                    <w:t>监控点</w:t>
                  </w:r>
                </w:p>
              </w:tc>
              <w:tc>
                <w:tcPr>
                  <w:tcW w:w="1585" w:type="pct"/>
                  <w:tcBorders>
                    <w:top w:val="single" w:color="auto" w:sz="4" w:space="0"/>
                    <w:left w:val="single" w:color="auto" w:sz="4" w:space="0"/>
                    <w:bottom w:val="single" w:color="auto" w:sz="4" w:space="0"/>
                    <w:right w:val="single" w:color="auto" w:sz="4" w:space="0"/>
                  </w:tcBorders>
                  <w:vAlign w:val="center"/>
                </w:tcPr>
                <w:p w14:paraId="050F4670">
                  <w:pPr>
                    <w:pStyle w:val="65"/>
                    <w:rPr>
                      <w:b/>
                      <w:bCs/>
                      <w:color w:val="auto"/>
                    </w:rPr>
                  </w:pPr>
                  <w:r>
                    <w:rPr>
                      <w:rFonts w:hint="eastAsia"/>
                      <w:b/>
                      <w:bCs/>
                      <w:color w:val="auto"/>
                    </w:rPr>
                    <w:t>浓度</w:t>
                  </w:r>
                  <w:r>
                    <w:rPr>
                      <w:b/>
                      <w:bCs/>
                      <w:color w:val="auto"/>
                    </w:rPr>
                    <w:t>mg/m</w:t>
                  </w:r>
                  <w:r>
                    <w:rPr>
                      <w:b/>
                      <w:bCs/>
                      <w:color w:val="auto"/>
                      <w:vertAlign w:val="superscript"/>
                    </w:rPr>
                    <w:t>3</w:t>
                  </w:r>
                </w:p>
              </w:tc>
            </w:tr>
            <w:tr w14:paraId="4BBE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2" w:type="pct"/>
                  <w:tcBorders>
                    <w:top w:val="single" w:color="auto" w:sz="4" w:space="0"/>
                    <w:left w:val="single" w:color="auto" w:sz="4" w:space="0"/>
                    <w:bottom w:val="single" w:color="auto" w:sz="4" w:space="0"/>
                    <w:right w:val="single" w:color="auto" w:sz="4" w:space="0"/>
                  </w:tcBorders>
                  <w:vAlign w:val="center"/>
                </w:tcPr>
                <w:p w14:paraId="50726CB2">
                  <w:pPr>
                    <w:pStyle w:val="65"/>
                    <w:rPr>
                      <w:color w:val="auto"/>
                    </w:rPr>
                  </w:pPr>
                  <w:r>
                    <w:rPr>
                      <w:rFonts w:hint="eastAsia"/>
                      <w:color w:val="auto"/>
                    </w:rPr>
                    <w:t>颗粒物</w:t>
                  </w:r>
                </w:p>
              </w:tc>
              <w:tc>
                <w:tcPr>
                  <w:tcW w:w="1814" w:type="pct"/>
                  <w:tcBorders>
                    <w:top w:val="single" w:color="auto" w:sz="4" w:space="0"/>
                    <w:left w:val="single" w:color="auto" w:sz="4" w:space="0"/>
                    <w:bottom w:val="single" w:color="auto" w:sz="4" w:space="0"/>
                    <w:right w:val="single" w:color="auto" w:sz="4" w:space="0"/>
                  </w:tcBorders>
                  <w:vAlign w:val="center"/>
                </w:tcPr>
                <w:p w14:paraId="50C0BC6F">
                  <w:pPr>
                    <w:pStyle w:val="65"/>
                    <w:rPr>
                      <w:color w:val="auto"/>
                    </w:rPr>
                  </w:pPr>
                  <w:r>
                    <w:rPr>
                      <w:rFonts w:hint="eastAsia"/>
                      <w:color w:val="auto"/>
                    </w:rPr>
                    <w:t>周界外浓度最高点</w:t>
                  </w:r>
                </w:p>
              </w:tc>
              <w:tc>
                <w:tcPr>
                  <w:tcW w:w="1585" w:type="pct"/>
                  <w:tcBorders>
                    <w:top w:val="single" w:color="auto" w:sz="4" w:space="0"/>
                    <w:left w:val="single" w:color="auto" w:sz="4" w:space="0"/>
                    <w:bottom w:val="single" w:color="auto" w:sz="4" w:space="0"/>
                    <w:right w:val="single" w:color="auto" w:sz="4" w:space="0"/>
                  </w:tcBorders>
                  <w:vAlign w:val="center"/>
                </w:tcPr>
                <w:p w14:paraId="0D09CB04">
                  <w:pPr>
                    <w:pStyle w:val="65"/>
                    <w:rPr>
                      <w:color w:val="auto"/>
                    </w:rPr>
                  </w:pPr>
                  <w:r>
                    <w:rPr>
                      <w:color w:val="auto"/>
                    </w:rPr>
                    <w:t>1.0</w:t>
                  </w:r>
                </w:p>
              </w:tc>
            </w:tr>
          </w:tbl>
          <w:p w14:paraId="53136FB2">
            <w:pPr>
              <w:ind w:firstLine="482"/>
              <w:rPr>
                <w:b/>
                <w:bCs/>
                <w:color w:val="auto"/>
              </w:rPr>
            </w:pPr>
            <w:r>
              <w:rPr>
                <w:b/>
                <w:bCs/>
                <w:color w:val="auto"/>
              </w:rPr>
              <w:t>2</w:t>
            </w:r>
            <w:r>
              <w:rPr>
                <w:rFonts w:hint="eastAsia"/>
                <w:b/>
                <w:bCs/>
                <w:color w:val="auto"/>
              </w:rPr>
              <w:t>）运行期</w:t>
            </w:r>
          </w:p>
          <w:p w14:paraId="2BB0DC21">
            <w:pPr>
              <w:ind w:firstLine="480"/>
              <w:rPr>
                <w:color w:val="auto"/>
              </w:rPr>
            </w:pPr>
            <w:r>
              <w:rPr>
                <w:rFonts w:hint="eastAsia"/>
                <w:color w:val="auto"/>
              </w:rPr>
              <w:t>在采取必要的生态保护措施和水土保持措施情况下，运营期基本不会产生二次扬尘和废气。本次评价不设置污染物排放标准。</w:t>
            </w:r>
          </w:p>
          <w:p w14:paraId="3AF99702">
            <w:pPr>
              <w:pStyle w:val="4"/>
              <w:spacing w:before="48" w:after="48"/>
              <w:rPr>
                <w:color w:val="auto"/>
              </w:rPr>
            </w:pPr>
            <w:bookmarkStart w:id="818" w:name="_Toc136794331"/>
            <w:bookmarkStart w:id="819" w:name="_Toc13778"/>
            <w:bookmarkStart w:id="820" w:name="_Toc161415570"/>
            <w:bookmarkStart w:id="821" w:name="_Toc26723"/>
            <w:bookmarkStart w:id="822" w:name="_Toc158491277"/>
            <w:bookmarkStart w:id="823" w:name="_Toc160473816"/>
            <w:bookmarkStart w:id="824" w:name="_Toc136794206"/>
            <w:bookmarkStart w:id="825" w:name="_Toc112424282"/>
            <w:bookmarkStart w:id="826" w:name="_Toc112173940"/>
            <w:bookmarkStart w:id="827" w:name="_Toc159349045"/>
            <w:bookmarkStart w:id="828" w:name="_Toc112165645"/>
            <w:bookmarkStart w:id="829" w:name="_Toc156144170"/>
            <w:bookmarkStart w:id="830" w:name="_Toc156137856"/>
            <w:bookmarkStart w:id="831" w:name="_Toc160730892"/>
            <w:r>
              <w:rPr>
                <w:rFonts w:hint="eastAsia"/>
                <w:color w:val="auto"/>
              </w:rPr>
              <w:t>废水排放标准</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14230A56">
            <w:pPr>
              <w:ind w:firstLine="480"/>
              <w:rPr>
                <w:color w:val="auto"/>
              </w:rPr>
            </w:pPr>
            <w:r>
              <w:rPr>
                <w:color w:val="auto"/>
              </w:rPr>
              <w:t>1</w:t>
            </w:r>
            <w:r>
              <w:rPr>
                <w:rFonts w:hint="eastAsia"/>
                <w:color w:val="auto"/>
              </w:rPr>
              <w:t>）施工期</w:t>
            </w:r>
          </w:p>
          <w:p w14:paraId="1F503A38">
            <w:pPr>
              <w:ind w:firstLine="480"/>
              <w:rPr>
                <w:color w:val="auto"/>
              </w:rPr>
            </w:pPr>
            <w:bookmarkStart w:id="832" w:name="_Hlk181625154"/>
            <w:r>
              <w:rPr>
                <w:rFonts w:hint="eastAsia"/>
                <w:color w:val="auto"/>
              </w:rPr>
              <w:t>在道路工程区设置C20混凝土排水边沟2267m³；φ1000圆管涵228m，9口9m</w:t>
            </w:r>
            <w:r>
              <w:rPr>
                <w:rFonts w:hint="eastAsia"/>
                <w:color w:val="auto"/>
                <w:vertAlign w:val="superscript"/>
              </w:rPr>
              <w:t>3</w:t>
            </w:r>
            <w:r>
              <w:rPr>
                <w:rFonts w:hint="eastAsia"/>
                <w:color w:val="auto"/>
              </w:rPr>
              <w:t>沉砂池；光伏方阵区设置截水沟1500.48m，5口9m</w:t>
            </w:r>
            <w:r>
              <w:rPr>
                <w:rFonts w:hint="eastAsia"/>
                <w:color w:val="auto"/>
                <w:vertAlign w:val="superscript"/>
              </w:rPr>
              <w:t>3</w:t>
            </w:r>
            <w:r>
              <w:rPr>
                <w:rFonts w:hint="eastAsia"/>
                <w:color w:val="auto"/>
              </w:rPr>
              <w:t>沉砂池收集施工废水，施工场地设置4个5m</w:t>
            </w:r>
            <w:r>
              <w:rPr>
                <w:rFonts w:hint="eastAsia"/>
                <w:color w:val="auto"/>
                <w:vertAlign w:val="superscript"/>
              </w:rPr>
              <w:t>3</w:t>
            </w:r>
            <w:r>
              <w:rPr>
                <w:rFonts w:hint="eastAsia"/>
                <w:color w:val="auto"/>
              </w:rPr>
              <w:t>的临时沉淀池，将生活污水（洗手废水）进行沉淀处理后用于施工用水和施工场地洒水降尘。本项目业主、承包商及施工人员临时居住、办公等场地均采用租用民房解决，施工期日常生活污水依托当地民房自有处理系统。</w:t>
            </w:r>
          </w:p>
          <w:p w14:paraId="63D639ED">
            <w:pPr>
              <w:ind w:firstLine="480"/>
              <w:rPr>
                <w:color w:val="auto"/>
              </w:rPr>
            </w:pPr>
            <w:r>
              <w:rPr>
                <w:color w:val="auto"/>
              </w:rPr>
              <w:t>2</w:t>
            </w:r>
            <w:r>
              <w:rPr>
                <w:rFonts w:hint="eastAsia"/>
                <w:color w:val="auto"/>
              </w:rPr>
              <w:t>）运营期</w:t>
            </w:r>
          </w:p>
          <w:p w14:paraId="2C793328">
            <w:pPr>
              <w:ind w:firstLine="480"/>
              <w:rPr>
                <w:color w:val="auto"/>
              </w:rPr>
            </w:pPr>
            <w:r>
              <w:rPr>
                <w:rFonts w:hint="eastAsia"/>
                <w:color w:val="auto"/>
              </w:rPr>
              <w:t>项目运营期产生的废水为太阳能板组件清洗废水，项目太阳能板组件的清洗废水其主要成分是SS，产生的清洗废水通过太阳能板落入场地土壤中，用于光伏场区绿化，不外排。</w:t>
            </w:r>
          </w:p>
          <w:p w14:paraId="40AC5B40">
            <w:pPr>
              <w:ind w:firstLine="480"/>
              <w:rPr>
                <w:color w:val="auto"/>
              </w:rPr>
            </w:pPr>
            <w:r>
              <w:rPr>
                <w:rFonts w:hint="eastAsia"/>
                <w:color w:val="auto"/>
              </w:rPr>
              <w:t>本项目无新增劳动定员，无新增生活污水。本次评价不设置污染物排放标准。</w:t>
            </w:r>
          </w:p>
          <w:bookmarkEnd w:id="832"/>
          <w:p w14:paraId="2F35784C">
            <w:pPr>
              <w:pStyle w:val="4"/>
              <w:spacing w:before="48" w:after="48"/>
              <w:rPr>
                <w:color w:val="auto"/>
              </w:rPr>
            </w:pPr>
            <w:bookmarkStart w:id="833" w:name="_Toc136794207"/>
            <w:bookmarkStart w:id="834" w:name="_Toc156144171"/>
            <w:bookmarkStart w:id="835" w:name="_Toc112173941"/>
            <w:bookmarkStart w:id="836" w:name="_Toc156137857"/>
            <w:bookmarkStart w:id="837" w:name="_Toc161415571"/>
            <w:bookmarkStart w:id="838" w:name="_Toc160473817"/>
            <w:bookmarkStart w:id="839" w:name="_Toc159349046"/>
            <w:bookmarkStart w:id="840" w:name="_Toc136794332"/>
            <w:bookmarkStart w:id="841" w:name="_Toc814"/>
            <w:bookmarkStart w:id="842" w:name="_Toc29507"/>
            <w:bookmarkStart w:id="843" w:name="_Toc160730893"/>
            <w:bookmarkStart w:id="844" w:name="_Toc158491278"/>
            <w:bookmarkStart w:id="845" w:name="_Toc112165646"/>
            <w:bookmarkStart w:id="846" w:name="_Toc112424283"/>
            <w:r>
              <w:rPr>
                <w:rFonts w:hint="eastAsia"/>
                <w:color w:val="auto"/>
              </w:rPr>
              <w:t>噪声排放标准</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3154D17A">
            <w:pPr>
              <w:ind w:firstLine="480"/>
              <w:rPr>
                <w:color w:val="auto"/>
              </w:rPr>
            </w:pPr>
            <w:r>
              <w:rPr>
                <w:color w:val="auto"/>
              </w:rPr>
              <w:t>1</w:t>
            </w:r>
            <w:r>
              <w:rPr>
                <w:rFonts w:hint="eastAsia"/>
                <w:color w:val="auto"/>
              </w:rPr>
              <w:t>）施工期</w:t>
            </w:r>
          </w:p>
          <w:p w14:paraId="1DF5154E">
            <w:pPr>
              <w:ind w:firstLine="480"/>
              <w:rPr>
                <w:color w:val="auto"/>
              </w:rPr>
            </w:pPr>
            <w:r>
              <w:rPr>
                <w:rFonts w:hint="eastAsia"/>
                <w:color w:val="auto"/>
              </w:rPr>
              <w:t>项目施工期噪声执行《建筑施工噪声排放标准》（</w:t>
            </w:r>
            <w:r>
              <w:rPr>
                <w:color w:val="auto"/>
              </w:rPr>
              <w:t>GB 12523-20</w:t>
            </w:r>
            <w:r>
              <w:rPr>
                <w:rFonts w:hint="eastAsia"/>
                <w:color w:val="auto"/>
              </w:rPr>
              <w:t>25），标准值见下表。</w:t>
            </w:r>
          </w:p>
          <w:p w14:paraId="5E3F1EF6">
            <w:pPr>
              <w:ind w:firstLine="482"/>
              <w:rPr>
                <w:b/>
                <w:color w:val="auto"/>
              </w:rPr>
            </w:pPr>
            <w:r>
              <w:rPr>
                <w:rFonts w:hint="eastAsia"/>
                <w:b/>
                <w:color w:val="auto"/>
              </w:rPr>
              <w:t>表</w:t>
            </w:r>
            <w:r>
              <w:rPr>
                <w:b/>
                <w:color w:val="auto"/>
              </w:rPr>
              <w:t xml:space="preserve"> </w:t>
            </w:r>
            <w:r>
              <w:rPr>
                <w:b/>
                <w:color w:val="auto"/>
              </w:rPr>
              <w:fldChar w:fldCharType="begin"/>
            </w:r>
            <w:r>
              <w:rPr>
                <w:b/>
                <w:color w:val="auto"/>
              </w:rPr>
              <w:instrText xml:space="preserve"> STYLEREF 2 \s </w:instrText>
            </w:r>
            <w:r>
              <w:rPr>
                <w:b/>
                <w:color w:val="auto"/>
              </w:rPr>
              <w:fldChar w:fldCharType="separate"/>
            </w:r>
            <w:r>
              <w:rPr>
                <w:b/>
                <w:color w:val="auto"/>
              </w:rPr>
              <w:t>3.7</w:t>
            </w:r>
            <w:r>
              <w:rPr>
                <w:b/>
                <w:color w:val="auto"/>
              </w:rPr>
              <w:fldChar w:fldCharType="end"/>
            </w:r>
            <w:r>
              <w:rPr>
                <w:b/>
                <w:color w:val="auto"/>
              </w:rPr>
              <w:noBreakHyphen/>
            </w:r>
            <w:r>
              <w:rPr>
                <w:b/>
                <w:color w:val="auto"/>
              </w:rPr>
              <w:fldChar w:fldCharType="begin"/>
            </w:r>
            <w:r>
              <w:rPr>
                <w:b/>
                <w:color w:val="auto"/>
              </w:rPr>
              <w:instrText xml:space="preserve"> SEQ 表 \* ARABIC \s 2 </w:instrText>
            </w:r>
            <w:r>
              <w:rPr>
                <w:b/>
                <w:color w:val="auto"/>
              </w:rPr>
              <w:fldChar w:fldCharType="separate"/>
            </w:r>
            <w:r>
              <w:rPr>
                <w:b/>
                <w:color w:val="auto"/>
              </w:rPr>
              <w:t>2</w:t>
            </w:r>
            <w:r>
              <w:rPr>
                <w:b/>
                <w:color w:val="auto"/>
              </w:rPr>
              <w:fldChar w:fldCharType="end"/>
            </w:r>
            <w:r>
              <w:rPr>
                <w:b/>
                <w:color w:val="auto"/>
              </w:rPr>
              <w:t xml:space="preserve">  </w:t>
            </w:r>
            <w:r>
              <w:rPr>
                <w:rFonts w:hint="eastAsia"/>
                <w:b/>
                <w:color w:val="auto"/>
              </w:rPr>
              <w:t>建筑施工场界环境噪声排放限值</w:t>
            </w:r>
            <w:r>
              <w:rPr>
                <w:b/>
                <w:color w:val="auto"/>
              </w:rPr>
              <w:t xml:space="preserve">  </w:t>
            </w:r>
            <w:r>
              <w:rPr>
                <w:rFonts w:hint="eastAsia"/>
                <w:b/>
                <w:color w:val="auto"/>
              </w:rPr>
              <w:t>单位：</w:t>
            </w:r>
            <w:r>
              <w:rPr>
                <w:b/>
                <w:color w:val="auto"/>
              </w:rPr>
              <w:t>dB</w:t>
            </w:r>
            <w:r>
              <w:rPr>
                <w:rFonts w:hint="eastAsia"/>
                <w:b/>
                <w:color w:val="auto"/>
              </w:rPr>
              <w:t>（</w:t>
            </w:r>
            <w:r>
              <w:rPr>
                <w:b/>
                <w:color w:val="auto"/>
              </w:rPr>
              <w:t>A</w:t>
            </w:r>
            <w:r>
              <w:rPr>
                <w:rFonts w:hint="eastAsia"/>
                <w:b/>
                <w:color w:val="auto"/>
              </w:rPr>
              <w:t>）</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3732"/>
              <w:gridCol w:w="4114"/>
            </w:tblGrid>
            <w:tr w14:paraId="1FA4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blHeader/>
              </w:trPr>
              <w:tc>
                <w:tcPr>
                  <w:tcW w:w="2378" w:type="pct"/>
                  <w:tcBorders>
                    <w:top w:val="single" w:color="auto" w:sz="4" w:space="0"/>
                    <w:left w:val="single" w:color="auto" w:sz="4" w:space="0"/>
                    <w:bottom w:val="single" w:color="auto" w:sz="4" w:space="0"/>
                    <w:right w:val="single" w:color="auto" w:sz="4" w:space="0"/>
                  </w:tcBorders>
                  <w:vAlign w:val="center"/>
                </w:tcPr>
                <w:p w14:paraId="3693A41A">
                  <w:pPr>
                    <w:pStyle w:val="65"/>
                    <w:rPr>
                      <w:b/>
                      <w:bCs/>
                      <w:color w:val="auto"/>
                    </w:rPr>
                  </w:pPr>
                  <w:r>
                    <w:rPr>
                      <w:rFonts w:hint="eastAsia"/>
                      <w:b/>
                      <w:bCs/>
                      <w:color w:val="auto"/>
                    </w:rPr>
                    <w:t>昼间</w:t>
                  </w:r>
                </w:p>
              </w:tc>
              <w:tc>
                <w:tcPr>
                  <w:tcW w:w="2622" w:type="pct"/>
                  <w:tcBorders>
                    <w:top w:val="single" w:color="auto" w:sz="4" w:space="0"/>
                    <w:left w:val="single" w:color="auto" w:sz="4" w:space="0"/>
                    <w:bottom w:val="single" w:color="auto" w:sz="4" w:space="0"/>
                    <w:right w:val="single" w:color="auto" w:sz="4" w:space="0"/>
                  </w:tcBorders>
                  <w:vAlign w:val="center"/>
                </w:tcPr>
                <w:p w14:paraId="590B4007">
                  <w:pPr>
                    <w:pStyle w:val="65"/>
                    <w:rPr>
                      <w:b/>
                      <w:bCs/>
                      <w:color w:val="auto"/>
                    </w:rPr>
                  </w:pPr>
                  <w:r>
                    <w:rPr>
                      <w:rFonts w:hint="eastAsia"/>
                      <w:b/>
                      <w:bCs/>
                      <w:color w:val="auto"/>
                    </w:rPr>
                    <w:t>夜间</w:t>
                  </w:r>
                </w:p>
              </w:tc>
            </w:tr>
            <w:tr w14:paraId="1F3D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trPr>
              <w:tc>
                <w:tcPr>
                  <w:tcW w:w="2378" w:type="pct"/>
                  <w:tcBorders>
                    <w:top w:val="single" w:color="auto" w:sz="4" w:space="0"/>
                    <w:left w:val="single" w:color="auto" w:sz="4" w:space="0"/>
                    <w:bottom w:val="single" w:color="auto" w:sz="4" w:space="0"/>
                    <w:right w:val="single" w:color="auto" w:sz="4" w:space="0"/>
                  </w:tcBorders>
                  <w:vAlign w:val="center"/>
                </w:tcPr>
                <w:p w14:paraId="77FC8849">
                  <w:pPr>
                    <w:pStyle w:val="65"/>
                    <w:rPr>
                      <w:color w:val="auto"/>
                    </w:rPr>
                  </w:pPr>
                  <w:r>
                    <w:rPr>
                      <w:color w:val="auto"/>
                    </w:rPr>
                    <w:t>70</w:t>
                  </w:r>
                </w:p>
              </w:tc>
              <w:tc>
                <w:tcPr>
                  <w:tcW w:w="2622" w:type="pct"/>
                  <w:tcBorders>
                    <w:top w:val="single" w:color="auto" w:sz="4" w:space="0"/>
                    <w:left w:val="single" w:color="auto" w:sz="4" w:space="0"/>
                    <w:bottom w:val="single" w:color="auto" w:sz="4" w:space="0"/>
                    <w:right w:val="single" w:color="auto" w:sz="4" w:space="0"/>
                  </w:tcBorders>
                  <w:vAlign w:val="center"/>
                </w:tcPr>
                <w:p w14:paraId="2E055FEB">
                  <w:pPr>
                    <w:pStyle w:val="65"/>
                    <w:rPr>
                      <w:color w:val="auto"/>
                    </w:rPr>
                  </w:pPr>
                  <w:r>
                    <w:rPr>
                      <w:color w:val="auto"/>
                    </w:rPr>
                    <w:t>55</w:t>
                  </w:r>
                </w:p>
              </w:tc>
            </w:tr>
          </w:tbl>
          <w:p w14:paraId="13F96081">
            <w:pPr>
              <w:ind w:firstLine="480"/>
              <w:rPr>
                <w:color w:val="auto"/>
              </w:rPr>
            </w:pPr>
            <w:r>
              <w:rPr>
                <w:color w:val="auto"/>
              </w:rPr>
              <w:t>2</w:t>
            </w:r>
            <w:r>
              <w:rPr>
                <w:rFonts w:hint="eastAsia"/>
                <w:color w:val="auto"/>
              </w:rPr>
              <w:t>）</w:t>
            </w:r>
            <w:bookmarkStart w:id="847" w:name="_Hlk181625249"/>
            <w:r>
              <w:rPr>
                <w:rFonts w:hint="eastAsia"/>
                <w:color w:val="auto"/>
              </w:rPr>
              <w:t>运营期</w:t>
            </w:r>
          </w:p>
          <w:p w14:paraId="60F7FC91">
            <w:pPr>
              <w:ind w:firstLine="480"/>
              <w:rPr>
                <w:color w:val="auto"/>
              </w:rPr>
            </w:pPr>
            <w:r>
              <w:rPr>
                <w:rFonts w:hint="eastAsia"/>
                <w:color w:val="auto"/>
              </w:rPr>
              <w:t>运营期厂界噪声执行《工业企业厂界环境噪声排放标准》（</w:t>
            </w:r>
            <w:r>
              <w:rPr>
                <w:color w:val="auto"/>
              </w:rPr>
              <w:t>GB12348-2008</w:t>
            </w:r>
            <w:r>
              <w:rPr>
                <w:rFonts w:hint="eastAsia"/>
                <w:color w:val="auto"/>
              </w:rPr>
              <w:t>）中</w:t>
            </w:r>
            <w:r>
              <w:rPr>
                <w:color w:val="auto"/>
              </w:rPr>
              <w:t>1</w:t>
            </w:r>
            <w:r>
              <w:rPr>
                <w:rFonts w:hint="eastAsia"/>
                <w:color w:val="auto"/>
              </w:rPr>
              <w:t>类标准，标准值见下表所示。</w:t>
            </w:r>
          </w:p>
          <w:p w14:paraId="24A1405C">
            <w:pPr>
              <w:pStyle w:val="63"/>
              <w:ind w:firstLine="480"/>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3.7</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3</w:t>
            </w:r>
            <w:r>
              <w:rPr>
                <w:color w:val="auto"/>
              </w:rPr>
              <w:fldChar w:fldCharType="end"/>
            </w:r>
            <w:r>
              <w:rPr>
                <w:color w:val="auto"/>
              </w:rPr>
              <w:t xml:space="preserve">  </w:t>
            </w:r>
            <w:r>
              <w:rPr>
                <w:rFonts w:hint="eastAsia"/>
                <w:color w:val="auto"/>
              </w:rPr>
              <w:t>工业企业厂界环境噪声排放标准限值单位：</w:t>
            </w:r>
            <w:r>
              <w:rPr>
                <w:color w:val="auto"/>
              </w:rPr>
              <w:t>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9"/>
              <w:gridCol w:w="1555"/>
              <w:gridCol w:w="1431"/>
              <w:gridCol w:w="1351"/>
            </w:tblGrid>
            <w:tr w14:paraId="0F7A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36" w:type="pct"/>
                  <w:vMerge w:val="restart"/>
                  <w:tcBorders>
                    <w:top w:val="single" w:color="auto" w:sz="4" w:space="0"/>
                    <w:left w:val="single" w:color="auto" w:sz="4" w:space="0"/>
                    <w:bottom w:val="single" w:color="auto" w:sz="4" w:space="0"/>
                    <w:right w:val="single" w:color="auto" w:sz="4" w:space="0"/>
                  </w:tcBorders>
                  <w:vAlign w:val="center"/>
                </w:tcPr>
                <w:p w14:paraId="592EE2A9">
                  <w:pPr>
                    <w:pStyle w:val="65"/>
                    <w:rPr>
                      <w:b/>
                      <w:bCs/>
                      <w:color w:val="auto"/>
                    </w:rPr>
                  </w:pPr>
                  <w:r>
                    <w:rPr>
                      <w:rFonts w:hint="eastAsia"/>
                      <w:b/>
                      <w:bCs/>
                      <w:color w:val="auto"/>
                    </w:rPr>
                    <w:t>位置</w:t>
                  </w:r>
                </w:p>
              </w:tc>
              <w:tc>
                <w:tcPr>
                  <w:tcW w:w="991" w:type="pct"/>
                  <w:vMerge w:val="restart"/>
                  <w:tcBorders>
                    <w:top w:val="single" w:color="auto" w:sz="4" w:space="0"/>
                    <w:left w:val="single" w:color="auto" w:sz="4" w:space="0"/>
                    <w:bottom w:val="single" w:color="auto" w:sz="4" w:space="0"/>
                    <w:right w:val="single" w:color="auto" w:sz="4" w:space="0"/>
                  </w:tcBorders>
                  <w:vAlign w:val="center"/>
                </w:tcPr>
                <w:p w14:paraId="76BA540B">
                  <w:pPr>
                    <w:pStyle w:val="65"/>
                    <w:rPr>
                      <w:b/>
                      <w:bCs/>
                      <w:color w:val="auto"/>
                    </w:rPr>
                  </w:pPr>
                  <w:r>
                    <w:rPr>
                      <w:rFonts w:hint="eastAsia"/>
                      <w:b/>
                      <w:bCs/>
                      <w:color w:val="auto"/>
                    </w:rPr>
                    <w:t>类别</w:t>
                  </w:r>
                </w:p>
              </w:tc>
              <w:tc>
                <w:tcPr>
                  <w:tcW w:w="1773" w:type="pct"/>
                  <w:gridSpan w:val="2"/>
                  <w:tcBorders>
                    <w:top w:val="single" w:color="auto" w:sz="4" w:space="0"/>
                    <w:left w:val="single" w:color="auto" w:sz="4" w:space="0"/>
                    <w:bottom w:val="single" w:color="auto" w:sz="4" w:space="0"/>
                    <w:right w:val="single" w:color="auto" w:sz="4" w:space="0"/>
                  </w:tcBorders>
                  <w:vAlign w:val="center"/>
                </w:tcPr>
                <w:p w14:paraId="6537245A">
                  <w:pPr>
                    <w:pStyle w:val="65"/>
                    <w:rPr>
                      <w:b/>
                      <w:bCs/>
                      <w:color w:val="auto"/>
                    </w:rPr>
                  </w:pPr>
                  <w:r>
                    <w:rPr>
                      <w:rFonts w:hint="eastAsia"/>
                      <w:b/>
                      <w:bCs/>
                      <w:color w:val="auto"/>
                    </w:rPr>
                    <w:t>等效声级</w:t>
                  </w:r>
                </w:p>
              </w:tc>
            </w:tr>
            <w:tr w14:paraId="3912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2236" w:type="pct"/>
                  <w:vMerge w:val="continue"/>
                  <w:tcBorders>
                    <w:top w:val="single" w:color="auto" w:sz="4" w:space="0"/>
                    <w:left w:val="single" w:color="auto" w:sz="4" w:space="0"/>
                    <w:bottom w:val="single" w:color="auto" w:sz="4" w:space="0"/>
                    <w:right w:val="single" w:color="auto" w:sz="4" w:space="0"/>
                  </w:tcBorders>
                  <w:vAlign w:val="center"/>
                </w:tcPr>
                <w:p w14:paraId="69E7F250">
                  <w:pPr>
                    <w:pStyle w:val="65"/>
                    <w:rPr>
                      <w:b/>
                      <w:bCs/>
                      <w:color w:val="auto"/>
                    </w:rPr>
                  </w:pPr>
                </w:p>
              </w:tc>
              <w:tc>
                <w:tcPr>
                  <w:tcW w:w="991" w:type="pct"/>
                  <w:vMerge w:val="continue"/>
                  <w:tcBorders>
                    <w:top w:val="single" w:color="auto" w:sz="4" w:space="0"/>
                    <w:left w:val="single" w:color="auto" w:sz="4" w:space="0"/>
                    <w:bottom w:val="single" w:color="auto" w:sz="4" w:space="0"/>
                    <w:right w:val="single" w:color="auto" w:sz="4" w:space="0"/>
                  </w:tcBorders>
                  <w:vAlign w:val="center"/>
                </w:tcPr>
                <w:p w14:paraId="0247E0AD">
                  <w:pPr>
                    <w:pStyle w:val="65"/>
                    <w:rPr>
                      <w:b/>
                      <w:bCs/>
                      <w:color w:val="auto"/>
                    </w:rPr>
                  </w:pPr>
                </w:p>
              </w:tc>
              <w:tc>
                <w:tcPr>
                  <w:tcW w:w="912" w:type="pct"/>
                  <w:tcBorders>
                    <w:top w:val="single" w:color="auto" w:sz="4" w:space="0"/>
                    <w:left w:val="single" w:color="auto" w:sz="4" w:space="0"/>
                    <w:bottom w:val="single" w:color="auto" w:sz="4" w:space="0"/>
                    <w:right w:val="single" w:color="auto" w:sz="4" w:space="0"/>
                  </w:tcBorders>
                  <w:vAlign w:val="center"/>
                </w:tcPr>
                <w:p w14:paraId="1A82F8C2">
                  <w:pPr>
                    <w:pStyle w:val="65"/>
                    <w:rPr>
                      <w:b/>
                      <w:bCs/>
                      <w:color w:val="auto"/>
                    </w:rPr>
                  </w:pPr>
                  <w:r>
                    <w:rPr>
                      <w:rFonts w:hint="eastAsia"/>
                      <w:b/>
                      <w:bCs/>
                      <w:color w:val="auto"/>
                    </w:rPr>
                    <w:t>昼间</w:t>
                  </w:r>
                </w:p>
              </w:tc>
              <w:tc>
                <w:tcPr>
                  <w:tcW w:w="861" w:type="pct"/>
                  <w:tcBorders>
                    <w:top w:val="single" w:color="auto" w:sz="4" w:space="0"/>
                    <w:left w:val="single" w:color="auto" w:sz="4" w:space="0"/>
                    <w:bottom w:val="single" w:color="auto" w:sz="4" w:space="0"/>
                    <w:right w:val="single" w:color="auto" w:sz="4" w:space="0"/>
                  </w:tcBorders>
                  <w:vAlign w:val="center"/>
                </w:tcPr>
                <w:p w14:paraId="2D8DEEE4">
                  <w:pPr>
                    <w:pStyle w:val="65"/>
                    <w:rPr>
                      <w:b/>
                      <w:bCs/>
                      <w:color w:val="auto"/>
                    </w:rPr>
                  </w:pPr>
                  <w:r>
                    <w:rPr>
                      <w:rFonts w:hint="eastAsia"/>
                      <w:b/>
                      <w:bCs/>
                      <w:color w:val="auto"/>
                    </w:rPr>
                    <w:t>夜间</w:t>
                  </w:r>
                </w:p>
              </w:tc>
            </w:tr>
            <w:tr w14:paraId="1DBB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36" w:type="pct"/>
                  <w:tcBorders>
                    <w:top w:val="single" w:color="auto" w:sz="4" w:space="0"/>
                    <w:left w:val="single" w:color="auto" w:sz="4" w:space="0"/>
                    <w:bottom w:val="single" w:color="auto" w:sz="4" w:space="0"/>
                    <w:right w:val="single" w:color="auto" w:sz="4" w:space="0"/>
                  </w:tcBorders>
                  <w:vAlign w:val="center"/>
                </w:tcPr>
                <w:p w14:paraId="11BCE90B">
                  <w:pPr>
                    <w:pStyle w:val="65"/>
                    <w:rPr>
                      <w:color w:val="auto"/>
                    </w:rPr>
                  </w:pPr>
                  <w:r>
                    <w:rPr>
                      <w:rFonts w:hint="eastAsia"/>
                      <w:color w:val="auto"/>
                    </w:rPr>
                    <w:t>光伏厂区东、南、西、北厂界</w:t>
                  </w:r>
                </w:p>
              </w:tc>
              <w:tc>
                <w:tcPr>
                  <w:tcW w:w="991" w:type="pct"/>
                  <w:tcBorders>
                    <w:top w:val="single" w:color="auto" w:sz="4" w:space="0"/>
                    <w:left w:val="single" w:color="auto" w:sz="4" w:space="0"/>
                    <w:bottom w:val="single" w:color="auto" w:sz="4" w:space="0"/>
                    <w:right w:val="single" w:color="auto" w:sz="4" w:space="0"/>
                  </w:tcBorders>
                  <w:vAlign w:val="center"/>
                </w:tcPr>
                <w:p w14:paraId="1744FBA1">
                  <w:pPr>
                    <w:pStyle w:val="65"/>
                    <w:rPr>
                      <w:color w:val="auto"/>
                    </w:rPr>
                  </w:pPr>
                  <w:r>
                    <w:rPr>
                      <w:color w:val="auto"/>
                    </w:rPr>
                    <w:t>1</w:t>
                  </w:r>
                  <w:r>
                    <w:rPr>
                      <w:rFonts w:hint="eastAsia"/>
                      <w:color w:val="auto"/>
                    </w:rPr>
                    <w:t>类</w:t>
                  </w:r>
                </w:p>
              </w:tc>
              <w:tc>
                <w:tcPr>
                  <w:tcW w:w="912" w:type="pct"/>
                  <w:tcBorders>
                    <w:top w:val="single" w:color="auto" w:sz="4" w:space="0"/>
                    <w:left w:val="single" w:color="auto" w:sz="4" w:space="0"/>
                    <w:bottom w:val="single" w:color="auto" w:sz="4" w:space="0"/>
                    <w:right w:val="single" w:color="auto" w:sz="4" w:space="0"/>
                  </w:tcBorders>
                  <w:vAlign w:val="center"/>
                </w:tcPr>
                <w:p w14:paraId="4C75FE8B">
                  <w:pPr>
                    <w:pStyle w:val="65"/>
                    <w:rPr>
                      <w:color w:val="auto"/>
                    </w:rPr>
                  </w:pPr>
                  <w:r>
                    <w:rPr>
                      <w:color w:val="auto"/>
                    </w:rPr>
                    <w:t>55</w:t>
                  </w:r>
                </w:p>
              </w:tc>
              <w:tc>
                <w:tcPr>
                  <w:tcW w:w="861" w:type="pct"/>
                  <w:tcBorders>
                    <w:top w:val="single" w:color="auto" w:sz="4" w:space="0"/>
                    <w:left w:val="single" w:color="auto" w:sz="4" w:space="0"/>
                    <w:bottom w:val="single" w:color="auto" w:sz="4" w:space="0"/>
                    <w:right w:val="single" w:color="auto" w:sz="4" w:space="0"/>
                  </w:tcBorders>
                  <w:vAlign w:val="center"/>
                </w:tcPr>
                <w:p w14:paraId="65B2F708">
                  <w:pPr>
                    <w:pStyle w:val="65"/>
                    <w:rPr>
                      <w:color w:val="auto"/>
                    </w:rPr>
                  </w:pPr>
                  <w:r>
                    <w:rPr>
                      <w:color w:val="auto"/>
                    </w:rPr>
                    <w:t>45</w:t>
                  </w:r>
                </w:p>
              </w:tc>
            </w:tr>
            <w:bookmarkEnd w:id="847"/>
          </w:tbl>
          <w:p w14:paraId="49CAC676">
            <w:pPr>
              <w:pStyle w:val="4"/>
              <w:spacing w:before="48" w:after="48"/>
              <w:rPr>
                <w:color w:val="auto"/>
              </w:rPr>
            </w:pPr>
            <w:bookmarkStart w:id="848" w:name="_Toc160730894"/>
            <w:bookmarkStart w:id="849" w:name="_Toc160473818"/>
            <w:bookmarkStart w:id="850" w:name="_Toc158491279"/>
            <w:bookmarkStart w:id="851" w:name="_Toc156137858"/>
            <w:bookmarkStart w:id="852" w:name="_Toc23621"/>
            <w:bookmarkStart w:id="853" w:name="_Toc136794333"/>
            <w:bookmarkStart w:id="854" w:name="_Toc136794208"/>
            <w:bookmarkStart w:id="855" w:name="_Toc159349047"/>
            <w:bookmarkStart w:id="856" w:name="_Toc112173942"/>
            <w:bookmarkStart w:id="857" w:name="_Toc112165647"/>
            <w:bookmarkStart w:id="858" w:name="_Toc5018"/>
            <w:bookmarkStart w:id="859" w:name="_Toc112424284"/>
            <w:bookmarkStart w:id="860" w:name="_Toc156144172"/>
            <w:bookmarkStart w:id="861" w:name="_Toc161415572"/>
            <w:r>
              <w:rPr>
                <w:rFonts w:hint="eastAsia"/>
                <w:color w:val="auto"/>
              </w:rPr>
              <w:t>固体废物控制标准</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bookmarkEnd w:id="817"/>
          <w:p w14:paraId="032C7895">
            <w:pPr>
              <w:ind w:firstLine="480"/>
              <w:rPr>
                <w:color w:val="auto"/>
              </w:rPr>
            </w:pPr>
            <w:r>
              <w:rPr>
                <w:rFonts w:hint="eastAsia"/>
                <w:color w:val="auto"/>
              </w:rPr>
              <w:t>项目产生的固废包括一般固废和危险废物。一般工业固体废物（废光伏板）贮存执行《一般工业固体废物贮存和填埋污染控制标准》（</w:t>
            </w:r>
            <w:r>
              <w:rPr>
                <w:color w:val="auto"/>
              </w:rPr>
              <w:t>GB 18599-2020</w:t>
            </w:r>
            <w:r>
              <w:rPr>
                <w:rFonts w:hint="eastAsia"/>
                <w:color w:val="auto"/>
              </w:rPr>
              <w:t>）；危险废物（废变压油）贮存执行《危险废物贮存污染控制标准》（</w:t>
            </w:r>
            <w:r>
              <w:rPr>
                <w:color w:val="auto"/>
              </w:rPr>
              <w:t>GB 18597-2023</w:t>
            </w:r>
            <w:r>
              <w:rPr>
                <w:rFonts w:hint="eastAsia"/>
                <w:color w:val="auto"/>
              </w:rPr>
              <w:t>）和《危险废物收集贮存运输技术规范》（</w:t>
            </w:r>
            <w:r>
              <w:rPr>
                <w:color w:val="auto"/>
              </w:rPr>
              <w:t>HJ2025-2012</w:t>
            </w:r>
            <w:r>
              <w:rPr>
                <w:rFonts w:hint="eastAsia"/>
                <w:color w:val="auto"/>
              </w:rPr>
              <w:t>）中的有关规定，统一收集后贮存于220kV德安升压站危废贮存库内，定期交由有资质的单位处置。</w:t>
            </w:r>
            <w:bookmarkEnd w:id="807"/>
          </w:p>
          <w:bookmarkEnd w:id="729"/>
        </w:tc>
      </w:tr>
      <w:bookmarkEnd w:id="730"/>
      <w:tr w14:paraId="6DAB8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265" w:type="pct"/>
            <w:tcBorders>
              <w:top w:val="single" w:color="auto" w:sz="4" w:space="0"/>
              <w:left w:val="single" w:color="auto" w:sz="8" w:space="0"/>
              <w:bottom w:val="single" w:color="auto" w:sz="8" w:space="0"/>
              <w:right w:val="single" w:color="auto" w:sz="4" w:space="0"/>
            </w:tcBorders>
            <w:vAlign w:val="center"/>
          </w:tcPr>
          <w:p w14:paraId="064CB943">
            <w:pPr>
              <w:ind w:firstLine="0" w:firstLineChars="0"/>
              <w:rPr>
                <w:color w:val="auto"/>
              </w:rPr>
            </w:pPr>
            <w:r>
              <w:rPr>
                <w:rFonts w:hint="eastAsia"/>
                <w:color w:val="auto"/>
              </w:rPr>
              <w:t>其他</w:t>
            </w:r>
          </w:p>
        </w:tc>
        <w:tc>
          <w:tcPr>
            <w:tcW w:w="4735" w:type="pct"/>
            <w:tcBorders>
              <w:top w:val="single" w:color="auto" w:sz="4" w:space="0"/>
              <w:left w:val="single" w:color="auto" w:sz="4" w:space="0"/>
              <w:bottom w:val="single" w:color="auto" w:sz="8" w:space="0"/>
              <w:right w:val="single" w:color="auto" w:sz="8" w:space="0"/>
            </w:tcBorders>
            <w:vAlign w:val="center"/>
          </w:tcPr>
          <w:p w14:paraId="486BE135">
            <w:pPr>
              <w:ind w:firstLine="480"/>
              <w:rPr>
                <w:color w:val="auto"/>
              </w:rPr>
            </w:pPr>
            <w:r>
              <w:rPr>
                <w:rFonts w:hint="eastAsia"/>
                <w:color w:val="auto"/>
              </w:rPr>
              <w:t>本项目为光伏电站项目，结合拟建项目污染物排放特征，项目无废水外排，不设置废水总量控制指标。项目运营期无生产废气排放，不设废气总量控制指标。本项目固体废物处置率：</w:t>
            </w:r>
            <w:r>
              <w:rPr>
                <w:color w:val="auto"/>
              </w:rPr>
              <w:t>100%</w:t>
            </w:r>
            <w:r>
              <w:rPr>
                <w:rFonts w:hint="eastAsia"/>
                <w:color w:val="auto"/>
              </w:rPr>
              <w:t>。固体废物不纳入总量控制，故本次环评不需设总量指标。</w:t>
            </w:r>
          </w:p>
        </w:tc>
      </w:tr>
    </w:tbl>
    <w:p w14:paraId="34280991">
      <w:pPr>
        <w:pStyle w:val="2"/>
        <w:spacing w:before="120" w:after="120"/>
        <w:ind w:firstLine="643"/>
        <w:rPr>
          <w:color w:val="auto"/>
        </w:rPr>
      </w:pPr>
      <w:bookmarkStart w:id="862" w:name="_Toc218698791"/>
      <w:bookmarkStart w:id="863" w:name="_Toc212667810"/>
      <w:r>
        <w:rPr>
          <w:rFonts w:hint="eastAsia"/>
          <w:color w:val="auto"/>
        </w:rPr>
        <w:t>、生态环境影响分析</w:t>
      </w:r>
      <w:bookmarkEnd w:id="862"/>
      <w:bookmarkEnd w:id="863"/>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7987"/>
      </w:tblGrid>
      <w:tr w14:paraId="027F1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273" w:type="pct"/>
            <w:tcMar>
              <w:left w:w="28" w:type="dxa"/>
              <w:right w:w="28" w:type="dxa"/>
            </w:tcMar>
            <w:vAlign w:val="center"/>
          </w:tcPr>
          <w:p w14:paraId="7F03D3F7">
            <w:pPr>
              <w:pStyle w:val="36"/>
              <w:adjustRightInd w:val="0"/>
              <w:snapToGrid w:val="0"/>
              <w:spacing w:line="240" w:lineRule="auto"/>
              <w:ind w:firstLine="0" w:firstLineChars="0"/>
              <w:jc w:val="center"/>
              <w:rPr>
                <w:bCs/>
                <w:color w:val="auto"/>
                <w:szCs w:val="21"/>
              </w:rPr>
            </w:pPr>
            <w:bookmarkStart w:id="864" w:name="_Hlk49796138"/>
            <w:r>
              <w:rPr>
                <w:bCs/>
                <w:color w:val="auto"/>
                <w:spacing w:val="10"/>
                <w:szCs w:val="21"/>
              </w:rPr>
              <w:t>施工期生态环境影响分析</w:t>
            </w:r>
            <w:bookmarkEnd w:id="864"/>
          </w:p>
        </w:tc>
        <w:tc>
          <w:tcPr>
            <w:tcW w:w="4727" w:type="pct"/>
          </w:tcPr>
          <w:p w14:paraId="50E7B832">
            <w:pPr>
              <w:pStyle w:val="3"/>
              <w:spacing w:before="72" w:after="72"/>
              <w:rPr>
                <w:color w:val="auto"/>
              </w:rPr>
            </w:pPr>
            <w:bookmarkStart w:id="865" w:name="_Toc23513"/>
            <w:bookmarkStart w:id="866" w:name="_Toc136794336"/>
            <w:bookmarkStart w:id="867" w:name="_Toc136794211"/>
            <w:bookmarkStart w:id="868" w:name="_Toc16631"/>
            <w:bookmarkStart w:id="869" w:name="_Toc112173946"/>
            <w:bookmarkStart w:id="870" w:name="_Toc112165651"/>
            <w:bookmarkStart w:id="871" w:name="_Toc112424288"/>
            <w:bookmarkStart w:id="872" w:name="_Toc156144175"/>
            <w:bookmarkStart w:id="873" w:name="_Toc177072831"/>
            <w:bookmarkStart w:id="874" w:name="_Toc181732818"/>
            <w:bookmarkStart w:id="875" w:name="_Toc161415575"/>
            <w:bookmarkStart w:id="876" w:name="_Toc158491282"/>
            <w:bookmarkStart w:id="877" w:name="_Toc160730897"/>
            <w:bookmarkStart w:id="878" w:name="_Toc177482903"/>
            <w:bookmarkStart w:id="879" w:name="_Toc159349050"/>
            <w:bookmarkStart w:id="880" w:name="_Toc177488215"/>
            <w:bookmarkStart w:id="881" w:name="_Toc160473821"/>
            <w:bookmarkStart w:id="882" w:name="_Toc156137861"/>
            <w:bookmarkStart w:id="883" w:name="_Toc181738225"/>
            <w:bookmarkStart w:id="884" w:name="_Toc177072403"/>
            <w:bookmarkStart w:id="885" w:name="_Toc181293540"/>
            <w:r>
              <w:rPr>
                <w:color w:val="auto"/>
              </w:rPr>
              <w:t>施工工艺</w:t>
            </w:r>
            <w:r>
              <w:rPr>
                <w:rFonts w:hint="eastAsia"/>
                <w:color w:val="auto"/>
              </w:rPr>
              <w:t>流程</w:t>
            </w:r>
            <w:r>
              <w:rPr>
                <w:color w:val="auto"/>
              </w:rPr>
              <w:t>及产污环节</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64922D9A">
            <w:pPr>
              <w:ind w:firstLine="480"/>
              <w:rPr>
                <w:color w:val="auto"/>
                <w:szCs w:val="21"/>
              </w:rPr>
            </w:pPr>
            <w:r>
              <w:rPr>
                <w:rFonts w:hint="eastAsia"/>
                <w:color w:val="auto"/>
                <w:szCs w:val="21"/>
              </w:rPr>
              <w:t>本项目的施工包括场内道路的施工、光伏阵列基础的开挖、地埋电缆开挖、塔基基础开挖、逆变器室等构筑物的建设及设备的安装和调试。</w:t>
            </w:r>
          </w:p>
          <w:p w14:paraId="56EC6C2C">
            <w:pPr>
              <w:ind w:firstLine="480"/>
              <w:rPr>
                <w:color w:val="auto"/>
                <w:szCs w:val="21"/>
              </w:rPr>
            </w:pPr>
            <w:r>
              <w:rPr>
                <w:rFonts w:hint="eastAsia"/>
                <w:color w:val="auto"/>
                <w:szCs w:val="21"/>
              </w:rPr>
              <w:t>施工期主要污染源有：施工期机械噪声、扬尘、运输及动力设备运行产生的燃油废气、固体废物；施工人员生活污水、生活垃圾等，</w:t>
            </w:r>
            <w:r>
              <w:rPr>
                <w:color w:val="auto"/>
                <w:szCs w:val="21"/>
              </w:rPr>
              <w:t>本项目施工工艺</w:t>
            </w:r>
            <w:r>
              <w:rPr>
                <w:rFonts w:hint="eastAsia"/>
                <w:color w:val="auto"/>
                <w:szCs w:val="21"/>
              </w:rPr>
              <w:t>流程</w:t>
            </w:r>
            <w:r>
              <w:rPr>
                <w:color w:val="auto"/>
                <w:szCs w:val="21"/>
              </w:rPr>
              <w:t>及产污环节见下图：</w:t>
            </w:r>
          </w:p>
          <w:p w14:paraId="46FEBE28">
            <w:pPr>
              <w:pStyle w:val="65"/>
              <w:rPr>
                <w:color w:val="auto"/>
                <w:highlight w:val="yellow"/>
              </w:rPr>
            </w:pPr>
            <w:r>
              <w:rPr>
                <w:color w:val="auto"/>
              </w:rPr>
              <w:drawing>
                <wp:inline distT="0" distB="0" distL="0" distR="0">
                  <wp:extent cx="4878705" cy="1441450"/>
                  <wp:effectExtent l="0" t="0" r="17145" b="6350"/>
                  <wp:docPr id="103566510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65106" name="图片 37"/>
                          <pic:cNvPicPr>
                            <a:picLocks noChangeAspect="1" noChangeArrowheads="1"/>
                          </pic:cNvPicPr>
                        </pic:nvPicPr>
                        <pic:blipFill>
                          <a:blip r:embed="rId47"/>
                          <a:srcRect/>
                          <a:stretch>
                            <a:fillRect/>
                          </a:stretch>
                        </pic:blipFill>
                        <pic:spPr>
                          <a:xfrm>
                            <a:off x="0" y="0"/>
                            <a:ext cx="4885445" cy="1441450"/>
                          </a:xfrm>
                          <a:prstGeom prst="rect">
                            <a:avLst/>
                          </a:prstGeom>
                          <a:noFill/>
                        </pic:spPr>
                      </pic:pic>
                    </a:graphicData>
                  </a:graphic>
                </wp:inline>
              </w:drawing>
            </w:r>
          </w:p>
          <w:p w14:paraId="35D1ED22">
            <w:pPr>
              <w:pStyle w:val="63"/>
              <w:rPr>
                <w:color w:val="auto"/>
                <w:szCs w:val="21"/>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4.1</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bCs/>
                <w:color w:val="auto"/>
              </w:rPr>
              <w:t xml:space="preserve"> </w:t>
            </w:r>
            <w:r>
              <w:rPr>
                <w:rFonts w:hint="eastAsia"/>
                <w:bCs/>
                <w:color w:val="auto"/>
              </w:rPr>
              <w:t>光伏板</w:t>
            </w:r>
            <w:r>
              <w:rPr>
                <w:color w:val="auto"/>
                <w:szCs w:val="21"/>
              </w:rPr>
              <w:t>施工期施工工艺流程图</w:t>
            </w:r>
          </w:p>
          <w:p w14:paraId="5182FAB5">
            <w:pPr>
              <w:pStyle w:val="3"/>
              <w:spacing w:before="72" w:after="72"/>
              <w:rPr>
                <w:color w:val="auto"/>
              </w:rPr>
            </w:pPr>
            <w:bookmarkStart w:id="886" w:name="_Toc136794212"/>
            <w:bookmarkStart w:id="887" w:name="_Toc156144176"/>
            <w:bookmarkStart w:id="888" w:name="_Toc158491283"/>
            <w:bookmarkStart w:id="889" w:name="_Toc156137862"/>
            <w:bookmarkStart w:id="890" w:name="_Toc159349051"/>
            <w:bookmarkStart w:id="891" w:name="_Toc161415576"/>
            <w:bookmarkStart w:id="892" w:name="_Toc177482904"/>
            <w:bookmarkStart w:id="893" w:name="_Toc177488216"/>
            <w:bookmarkStart w:id="894" w:name="_Toc177072404"/>
            <w:bookmarkStart w:id="895" w:name="_Toc181732819"/>
            <w:bookmarkStart w:id="896" w:name="_Toc181738226"/>
            <w:bookmarkStart w:id="897" w:name="_Toc4054"/>
            <w:bookmarkStart w:id="898" w:name="_Toc136794337"/>
            <w:bookmarkStart w:id="899" w:name="_Toc177072832"/>
            <w:bookmarkStart w:id="900" w:name="_Toc16434"/>
            <w:bookmarkStart w:id="901" w:name="_Toc160730898"/>
            <w:bookmarkStart w:id="902" w:name="_Toc181293541"/>
            <w:bookmarkStart w:id="903" w:name="_Toc160473822"/>
            <w:r>
              <w:rPr>
                <w:color w:val="auto"/>
              </w:rPr>
              <w:t>主要污染物（影响）工序分析</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28D8C4ED">
            <w:pPr>
              <w:ind w:firstLine="480"/>
              <w:rPr>
                <w:color w:val="auto"/>
                <w:szCs w:val="21"/>
              </w:rPr>
            </w:pPr>
            <w:r>
              <w:rPr>
                <w:color w:val="auto"/>
                <w:szCs w:val="21"/>
              </w:rPr>
              <w:t>（1）施工期生态环境影响因素析</w:t>
            </w:r>
          </w:p>
          <w:p w14:paraId="1F078367">
            <w:pPr>
              <w:ind w:firstLine="480"/>
              <w:rPr>
                <w:color w:val="auto"/>
                <w:szCs w:val="21"/>
              </w:rPr>
            </w:pPr>
            <w:r>
              <w:rPr>
                <w:color w:val="auto"/>
                <w:szCs w:val="21"/>
              </w:rPr>
              <w:t>根据本工程的特点、施工工艺，分析工程施工阶段对项目周围的生态影响因素。项目施工期生态环境影响因素见</w:t>
            </w:r>
            <w:r>
              <w:rPr>
                <w:rFonts w:hint="eastAsia"/>
                <w:color w:val="auto"/>
                <w:szCs w:val="21"/>
              </w:rPr>
              <w:t>下</w:t>
            </w:r>
            <w:r>
              <w:rPr>
                <w:color w:val="auto"/>
                <w:szCs w:val="21"/>
              </w:rPr>
              <w:t>表。</w:t>
            </w:r>
          </w:p>
          <w:p w14:paraId="7E48CEF2">
            <w:pPr>
              <w:pStyle w:val="63"/>
              <w:ind w:firstLine="422"/>
              <w:rPr>
                <w:color w:val="auto"/>
                <w:szCs w:val="21"/>
              </w:rPr>
            </w:pPr>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4.2</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1</w:t>
            </w:r>
            <w:r>
              <w:rPr>
                <w:color w:val="auto"/>
                <w:szCs w:val="24"/>
              </w:rPr>
              <w:fldChar w:fldCharType="end"/>
            </w:r>
            <w:r>
              <w:rPr>
                <w:color w:val="auto"/>
                <w:szCs w:val="24"/>
              </w:rPr>
              <w:t xml:space="preserve">  </w:t>
            </w:r>
            <w:r>
              <w:rPr>
                <w:color w:val="auto"/>
                <w:szCs w:val="21"/>
              </w:rPr>
              <w:t>施工期生态环境影响因素一览表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3994"/>
              <w:gridCol w:w="1562"/>
            </w:tblGrid>
            <w:tr w14:paraId="5872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21" w:type="pct"/>
                  <w:tcBorders>
                    <w:tl2br w:val="nil"/>
                    <w:tr2bl w:val="nil"/>
                  </w:tcBorders>
                  <w:vAlign w:val="center"/>
                </w:tcPr>
                <w:p w14:paraId="4A381386">
                  <w:pPr>
                    <w:widowControl/>
                    <w:adjustRightInd w:val="0"/>
                    <w:snapToGrid w:val="0"/>
                    <w:spacing w:line="240" w:lineRule="auto"/>
                    <w:ind w:firstLine="0" w:firstLineChars="0"/>
                    <w:jc w:val="center"/>
                    <w:rPr>
                      <w:b/>
                      <w:bCs/>
                      <w:color w:val="auto"/>
                      <w:kern w:val="0"/>
                      <w:sz w:val="21"/>
                      <w:szCs w:val="18"/>
                    </w:rPr>
                  </w:pPr>
                  <w:r>
                    <w:rPr>
                      <w:b/>
                      <w:bCs/>
                      <w:color w:val="auto"/>
                      <w:sz w:val="21"/>
                      <w:szCs w:val="18"/>
                    </w:rPr>
                    <w:t>工程建设活动</w:t>
                  </w:r>
                </w:p>
              </w:tc>
              <w:tc>
                <w:tcPr>
                  <w:tcW w:w="2573" w:type="pct"/>
                  <w:tcBorders>
                    <w:tl2br w:val="nil"/>
                    <w:tr2bl w:val="nil"/>
                  </w:tcBorders>
                  <w:vAlign w:val="center"/>
                </w:tcPr>
                <w:p w14:paraId="6451CE06">
                  <w:pPr>
                    <w:widowControl/>
                    <w:adjustRightInd w:val="0"/>
                    <w:snapToGrid w:val="0"/>
                    <w:spacing w:line="240" w:lineRule="auto"/>
                    <w:ind w:firstLine="0" w:firstLineChars="0"/>
                    <w:jc w:val="center"/>
                    <w:rPr>
                      <w:b/>
                      <w:bCs/>
                      <w:color w:val="auto"/>
                      <w:kern w:val="0"/>
                      <w:sz w:val="21"/>
                      <w:szCs w:val="18"/>
                    </w:rPr>
                  </w:pPr>
                  <w:r>
                    <w:rPr>
                      <w:b/>
                      <w:bCs/>
                      <w:color w:val="auto"/>
                      <w:sz w:val="21"/>
                      <w:szCs w:val="18"/>
                    </w:rPr>
                    <w:t>生态影响因素</w:t>
                  </w:r>
                </w:p>
              </w:tc>
              <w:tc>
                <w:tcPr>
                  <w:tcW w:w="1006" w:type="pct"/>
                  <w:tcBorders>
                    <w:tl2br w:val="nil"/>
                    <w:tr2bl w:val="nil"/>
                  </w:tcBorders>
                  <w:vAlign w:val="center"/>
                </w:tcPr>
                <w:p w14:paraId="3159ADEC">
                  <w:pPr>
                    <w:widowControl/>
                    <w:adjustRightInd w:val="0"/>
                    <w:snapToGrid w:val="0"/>
                    <w:spacing w:line="240" w:lineRule="auto"/>
                    <w:ind w:firstLine="0" w:firstLineChars="0"/>
                    <w:jc w:val="center"/>
                    <w:rPr>
                      <w:b/>
                      <w:bCs/>
                      <w:color w:val="auto"/>
                      <w:kern w:val="0"/>
                      <w:sz w:val="21"/>
                      <w:szCs w:val="18"/>
                    </w:rPr>
                  </w:pPr>
                  <w:r>
                    <w:rPr>
                      <w:b/>
                      <w:bCs/>
                      <w:color w:val="auto"/>
                      <w:sz w:val="21"/>
                      <w:szCs w:val="18"/>
                    </w:rPr>
                    <w:t>影响因子</w:t>
                  </w:r>
                </w:p>
              </w:tc>
            </w:tr>
            <w:tr w14:paraId="4B4A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tcBorders>
                    <w:tl2br w:val="nil"/>
                    <w:tr2bl w:val="nil"/>
                  </w:tcBorders>
                  <w:vAlign w:val="center"/>
                </w:tcPr>
                <w:p w14:paraId="2965FAEC">
                  <w:pPr>
                    <w:widowControl/>
                    <w:adjustRightInd w:val="0"/>
                    <w:snapToGrid w:val="0"/>
                    <w:spacing w:line="240" w:lineRule="auto"/>
                    <w:ind w:firstLine="0" w:firstLineChars="0"/>
                    <w:jc w:val="center"/>
                    <w:rPr>
                      <w:b/>
                      <w:bCs/>
                      <w:color w:val="auto"/>
                      <w:kern w:val="0"/>
                      <w:sz w:val="21"/>
                      <w:szCs w:val="18"/>
                    </w:rPr>
                  </w:pPr>
                  <w:r>
                    <w:rPr>
                      <w:color w:val="auto"/>
                      <w:sz w:val="21"/>
                      <w:szCs w:val="18"/>
                    </w:rPr>
                    <w:t>土建及土石方工程</w:t>
                  </w:r>
                </w:p>
              </w:tc>
              <w:tc>
                <w:tcPr>
                  <w:tcW w:w="2573" w:type="pct"/>
                  <w:tcBorders>
                    <w:tl2br w:val="nil"/>
                    <w:tr2bl w:val="nil"/>
                  </w:tcBorders>
                  <w:vAlign w:val="center"/>
                </w:tcPr>
                <w:p w14:paraId="48580261">
                  <w:pPr>
                    <w:adjustRightInd w:val="0"/>
                    <w:snapToGrid w:val="0"/>
                    <w:spacing w:line="240" w:lineRule="auto"/>
                    <w:ind w:firstLine="0" w:firstLineChars="0"/>
                    <w:jc w:val="center"/>
                    <w:rPr>
                      <w:b/>
                      <w:bCs/>
                      <w:color w:val="auto"/>
                      <w:kern w:val="0"/>
                      <w:sz w:val="21"/>
                      <w:szCs w:val="18"/>
                    </w:rPr>
                  </w:pPr>
                  <w:r>
                    <w:rPr>
                      <w:color w:val="auto"/>
                      <w:sz w:val="21"/>
                      <w:szCs w:val="18"/>
                    </w:rPr>
                    <w:t>永久占用土地、改变土地利用现状功能；破坏地表植被</w:t>
                  </w:r>
                </w:p>
              </w:tc>
              <w:tc>
                <w:tcPr>
                  <w:tcW w:w="1006" w:type="pct"/>
                  <w:vMerge w:val="restart"/>
                  <w:tcBorders>
                    <w:tl2br w:val="nil"/>
                    <w:tr2bl w:val="nil"/>
                  </w:tcBorders>
                  <w:vAlign w:val="center"/>
                </w:tcPr>
                <w:p w14:paraId="73602A7D">
                  <w:pPr>
                    <w:widowControl/>
                    <w:adjustRightInd w:val="0"/>
                    <w:snapToGrid w:val="0"/>
                    <w:spacing w:line="240" w:lineRule="auto"/>
                    <w:ind w:firstLine="0" w:firstLineChars="0"/>
                    <w:jc w:val="center"/>
                    <w:rPr>
                      <w:b/>
                      <w:bCs/>
                      <w:color w:val="auto"/>
                      <w:sz w:val="21"/>
                      <w:szCs w:val="18"/>
                    </w:rPr>
                  </w:pPr>
                  <w:r>
                    <w:rPr>
                      <w:rFonts w:hint="eastAsia"/>
                      <w:color w:val="auto"/>
                      <w:sz w:val="21"/>
                      <w:szCs w:val="18"/>
                    </w:rPr>
                    <w:t>植被、植物、土地利用、动物、水土流失</w:t>
                  </w:r>
                </w:p>
              </w:tc>
            </w:tr>
            <w:tr w14:paraId="3D16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tcBorders>
                    <w:tl2br w:val="nil"/>
                    <w:tr2bl w:val="nil"/>
                  </w:tcBorders>
                  <w:vAlign w:val="center"/>
                </w:tcPr>
                <w:p w14:paraId="12EB3015">
                  <w:pPr>
                    <w:widowControl/>
                    <w:adjustRightInd w:val="0"/>
                    <w:snapToGrid w:val="0"/>
                    <w:spacing w:line="240" w:lineRule="auto"/>
                    <w:ind w:firstLine="0" w:firstLineChars="0"/>
                    <w:jc w:val="center"/>
                    <w:rPr>
                      <w:b/>
                      <w:bCs/>
                      <w:color w:val="auto"/>
                      <w:kern w:val="0"/>
                      <w:sz w:val="21"/>
                      <w:szCs w:val="18"/>
                    </w:rPr>
                  </w:pPr>
                  <w:r>
                    <w:rPr>
                      <w:color w:val="auto"/>
                      <w:sz w:val="21"/>
                      <w:szCs w:val="18"/>
                    </w:rPr>
                    <w:t>施工机械及施工车辆运输</w:t>
                  </w:r>
                </w:p>
              </w:tc>
              <w:tc>
                <w:tcPr>
                  <w:tcW w:w="2573" w:type="pct"/>
                  <w:tcBorders>
                    <w:tl2br w:val="nil"/>
                    <w:tr2bl w:val="nil"/>
                  </w:tcBorders>
                  <w:vAlign w:val="center"/>
                </w:tcPr>
                <w:p w14:paraId="63A06128">
                  <w:pPr>
                    <w:widowControl/>
                    <w:adjustRightInd w:val="0"/>
                    <w:snapToGrid w:val="0"/>
                    <w:spacing w:line="240" w:lineRule="auto"/>
                    <w:ind w:firstLine="0" w:firstLineChars="0"/>
                    <w:jc w:val="center"/>
                    <w:rPr>
                      <w:b/>
                      <w:bCs/>
                      <w:color w:val="auto"/>
                      <w:kern w:val="0"/>
                      <w:sz w:val="21"/>
                      <w:szCs w:val="18"/>
                    </w:rPr>
                  </w:pPr>
                  <w:r>
                    <w:rPr>
                      <w:color w:val="auto"/>
                      <w:sz w:val="21"/>
                      <w:szCs w:val="18"/>
                    </w:rPr>
                    <w:t>对周围动物活动及栖息地造成影响</w:t>
                  </w:r>
                </w:p>
              </w:tc>
              <w:tc>
                <w:tcPr>
                  <w:tcW w:w="1006" w:type="pct"/>
                  <w:vMerge w:val="continue"/>
                  <w:tcBorders>
                    <w:tl2br w:val="nil"/>
                    <w:tr2bl w:val="nil"/>
                  </w:tcBorders>
                  <w:vAlign w:val="center"/>
                </w:tcPr>
                <w:p w14:paraId="1ABC18F8">
                  <w:pPr>
                    <w:widowControl/>
                    <w:adjustRightInd w:val="0"/>
                    <w:snapToGrid w:val="0"/>
                    <w:spacing w:line="240" w:lineRule="auto"/>
                    <w:ind w:firstLine="0" w:firstLineChars="0"/>
                    <w:jc w:val="center"/>
                    <w:rPr>
                      <w:b/>
                      <w:bCs/>
                      <w:color w:val="auto"/>
                      <w:sz w:val="21"/>
                      <w:szCs w:val="18"/>
                    </w:rPr>
                  </w:pPr>
                </w:p>
              </w:tc>
            </w:tr>
            <w:tr w14:paraId="75EC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tcBorders>
                    <w:tl2br w:val="nil"/>
                    <w:tr2bl w:val="nil"/>
                  </w:tcBorders>
                  <w:vAlign w:val="center"/>
                </w:tcPr>
                <w:p w14:paraId="295D5238">
                  <w:pPr>
                    <w:widowControl/>
                    <w:adjustRightInd w:val="0"/>
                    <w:snapToGrid w:val="0"/>
                    <w:spacing w:line="240" w:lineRule="auto"/>
                    <w:ind w:firstLine="0" w:firstLineChars="0"/>
                    <w:jc w:val="center"/>
                    <w:rPr>
                      <w:b/>
                      <w:bCs/>
                      <w:color w:val="auto"/>
                      <w:kern w:val="0"/>
                      <w:sz w:val="21"/>
                      <w:szCs w:val="18"/>
                    </w:rPr>
                  </w:pPr>
                  <w:r>
                    <w:rPr>
                      <w:color w:val="auto"/>
                      <w:sz w:val="21"/>
                      <w:szCs w:val="18"/>
                    </w:rPr>
                    <w:t>施工临时占地</w:t>
                  </w:r>
                </w:p>
              </w:tc>
              <w:tc>
                <w:tcPr>
                  <w:tcW w:w="2573" w:type="pct"/>
                  <w:tcBorders>
                    <w:tl2br w:val="nil"/>
                    <w:tr2bl w:val="nil"/>
                  </w:tcBorders>
                  <w:vAlign w:val="center"/>
                </w:tcPr>
                <w:p w14:paraId="7C27E82F">
                  <w:pPr>
                    <w:adjustRightInd w:val="0"/>
                    <w:snapToGrid w:val="0"/>
                    <w:spacing w:line="240" w:lineRule="auto"/>
                    <w:ind w:firstLine="0" w:firstLineChars="0"/>
                    <w:jc w:val="center"/>
                    <w:rPr>
                      <w:b/>
                      <w:bCs/>
                      <w:color w:val="auto"/>
                      <w:kern w:val="0"/>
                      <w:sz w:val="21"/>
                      <w:szCs w:val="18"/>
                    </w:rPr>
                  </w:pPr>
                  <w:r>
                    <w:rPr>
                      <w:color w:val="auto"/>
                      <w:sz w:val="21"/>
                      <w:szCs w:val="18"/>
                    </w:rPr>
                    <w:t>临时占用土地，改变土地利用功能；破坏地表植被</w:t>
                  </w:r>
                </w:p>
              </w:tc>
              <w:tc>
                <w:tcPr>
                  <w:tcW w:w="1006" w:type="pct"/>
                  <w:vMerge w:val="continue"/>
                  <w:tcBorders>
                    <w:tl2br w:val="nil"/>
                    <w:tr2bl w:val="nil"/>
                  </w:tcBorders>
                  <w:vAlign w:val="center"/>
                </w:tcPr>
                <w:p w14:paraId="22035BF8">
                  <w:pPr>
                    <w:widowControl/>
                    <w:adjustRightInd w:val="0"/>
                    <w:snapToGrid w:val="0"/>
                    <w:spacing w:line="240" w:lineRule="auto"/>
                    <w:ind w:firstLine="0" w:firstLineChars="0"/>
                    <w:jc w:val="center"/>
                    <w:rPr>
                      <w:b/>
                      <w:bCs/>
                      <w:color w:val="auto"/>
                      <w:sz w:val="21"/>
                      <w:szCs w:val="18"/>
                    </w:rPr>
                  </w:pPr>
                </w:p>
              </w:tc>
            </w:tr>
          </w:tbl>
          <w:p w14:paraId="7BD035CE">
            <w:pPr>
              <w:ind w:firstLine="480"/>
              <w:rPr>
                <w:color w:val="auto"/>
                <w:szCs w:val="21"/>
              </w:rPr>
            </w:pPr>
            <w:r>
              <w:rPr>
                <w:color w:val="auto"/>
                <w:szCs w:val="21"/>
              </w:rPr>
              <w:t>（2）项目施工期污染影响因素</w:t>
            </w:r>
          </w:p>
          <w:p w14:paraId="7DAD158B">
            <w:pPr>
              <w:ind w:firstLine="480"/>
              <w:rPr>
                <w:color w:val="auto"/>
                <w:szCs w:val="21"/>
              </w:rPr>
            </w:pPr>
            <w:r>
              <w:rPr>
                <w:color w:val="auto"/>
                <w:szCs w:val="21"/>
              </w:rPr>
              <w:t>项目施工期污染影响因素见</w:t>
            </w:r>
            <w:r>
              <w:rPr>
                <w:rFonts w:hint="eastAsia"/>
                <w:color w:val="auto"/>
                <w:szCs w:val="21"/>
              </w:rPr>
              <w:t>下</w:t>
            </w:r>
            <w:r>
              <w:rPr>
                <w:color w:val="auto"/>
                <w:szCs w:val="21"/>
              </w:rPr>
              <w:t>表。</w:t>
            </w:r>
          </w:p>
          <w:p w14:paraId="7420837B">
            <w:pPr>
              <w:pStyle w:val="63"/>
              <w:ind w:firstLine="422"/>
              <w:rPr>
                <w:color w:val="auto"/>
                <w:szCs w:val="21"/>
              </w:rPr>
            </w:pPr>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4.2</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2</w:t>
            </w:r>
            <w:r>
              <w:rPr>
                <w:color w:val="auto"/>
                <w:szCs w:val="24"/>
              </w:rPr>
              <w:fldChar w:fldCharType="end"/>
            </w:r>
            <w:r>
              <w:rPr>
                <w:color w:val="auto"/>
                <w:szCs w:val="24"/>
              </w:rPr>
              <w:t xml:space="preserve">  </w:t>
            </w:r>
            <w:r>
              <w:rPr>
                <w:color w:val="auto"/>
                <w:szCs w:val="21"/>
              </w:rPr>
              <w:t>施工期污染影响因素一览表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2982"/>
              <w:gridCol w:w="2036"/>
              <w:gridCol w:w="1684"/>
            </w:tblGrid>
            <w:tr w14:paraId="3BEF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82" w:type="pct"/>
                  <w:vAlign w:val="center"/>
                </w:tcPr>
                <w:p w14:paraId="1E610DFB">
                  <w:pPr>
                    <w:pStyle w:val="65"/>
                    <w:rPr>
                      <w:b/>
                      <w:bCs/>
                      <w:color w:val="auto"/>
                      <w:szCs w:val="18"/>
                    </w:rPr>
                  </w:pPr>
                  <w:r>
                    <w:rPr>
                      <w:b/>
                      <w:bCs/>
                      <w:color w:val="auto"/>
                      <w:szCs w:val="18"/>
                    </w:rPr>
                    <w:t>类别</w:t>
                  </w:r>
                </w:p>
              </w:tc>
              <w:tc>
                <w:tcPr>
                  <w:tcW w:w="1921" w:type="pct"/>
                  <w:vAlign w:val="center"/>
                </w:tcPr>
                <w:p w14:paraId="0C62193F">
                  <w:pPr>
                    <w:pStyle w:val="65"/>
                    <w:rPr>
                      <w:b/>
                      <w:bCs/>
                      <w:color w:val="auto"/>
                      <w:szCs w:val="18"/>
                    </w:rPr>
                  </w:pPr>
                  <w:r>
                    <w:rPr>
                      <w:b/>
                      <w:bCs/>
                      <w:color w:val="auto"/>
                      <w:szCs w:val="18"/>
                    </w:rPr>
                    <w:t>污染源</w:t>
                  </w:r>
                </w:p>
              </w:tc>
              <w:tc>
                <w:tcPr>
                  <w:tcW w:w="1312" w:type="pct"/>
                  <w:vAlign w:val="center"/>
                </w:tcPr>
                <w:p w14:paraId="2A6F4F2B">
                  <w:pPr>
                    <w:pStyle w:val="65"/>
                    <w:rPr>
                      <w:b/>
                      <w:bCs/>
                      <w:color w:val="auto"/>
                      <w:szCs w:val="18"/>
                    </w:rPr>
                  </w:pPr>
                  <w:r>
                    <w:rPr>
                      <w:b/>
                      <w:bCs/>
                      <w:color w:val="auto"/>
                      <w:szCs w:val="18"/>
                    </w:rPr>
                    <w:t>污染物</w:t>
                  </w:r>
                </w:p>
              </w:tc>
              <w:tc>
                <w:tcPr>
                  <w:tcW w:w="1085" w:type="pct"/>
                  <w:vAlign w:val="center"/>
                </w:tcPr>
                <w:p w14:paraId="0B3CF0D4">
                  <w:pPr>
                    <w:pStyle w:val="65"/>
                    <w:rPr>
                      <w:b/>
                      <w:bCs/>
                      <w:color w:val="auto"/>
                      <w:szCs w:val="18"/>
                    </w:rPr>
                  </w:pPr>
                  <w:r>
                    <w:rPr>
                      <w:b/>
                      <w:bCs/>
                      <w:color w:val="auto"/>
                      <w:szCs w:val="18"/>
                    </w:rPr>
                    <w:t>产生特性</w:t>
                  </w:r>
                </w:p>
              </w:tc>
            </w:tr>
            <w:tr w14:paraId="6AA1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2" w:type="pct"/>
                  <w:vMerge w:val="restart"/>
                  <w:vAlign w:val="center"/>
                </w:tcPr>
                <w:p w14:paraId="72902D6B">
                  <w:pPr>
                    <w:pStyle w:val="65"/>
                    <w:rPr>
                      <w:color w:val="auto"/>
                      <w:szCs w:val="18"/>
                    </w:rPr>
                  </w:pPr>
                  <w:r>
                    <w:rPr>
                      <w:color w:val="auto"/>
                      <w:szCs w:val="18"/>
                    </w:rPr>
                    <w:t>废气</w:t>
                  </w:r>
                </w:p>
              </w:tc>
              <w:tc>
                <w:tcPr>
                  <w:tcW w:w="1921" w:type="pct"/>
                  <w:vAlign w:val="center"/>
                </w:tcPr>
                <w:p w14:paraId="202B5F01">
                  <w:pPr>
                    <w:pStyle w:val="65"/>
                    <w:rPr>
                      <w:color w:val="auto"/>
                      <w:szCs w:val="18"/>
                    </w:rPr>
                  </w:pPr>
                  <w:r>
                    <w:rPr>
                      <w:rFonts w:hint="eastAsia"/>
                      <w:color w:val="auto"/>
                      <w:szCs w:val="18"/>
                    </w:rPr>
                    <w:t>地表清理、场地平整、基础开挖、配套设施建设、物料装卸及运输、场地回填</w:t>
                  </w:r>
                </w:p>
              </w:tc>
              <w:tc>
                <w:tcPr>
                  <w:tcW w:w="1312" w:type="pct"/>
                  <w:vAlign w:val="center"/>
                </w:tcPr>
                <w:p w14:paraId="3AE86A07">
                  <w:pPr>
                    <w:pStyle w:val="65"/>
                    <w:rPr>
                      <w:color w:val="auto"/>
                      <w:szCs w:val="18"/>
                    </w:rPr>
                  </w:pPr>
                  <w:r>
                    <w:rPr>
                      <w:color w:val="auto"/>
                      <w:szCs w:val="18"/>
                    </w:rPr>
                    <w:t>扬尘（TSP）</w:t>
                  </w:r>
                </w:p>
              </w:tc>
              <w:tc>
                <w:tcPr>
                  <w:tcW w:w="1085" w:type="pct"/>
                  <w:vAlign w:val="center"/>
                </w:tcPr>
                <w:p w14:paraId="01385F05">
                  <w:pPr>
                    <w:pStyle w:val="65"/>
                    <w:rPr>
                      <w:color w:val="auto"/>
                      <w:szCs w:val="18"/>
                    </w:rPr>
                  </w:pPr>
                  <w:r>
                    <w:rPr>
                      <w:color w:val="auto"/>
                      <w:szCs w:val="18"/>
                    </w:rPr>
                    <w:t>间歇，无组织</w:t>
                  </w:r>
                </w:p>
              </w:tc>
            </w:tr>
            <w:tr w14:paraId="518B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2" w:type="pct"/>
                  <w:vMerge w:val="continue"/>
                  <w:vAlign w:val="center"/>
                </w:tcPr>
                <w:p w14:paraId="62EB277C">
                  <w:pPr>
                    <w:pStyle w:val="65"/>
                    <w:rPr>
                      <w:color w:val="auto"/>
                      <w:szCs w:val="18"/>
                    </w:rPr>
                  </w:pPr>
                </w:p>
              </w:tc>
              <w:tc>
                <w:tcPr>
                  <w:tcW w:w="1921" w:type="pct"/>
                  <w:vAlign w:val="center"/>
                </w:tcPr>
                <w:p w14:paraId="7256B7A1">
                  <w:pPr>
                    <w:pStyle w:val="65"/>
                    <w:rPr>
                      <w:color w:val="auto"/>
                      <w:szCs w:val="18"/>
                    </w:rPr>
                  </w:pPr>
                  <w:r>
                    <w:rPr>
                      <w:color w:val="auto"/>
                      <w:szCs w:val="18"/>
                    </w:rPr>
                    <w:t>施工机械</w:t>
                  </w:r>
                </w:p>
              </w:tc>
              <w:tc>
                <w:tcPr>
                  <w:tcW w:w="1312" w:type="pct"/>
                  <w:vAlign w:val="center"/>
                </w:tcPr>
                <w:p w14:paraId="03CF97CC">
                  <w:pPr>
                    <w:pStyle w:val="65"/>
                    <w:rPr>
                      <w:color w:val="auto"/>
                      <w:szCs w:val="18"/>
                    </w:rPr>
                  </w:pPr>
                  <w:r>
                    <w:rPr>
                      <w:color w:val="auto"/>
                      <w:szCs w:val="18"/>
                    </w:rPr>
                    <w:t>NOx、CO及CHx</w:t>
                  </w:r>
                </w:p>
              </w:tc>
              <w:tc>
                <w:tcPr>
                  <w:tcW w:w="1085" w:type="pct"/>
                  <w:vAlign w:val="center"/>
                </w:tcPr>
                <w:p w14:paraId="4DFF2DC6">
                  <w:pPr>
                    <w:pStyle w:val="65"/>
                    <w:rPr>
                      <w:color w:val="auto"/>
                      <w:szCs w:val="18"/>
                    </w:rPr>
                  </w:pPr>
                  <w:r>
                    <w:rPr>
                      <w:color w:val="auto"/>
                      <w:szCs w:val="18"/>
                    </w:rPr>
                    <w:t>间歇，无组织</w:t>
                  </w:r>
                </w:p>
              </w:tc>
            </w:tr>
            <w:tr w14:paraId="2869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2" w:type="pct"/>
                  <w:vMerge w:val="restart"/>
                  <w:vAlign w:val="center"/>
                </w:tcPr>
                <w:p w14:paraId="7C86AD67">
                  <w:pPr>
                    <w:pStyle w:val="65"/>
                    <w:rPr>
                      <w:color w:val="auto"/>
                      <w:szCs w:val="18"/>
                    </w:rPr>
                  </w:pPr>
                  <w:r>
                    <w:rPr>
                      <w:color w:val="auto"/>
                      <w:szCs w:val="18"/>
                    </w:rPr>
                    <w:t>废水</w:t>
                  </w:r>
                </w:p>
              </w:tc>
              <w:tc>
                <w:tcPr>
                  <w:tcW w:w="1921" w:type="pct"/>
                  <w:vAlign w:val="center"/>
                </w:tcPr>
                <w:p w14:paraId="55B73237">
                  <w:pPr>
                    <w:pStyle w:val="65"/>
                    <w:rPr>
                      <w:color w:val="auto"/>
                      <w:szCs w:val="18"/>
                    </w:rPr>
                  </w:pPr>
                  <w:r>
                    <w:rPr>
                      <w:color w:val="auto"/>
                      <w:szCs w:val="18"/>
                    </w:rPr>
                    <w:t>施工废水</w:t>
                  </w:r>
                </w:p>
              </w:tc>
              <w:tc>
                <w:tcPr>
                  <w:tcW w:w="1312" w:type="pct"/>
                  <w:vAlign w:val="center"/>
                </w:tcPr>
                <w:p w14:paraId="700E5419">
                  <w:pPr>
                    <w:pStyle w:val="65"/>
                    <w:rPr>
                      <w:color w:val="auto"/>
                      <w:szCs w:val="18"/>
                    </w:rPr>
                  </w:pPr>
                  <w:r>
                    <w:rPr>
                      <w:color w:val="auto"/>
                      <w:szCs w:val="18"/>
                    </w:rPr>
                    <w:t xml:space="preserve">SS </w:t>
                  </w:r>
                </w:p>
              </w:tc>
              <w:tc>
                <w:tcPr>
                  <w:tcW w:w="1085" w:type="pct"/>
                  <w:vAlign w:val="center"/>
                </w:tcPr>
                <w:p w14:paraId="70BD4767">
                  <w:pPr>
                    <w:pStyle w:val="65"/>
                    <w:rPr>
                      <w:color w:val="auto"/>
                      <w:szCs w:val="18"/>
                    </w:rPr>
                  </w:pPr>
                  <w:r>
                    <w:rPr>
                      <w:color w:val="auto"/>
                      <w:szCs w:val="18"/>
                    </w:rPr>
                    <w:t>间歇</w:t>
                  </w:r>
                </w:p>
              </w:tc>
            </w:tr>
            <w:tr w14:paraId="1EC9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2" w:type="pct"/>
                  <w:vMerge w:val="continue"/>
                  <w:vAlign w:val="center"/>
                </w:tcPr>
                <w:p w14:paraId="66B8C5FE">
                  <w:pPr>
                    <w:pStyle w:val="65"/>
                    <w:rPr>
                      <w:color w:val="auto"/>
                      <w:szCs w:val="18"/>
                    </w:rPr>
                  </w:pPr>
                </w:p>
              </w:tc>
              <w:tc>
                <w:tcPr>
                  <w:tcW w:w="1921" w:type="pct"/>
                  <w:vAlign w:val="center"/>
                </w:tcPr>
                <w:p w14:paraId="599082D4">
                  <w:pPr>
                    <w:pStyle w:val="65"/>
                    <w:rPr>
                      <w:color w:val="auto"/>
                      <w:szCs w:val="18"/>
                    </w:rPr>
                  </w:pPr>
                  <w:r>
                    <w:rPr>
                      <w:color w:val="auto"/>
                      <w:szCs w:val="18"/>
                    </w:rPr>
                    <w:t>生活污水</w:t>
                  </w:r>
                </w:p>
              </w:tc>
              <w:tc>
                <w:tcPr>
                  <w:tcW w:w="1312" w:type="pct"/>
                  <w:vAlign w:val="center"/>
                </w:tcPr>
                <w:p w14:paraId="17F7EBE4">
                  <w:pPr>
                    <w:pStyle w:val="65"/>
                    <w:rPr>
                      <w:color w:val="auto"/>
                      <w:szCs w:val="18"/>
                    </w:rPr>
                  </w:pPr>
                  <w:r>
                    <w:rPr>
                      <w:color w:val="auto"/>
                      <w:szCs w:val="18"/>
                    </w:rPr>
                    <w:t>COD、BOD</w:t>
                  </w:r>
                  <w:r>
                    <w:rPr>
                      <w:color w:val="auto"/>
                      <w:szCs w:val="18"/>
                      <w:vertAlign w:val="subscript"/>
                    </w:rPr>
                    <w:t>5</w:t>
                  </w:r>
                  <w:r>
                    <w:rPr>
                      <w:color w:val="auto"/>
                      <w:szCs w:val="18"/>
                    </w:rPr>
                    <w:t>、SS、NH</w:t>
                  </w:r>
                  <w:r>
                    <w:rPr>
                      <w:color w:val="auto"/>
                      <w:szCs w:val="18"/>
                      <w:vertAlign w:val="subscript"/>
                    </w:rPr>
                    <w:t>3</w:t>
                  </w:r>
                  <w:r>
                    <w:rPr>
                      <w:color w:val="auto"/>
                      <w:szCs w:val="18"/>
                    </w:rPr>
                    <w:t>-N等</w:t>
                  </w:r>
                </w:p>
              </w:tc>
              <w:tc>
                <w:tcPr>
                  <w:tcW w:w="1085" w:type="pct"/>
                  <w:vAlign w:val="center"/>
                </w:tcPr>
                <w:p w14:paraId="1D213A62">
                  <w:pPr>
                    <w:pStyle w:val="65"/>
                    <w:rPr>
                      <w:color w:val="auto"/>
                      <w:szCs w:val="18"/>
                    </w:rPr>
                  </w:pPr>
                  <w:r>
                    <w:rPr>
                      <w:color w:val="auto"/>
                      <w:szCs w:val="18"/>
                    </w:rPr>
                    <w:t>间歇</w:t>
                  </w:r>
                </w:p>
              </w:tc>
            </w:tr>
            <w:tr w14:paraId="473E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2" w:type="pct"/>
                  <w:vAlign w:val="center"/>
                </w:tcPr>
                <w:p w14:paraId="35A82362">
                  <w:pPr>
                    <w:pStyle w:val="65"/>
                    <w:rPr>
                      <w:color w:val="auto"/>
                      <w:szCs w:val="18"/>
                    </w:rPr>
                  </w:pPr>
                  <w:r>
                    <w:rPr>
                      <w:color w:val="auto"/>
                      <w:szCs w:val="18"/>
                    </w:rPr>
                    <w:t>噪声</w:t>
                  </w:r>
                </w:p>
              </w:tc>
              <w:tc>
                <w:tcPr>
                  <w:tcW w:w="1921" w:type="pct"/>
                  <w:vAlign w:val="center"/>
                </w:tcPr>
                <w:p w14:paraId="0E622638">
                  <w:pPr>
                    <w:pStyle w:val="65"/>
                    <w:rPr>
                      <w:color w:val="auto"/>
                      <w:szCs w:val="18"/>
                    </w:rPr>
                  </w:pPr>
                  <w:r>
                    <w:rPr>
                      <w:color w:val="auto"/>
                      <w:szCs w:val="18"/>
                    </w:rPr>
                    <w:t>施工机械及车辆</w:t>
                  </w:r>
                </w:p>
              </w:tc>
              <w:tc>
                <w:tcPr>
                  <w:tcW w:w="1312" w:type="pct"/>
                  <w:vAlign w:val="center"/>
                </w:tcPr>
                <w:p w14:paraId="6660EDFC">
                  <w:pPr>
                    <w:pStyle w:val="65"/>
                    <w:rPr>
                      <w:color w:val="auto"/>
                      <w:szCs w:val="18"/>
                    </w:rPr>
                  </w:pPr>
                  <w:r>
                    <w:rPr>
                      <w:color w:val="auto"/>
                      <w:szCs w:val="18"/>
                    </w:rPr>
                    <w:t>噪声</w:t>
                  </w:r>
                </w:p>
              </w:tc>
              <w:tc>
                <w:tcPr>
                  <w:tcW w:w="1085" w:type="pct"/>
                  <w:vAlign w:val="center"/>
                </w:tcPr>
                <w:p w14:paraId="2F96CCDE">
                  <w:pPr>
                    <w:pStyle w:val="65"/>
                    <w:rPr>
                      <w:color w:val="auto"/>
                      <w:szCs w:val="18"/>
                    </w:rPr>
                  </w:pPr>
                  <w:r>
                    <w:rPr>
                      <w:color w:val="auto"/>
                      <w:szCs w:val="18"/>
                    </w:rPr>
                    <w:t>间歇</w:t>
                  </w:r>
                </w:p>
              </w:tc>
            </w:tr>
            <w:tr w14:paraId="277B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2" w:type="pct"/>
                  <w:vMerge w:val="restart"/>
                  <w:vAlign w:val="center"/>
                </w:tcPr>
                <w:p w14:paraId="3531EECE">
                  <w:pPr>
                    <w:pStyle w:val="65"/>
                    <w:rPr>
                      <w:color w:val="auto"/>
                      <w:szCs w:val="18"/>
                    </w:rPr>
                  </w:pPr>
                  <w:r>
                    <w:rPr>
                      <w:color w:val="auto"/>
                      <w:szCs w:val="18"/>
                    </w:rPr>
                    <w:t>固废</w:t>
                  </w:r>
                </w:p>
              </w:tc>
              <w:tc>
                <w:tcPr>
                  <w:tcW w:w="1921" w:type="pct"/>
                  <w:vAlign w:val="center"/>
                </w:tcPr>
                <w:p w14:paraId="57A3205D">
                  <w:pPr>
                    <w:pStyle w:val="65"/>
                    <w:rPr>
                      <w:color w:val="auto"/>
                      <w:szCs w:val="18"/>
                    </w:rPr>
                  </w:pPr>
                  <w:r>
                    <w:rPr>
                      <w:rFonts w:hint="eastAsia"/>
                      <w:color w:val="auto"/>
                      <w:szCs w:val="18"/>
                    </w:rPr>
                    <w:t>道路施工</w:t>
                  </w:r>
                  <w:r>
                    <w:rPr>
                      <w:color w:val="auto"/>
                      <w:szCs w:val="18"/>
                    </w:rPr>
                    <w:t>及</w:t>
                  </w:r>
                  <w:r>
                    <w:rPr>
                      <w:rFonts w:hint="eastAsia"/>
                      <w:color w:val="auto"/>
                      <w:szCs w:val="18"/>
                    </w:rPr>
                    <w:t>基础</w:t>
                  </w:r>
                  <w:r>
                    <w:rPr>
                      <w:color w:val="auto"/>
                      <w:szCs w:val="18"/>
                    </w:rPr>
                    <w:t>开挖</w:t>
                  </w:r>
                </w:p>
              </w:tc>
              <w:tc>
                <w:tcPr>
                  <w:tcW w:w="1312" w:type="pct"/>
                  <w:vAlign w:val="center"/>
                </w:tcPr>
                <w:p w14:paraId="281D6D39">
                  <w:pPr>
                    <w:pStyle w:val="65"/>
                    <w:rPr>
                      <w:color w:val="auto"/>
                      <w:szCs w:val="18"/>
                    </w:rPr>
                  </w:pPr>
                  <w:r>
                    <w:rPr>
                      <w:color w:val="auto"/>
                      <w:szCs w:val="18"/>
                    </w:rPr>
                    <w:t>土石方</w:t>
                  </w:r>
                </w:p>
              </w:tc>
              <w:tc>
                <w:tcPr>
                  <w:tcW w:w="1085" w:type="pct"/>
                  <w:vAlign w:val="center"/>
                </w:tcPr>
                <w:p w14:paraId="0BF3EA98">
                  <w:pPr>
                    <w:pStyle w:val="65"/>
                    <w:rPr>
                      <w:color w:val="auto"/>
                      <w:szCs w:val="18"/>
                    </w:rPr>
                  </w:pPr>
                  <w:r>
                    <w:rPr>
                      <w:color w:val="auto"/>
                      <w:szCs w:val="18"/>
                    </w:rPr>
                    <w:t>间歇</w:t>
                  </w:r>
                </w:p>
              </w:tc>
            </w:tr>
            <w:tr w14:paraId="3AE8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2" w:type="pct"/>
                  <w:vMerge w:val="continue"/>
                  <w:vAlign w:val="center"/>
                </w:tcPr>
                <w:p w14:paraId="46745575">
                  <w:pPr>
                    <w:pStyle w:val="65"/>
                    <w:rPr>
                      <w:color w:val="auto"/>
                      <w:szCs w:val="18"/>
                    </w:rPr>
                  </w:pPr>
                </w:p>
              </w:tc>
              <w:tc>
                <w:tcPr>
                  <w:tcW w:w="1921" w:type="pct"/>
                  <w:vAlign w:val="center"/>
                </w:tcPr>
                <w:p w14:paraId="77FF4C08">
                  <w:pPr>
                    <w:pStyle w:val="65"/>
                    <w:rPr>
                      <w:color w:val="auto"/>
                      <w:szCs w:val="18"/>
                    </w:rPr>
                  </w:pPr>
                  <w:r>
                    <w:rPr>
                      <w:color w:val="auto"/>
                      <w:szCs w:val="18"/>
                    </w:rPr>
                    <w:t>土建</w:t>
                  </w:r>
                </w:p>
              </w:tc>
              <w:tc>
                <w:tcPr>
                  <w:tcW w:w="1312" w:type="pct"/>
                  <w:vAlign w:val="center"/>
                </w:tcPr>
                <w:p w14:paraId="1814C9A4">
                  <w:pPr>
                    <w:pStyle w:val="65"/>
                    <w:rPr>
                      <w:color w:val="auto"/>
                      <w:szCs w:val="18"/>
                    </w:rPr>
                  </w:pPr>
                  <w:r>
                    <w:rPr>
                      <w:color w:val="auto"/>
                      <w:szCs w:val="18"/>
                    </w:rPr>
                    <w:t>建筑垃圾</w:t>
                  </w:r>
                </w:p>
              </w:tc>
              <w:tc>
                <w:tcPr>
                  <w:tcW w:w="1085" w:type="pct"/>
                  <w:vAlign w:val="center"/>
                </w:tcPr>
                <w:p w14:paraId="7088606F">
                  <w:pPr>
                    <w:pStyle w:val="65"/>
                    <w:rPr>
                      <w:color w:val="auto"/>
                      <w:szCs w:val="18"/>
                    </w:rPr>
                  </w:pPr>
                  <w:r>
                    <w:rPr>
                      <w:color w:val="auto"/>
                      <w:szCs w:val="18"/>
                    </w:rPr>
                    <w:t>间歇</w:t>
                  </w:r>
                </w:p>
              </w:tc>
            </w:tr>
            <w:tr w14:paraId="67A9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2" w:type="pct"/>
                  <w:vMerge w:val="continue"/>
                  <w:vAlign w:val="center"/>
                </w:tcPr>
                <w:p w14:paraId="00411C48">
                  <w:pPr>
                    <w:pStyle w:val="65"/>
                    <w:rPr>
                      <w:color w:val="auto"/>
                      <w:szCs w:val="18"/>
                    </w:rPr>
                  </w:pPr>
                </w:p>
              </w:tc>
              <w:tc>
                <w:tcPr>
                  <w:tcW w:w="1921" w:type="pct"/>
                  <w:vAlign w:val="center"/>
                </w:tcPr>
                <w:p w14:paraId="5CE69EC4">
                  <w:pPr>
                    <w:pStyle w:val="65"/>
                    <w:rPr>
                      <w:color w:val="auto"/>
                      <w:szCs w:val="18"/>
                    </w:rPr>
                  </w:pPr>
                  <w:r>
                    <w:rPr>
                      <w:color w:val="auto"/>
                      <w:szCs w:val="18"/>
                    </w:rPr>
                    <w:t>施工人员</w:t>
                  </w:r>
                </w:p>
              </w:tc>
              <w:tc>
                <w:tcPr>
                  <w:tcW w:w="1312" w:type="pct"/>
                  <w:vAlign w:val="center"/>
                </w:tcPr>
                <w:p w14:paraId="1665B048">
                  <w:pPr>
                    <w:pStyle w:val="65"/>
                    <w:rPr>
                      <w:color w:val="auto"/>
                      <w:szCs w:val="18"/>
                    </w:rPr>
                  </w:pPr>
                  <w:r>
                    <w:rPr>
                      <w:color w:val="auto"/>
                      <w:szCs w:val="18"/>
                    </w:rPr>
                    <w:t>生活垃圾</w:t>
                  </w:r>
                </w:p>
              </w:tc>
              <w:tc>
                <w:tcPr>
                  <w:tcW w:w="1085" w:type="pct"/>
                  <w:vAlign w:val="center"/>
                </w:tcPr>
                <w:p w14:paraId="56286B4F">
                  <w:pPr>
                    <w:pStyle w:val="65"/>
                    <w:rPr>
                      <w:color w:val="auto"/>
                      <w:szCs w:val="18"/>
                    </w:rPr>
                  </w:pPr>
                  <w:r>
                    <w:rPr>
                      <w:color w:val="auto"/>
                      <w:szCs w:val="18"/>
                    </w:rPr>
                    <w:t>间歇</w:t>
                  </w:r>
                </w:p>
              </w:tc>
            </w:tr>
            <w:tr w14:paraId="02C6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2" w:type="pct"/>
                  <w:vMerge w:val="continue"/>
                  <w:vAlign w:val="center"/>
                </w:tcPr>
                <w:p w14:paraId="6FDA6875">
                  <w:pPr>
                    <w:pStyle w:val="65"/>
                    <w:rPr>
                      <w:color w:val="auto"/>
                      <w:szCs w:val="18"/>
                    </w:rPr>
                  </w:pPr>
                </w:p>
              </w:tc>
              <w:tc>
                <w:tcPr>
                  <w:tcW w:w="1921" w:type="pct"/>
                  <w:vAlign w:val="center"/>
                </w:tcPr>
                <w:p w14:paraId="28E6397B">
                  <w:pPr>
                    <w:pStyle w:val="65"/>
                    <w:rPr>
                      <w:color w:val="auto"/>
                      <w:szCs w:val="18"/>
                    </w:rPr>
                  </w:pPr>
                  <w:r>
                    <w:rPr>
                      <w:rFonts w:hint="eastAsia"/>
                      <w:color w:val="auto"/>
                      <w:szCs w:val="18"/>
                    </w:rPr>
                    <w:t>支架安装、光伏组件安装、设备安装</w:t>
                  </w:r>
                </w:p>
              </w:tc>
              <w:tc>
                <w:tcPr>
                  <w:tcW w:w="1312" w:type="pct"/>
                  <w:vAlign w:val="center"/>
                </w:tcPr>
                <w:p w14:paraId="2337E998">
                  <w:pPr>
                    <w:pStyle w:val="65"/>
                    <w:rPr>
                      <w:color w:val="auto"/>
                      <w:szCs w:val="18"/>
                    </w:rPr>
                  </w:pPr>
                  <w:r>
                    <w:rPr>
                      <w:rFonts w:hint="eastAsia"/>
                      <w:color w:val="auto"/>
                      <w:szCs w:val="18"/>
                    </w:rPr>
                    <w:t>废弃设备零件</w:t>
                  </w:r>
                </w:p>
              </w:tc>
              <w:tc>
                <w:tcPr>
                  <w:tcW w:w="1085" w:type="pct"/>
                  <w:vAlign w:val="center"/>
                </w:tcPr>
                <w:p w14:paraId="330931C1">
                  <w:pPr>
                    <w:pStyle w:val="65"/>
                    <w:rPr>
                      <w:color w:val="auto"/>
                      <w:szCs w:val="18"/>
                    </w:rPr>
                  </w:pPr>
                  <w:r>
                    <w:rPr>
                      <w:rFonts w:hint="eastAsia"/>
                      <w:color w:val="auto"/>
                      <w:szCs w:val="18"/>
                    </w:rPr>
                    <w:t>间歇</w:t>
                  </w:r>
                </w:p>
              </w:tc>
            </w:tr>
          </w:tbl>
          <w:p w14:paraId="147C8949">
            <w:pPr>
              <w:pStyle w:val="63"/>
              <w:ind w:firstLine="422"/>
              <w:rPr>
                <w:color w:val="auto"/>
                <w:szCs w:val="21"/>
              </w:rPr>
            </w:pPr>
          </w:p>
          <w:p w14:paraId="08AB6AF3">
            <w:pPr>
              <w:pStyle w:val="3"/>
              <w:spacing w:before="72" w:after="72"/>
              <w:rPr>
                <w:color w:val="auto"/>
              </w:rPr>
            </w:pPr>
            <w:r>
              <w:rPr>
                <w:color w:val="auto"/>
              </w:rPr>
              <w:t>施工期生态环境影响分析</w:t>
            </w:r>
          </w:p>
          <w:p w14:paraId="3332A3F3">
            <w:pPr>
              <w:pStyle w:val="4"/>
              <w:spacing w:before="48" w:after="48"/>
              <w:rPr>
                <w:color w:val="auto"/>
              </w:rPr>
            </w:pPr>
            <w:r>
              <w:rPr>
                <w:color w:val="auto"/>
              </w:rPr>
              <w:t>对土地利用的影响分析</w:t>
            </w:r>
          </w:p>
          <w:p w14:paraId="38C8798B">
            <w:pPr>
              <w:adjustRightInd w:val="0"/>
              <w:snapToGrid w:val="0"/>
              <w:ind w:firstLine="480"/>
              <w:rPr>
                <w:color w:val="auto"/>
                <w:szCs w:val="21"/>
                <w:highlight w:val="yellow"/>
              </w:rPr>
            </w:pPr>
            <w:r>
              <w:rPr>
                <w:rFonts w:hint="eastAsia"/>
                <w:color w:val="auto"/>
                <w:szCs w:val="21"/>
              </w:rPr>
              <w:t>本项目占地主要在光伏方阵区，</w:t>
            </w:r>
            <w:r>
              <w:rPr>
                <w:color w:val="auto"/>
                <w:szCs w:val="21"/>
              </w:rPr>
              <w:t>本项目工程占地总计117.06hm²。其中，永久占地0.28hm²（箱变及电缆分接箱基础0.06hm²，塔基0.22hm²</w:t>
            </w:r>
            <w:r>
              <w:rPr>
                <w:rFonts w:hint="eastAsia"/>
                <w:color w:val="auto"/>
                <w:szCs w:val="21"/>
              </w:rPr>
              <w:t>，场外道路改扩建部分0.22</w:t>
            </w:r>
            <w:r>
              <w:rPr>
                <w:color w:val="auto"/>
                <w:szCs w:val="21"/>
              </w:rPr>
              <w:t>hm²）；</w:t>
            </w:r>
            <w:r>
              <w:rPr>
                <w:rFonts w:hint="eastAsia"/>
                <w:color w:val="auto"/>
                <w:szCs w:val="21"/>
              </w:rPr>
              <w:t>临时占地</w:t>
            </w:r>
            <w:r>
              <w:rPr>
                <w:color w:val="auto"/>
                <w:szCs w:val="21"/>
              </w:rPr>
              <w:t>116.78hm²（</w:t>
            </w:r>
            <w:r>
              <w:rPr>
                <w:rFonts w:hint="eastAsia"/>
                <w:color w:val="auto"/>
                <w:szCs w:val="21"/>
              </w:rPr>
              <w:t>光伏场区109.01</w:t>
            </w:r>
            <w:r>
              <w:rPr>
                <w:color w:val="auto"/>
                <w:szCs w:val="21"/>
              </w:rPr>
              <w:t xml:space="preserve"> hm²</w:t>
            </w:r>
            <w:r>
              <w:rPr>
                <w:rFonts w:hint="eastAsia"/>
                <w:color w:val="auto"/>
                <w:szCs w:val="21"/>
              </w:rPr>
              <w:t>，支架基础及施工作业带0.5</w:t>
            </w:r>
            <w:r>
              <w:rPr>
                <w:color w:val="auto"/>
                <w:szCs w:val="21"/>
              </w:rPr>
              <w:t xml:space="preserve"> hm²</w:t>
            </w:r>
            <w:r>
              <w:rPr>
                <w:rFonts w:hint="eastAsia"/>
                <w:color w:val="auto"/>
                <w:szCs w:val="21"/>
              </w:rPr>
              <w:t>，围栏基础及施工作业带0.37</w:t>
            </w:r>
            <w:r>
              <w:rPr>
                <w:color w:val="auto"/>
                <w:szCs w:val="21"/>
              </w:rPr>
              <w:t xml:space="preserve"> hm²</w:t>
            </w:r>
            <w:r>
              <w:rPr>
                <w:rFonts w:hint="eastAsia"/>
                <w:color w:val="auto"/>
                <w:szCs w:val="21"/>
              </w:rPr>
              <w:t>，直埋线路0.86</w:t>
            </w:r>
            <w:r>
              <w:rPr>
                <w:color w:val="auto"/>
                <w:szCs w:val="21"/>
              </w:rPr>
              <w:t xml:space="preserve"> hm²</w:t>
            </w:r>
            <w:r>
              <w:rPr>
                <w:rFonts w:hint="eastAsia"/>
                <w:color w:val="auto"/>
                <w:szCs w:val="21"/>
              </w:rPr>
              <w:t>，场外道路改扩建部分3.33</w:t>
            </w:r>
            <w:r>
              <w:rPr>
                <w:color w:val="auto"/>
                <w:szCs w:val="21"/>
              </w:rPr>
              <w:t xml:space="preserve"> hm²</w:t>
            </w:r>
            <w:r>
              <w:rPr>
                <w:rFonts w:hint="eastAsia"/>
                <w:color w:val="auto"/>
                <w:szCs w:val="21"/>
              </w:rPr>
              <w:t>，场内道路改扩建部分0.62</w:t>
            </w:r>
            <w:r>
              <w:rPr>
                <w:color w:val="auto"/>
                <w:szCs w:val="21"/>
              </w:rPr>
              <w:t xml:space="preserve"> hm²</w:t>
            </w:r>
            <w:r>
              <w:rPr>
                <w:rFonts w:hint="eastAsia"/>
                <w:color w:val="auto"/>
                <w:szCs w:val="21"/>
              </w:rPr>
              <w:t>，新建道路2.01</w:t>
            </w:r>
            <w:r>
              <w:rPr>
                <w:color w:val="auto"/>
                <w:szCs w:val="21"/>
              </w:rPr>
              <w:t>hm²</w:t>
            </w:r>
            <w:r>
              <w:rPr>
                <w:rFonts w:hint="eastAsia"/>
                <w:color w:val="auto"/>
                <w:szCs w:val="21"/>
              </w:rPr>
              <w:t>）</w:t>
            </w:r>
            <w:r>
              <w:rPr>
                <w:color w:val="auto"/>
                <w:szCs w:val="21"/>
              </w:rPr>
              <w:t>。</w:t>
            </w:r>
            <w:r>
              <w:rPr>
                <w:rFonts w:hint="eastAsia"/>
                <w:color w:val="auto"/>
                <w:szCs w:val="21"/>
              </w:rPr>
              <w:t>工程不占用基本农田和生态保护红线。</w:t>
            </w:r>
          </w:p>
          <w:p w14:paraId="7DEBA248">
            <w:pPr>
              <w:widowControl/>
              <w:ind w:firstLine="480"/>
              <w:rPr>
                <w:color w:val="auto"/>
                <w:szCs w:val="21"/>
              </w:rPr>
            </w:pPr>
            <w:r>
              <w:rPr>
                <w:color w:val="auto"/>
                <w:szCs w:val="21"/>
              </w:rPr>
              <w:t>（1）</w:t>
            </w:r>
            <w:r>
              <w:rPr>
                <w:rFonts w:hint="eastAsia"/>
                <w:color w:val="auto"/>
                <w:szCs w:val="21"/>
              </w:rPr>
              <w:t>根据</w:t>
            </w:r>
            <w:r>
              <w:rPr>
                <w:color w:val="auto"/>
                <w:szCs w:val="21"/>
              </w:rPr>
              <w:fldChar w:fldCharType="begin"/>
            </w:r>
            <w:r>
              <w:rPr>
                <w:color w:val="auto"/>
                <w:szCs w:val="21"/>
              </w:rPr>
              <w:instrText xml:space="preserve"> </w:instrText>
            </w:r>
            <w:r>
              <w:rPr>
                <w:rFonts w:hint="eastAsia"/>
                <w:color w:val="auto"/>
                <w:szCs w:val="21"/>
              </w:rPr>
              <w:instrText xml:space="preserve">REF _Ref212495206 \h</w:instrText>
            </w:r>
            <w:r>
              <w:rPr>
                <w:color w:val="auto"/>
                <w:szCs w:val="21"/>
              </w:rPr>
              <w:instrText xml:space="preserve"> </w:instrText>
            </w:r>
            <w:r>
              <w:rPr>
                <w:color w:val="auto"/>
                <w:szCs w:val="21"/>
              </w:rPr>
              <w:fldChar w:fldCharType="separate"/>
            </w:r>
            <w:r>
              <w:rPr>
                <w:rFonts w:hint="eastAsia"/>
                <w:color w:val="auto"/>
              </w:rPr>
              <w:t>表</w:t>
            </w:r>
            <w:r>
              <w:rPr>
                <w:color w:val="auto"/>
              </w:rPr>
              <w:t xml:space="preserve"> 3.2</w:t>
            </w:r>
            <w:r>
              <w:rPr>
                <w:color w:val="auto"/>
              </w:rPr>
              <w:noBreakHyphen/>
            </w:r>
            <w:r>
              <w:rPr>
                <w:color w:val="auto"/>
              </w:rPr>
              <w:t>1</w:t>
            </w:r>
            <w:r>
              <w:rPr>
                <w:color w:val="auto"/>
                <w:szCs w:val="21"/>
              </w:rPr>
              <w:fldChar w:fldCharType="end"/>
            </w:r>
            <w:r>
              <w:rPr>
                <w:color w:val="auto"/>
                <w:szCs w:val="21"/>
              </w:rPr>
              <w:t>，项目</w:t>
            </w:r>
            <w:r>
              <w:rPr>
                <w:rFonts w:hint="eastAsia"/>
                <w:color w:val="auto"/>
                <w:szCs w:val="21"/>
              </w:rPr>
              <w:t>所在区域地类</w:t>
            </w:r>
            <w:r>
              <w:rPr>
                <w:color w:val="auto"/>
                <w:szCs w:val="21"/>
              </w:rPr>
              <w:t>以</w:t>
            </w:r>
            <w:r>
              <w:rPr>
                <w:rFonts w:hint="eastAsia"/>
                <w:color w:val="auto"/>
                <w:szCs w:val="21"/>
              </w:rPr>
              <w:t>乔木林地（</w:t>
            </w:r>
            <w:r>
              <w:rPr>
                <w:color w:val="auto"/>
                <w:szCs w:val="21"/>
              </w:rPr>
              <w:t>50.35</w:t>
            </w:r>
            <w:r>
              <w:rPr>
                <w:rFonts w:hint="eastAsia"/>
                <w:color w:val="auto"/>
                <w:szCs w:val="21"/>
              </w:rPr>
              <w:t>%）和园地（</w:t>
            </w:r>
            <w:r>
              <w:rPr>
                <w:color w:val="auto"/>
                <w:szCs w:val="21"/>
              </w:rPr>
              <w:t>43.64</w:t>
            </w:r>
            <w:r>
              <w:rPr>
                <w:rFonts w:hint="eastAsia"/>
                <w:color w:val="auto"/>
                <w:szCs w:val="21"/>
              </w:rPr>
              <w:t>%）</w:t>
            </w:r>
            <w:r>
              <w:rPr>
                <w:color w:val="auto"/>
                <w:szCs w:val="21"/>
              </w:rPr>
              <w:t>占绝对优势，其余地类面积都较小。根据现场调查，本项目规划用地中部分坡地、较分散和朝向不佳等区域不适合布设光伏发电板，可研设计光伏方阵时已避开此类区域，减轻对其生态影响。</w:t>
            </w:r>
            <w:r>
              <w:rPr>
                <w:rFonts w:hint="eastAsia"/>
                <w:color w:val="auto"/>
                <w:szCs w:val="21"/>
              </w:rPr>
              <w:t>本次项目永久占地主要是</w:t>
            </w:r>
            <w:r>
              <w:rPr>
                <w:color w:val="auto"/>
                <w:szCs w:val="21"/>
              </w:rPr>
              <w:t>支架基础占地、箱变及分支箱占地</w:t>
            </w:r>
            <w:r>
              <w:rPr>
                <w:rFonts w:hint="eastAsia"/>
                <w:color w:val="auto"/>
                <w:szCs w:val="21"/>
              </w:rPr>
              <w:t>，但占地面积较小，且实际占地仅限于其基础，主体方案对各工程征占地面积进行优化，控制减少了工程建设扰动、植被破坏面积，项目占地以园地（114.38</w:t>
            </w:r>
            <w:r>
              <w:rPr>
                <w:color w:val="auto"/>
                <w:szCs w:val="21"/>
              </w:rPr>
              <w:t xml:space="preserve"> hm²</w:t>
            </w:r>
            <w:r>
              <w:rPr>
                <w:rFonts w:hint="eastAsia"/>
                <w:color w:val="auto"/>
                <w:szCs w:val="21"/>
              </w:rPr>
              <w:t>）为主，占项目区园地面积（</w:t>
            </w:r>
            <w:r>
              <w:rPr>
                <w:color w:val="auto"/>
                <w:szCs w:val="21"/>
              </w:rPr>
              <w:t>382.71 hm²</w:t>
            </w:r>
            <w:r>
              <w:rPr>
                <w:rFonts w:hint="eastAsia"/>
                <w:color w:val="auto"/>
                <w:szCs w:val="21"/>
              </w:rPr>
              <w:t>）的29.8%，项目将采用“农光互补”模式，占用园地区域，在光伏组件下方种植茶树、果树等农作物，不改变园地用途，从整个评价区的总体情况来看，主要的构成地类没有大的改变。</w:t>
            </w:r>
          </w:p>
          <w:p w14:paraId="64B2E99A">
            <w:pPr>
              <w:widowControl/>
              <w:ind w:firstLine="480"/>
              <w:rPr>
                <w:color w:val="auto"/>
                <w:szCs w:val="21"/>
              </w:rPr>
            </w:pPr>
            <w:r>
              <w:rPr>
                <w:rFonts w:hint="eastAsia"/>
                <w:color w:val="auto"/>
                <w:szCs w:val="21"/>
              </w:rPr>
              <w:t>（2）</w:t>
            </w:r>
            <w:r>
              <w:rPr>
                <w:color w:val="auto"/>
                <w:szCs w:val="21"/>
              </w:rPr>
              <w:t>就占地面积看，</w:t>
            </w:r>
            <w:r>
              <w:rPr>
                <w:rFonts w:hint="eastAsia"/>
                <w:color w:val="auto"/>
                <w:szCs w:val="21"/>
              </w:rPr>
              <w:t>永久占地总面积为</w:t>
            </w:r>
            <w:r>
              <w:rPr>
                <w:color w:val="auto"/>
                <w:szCs w:val="21"/>
              </w:rPr>
              <w:t>0.</w:t>
            </w:r>
            <w:r>
              <w:rPr>
                <w:rFonts w:hint="eastAsia"/>
                <w:color w:val="auto"/>
                <w:szCs w:val="21"/>
              </w:rPr>
              <w:t>28hm²，占总面积的0.23%，临时占地总面积116.78hm²，占总面积的99.77%。</w:t>
            </w:r>
            <w:r>
              <w:rPr>
                <w:color w:val="auto"/>
                <w:szCs w:val="21"/>
              </w:rPr>
              <w:t>本项目虽占用一定数量的</w:t>
            </w:r>
            <w:r>
              <w:rPr>
                <w:rFonts w:hint="eastAsia"/>
                <w:color w:val="auto"/>
                <w:szCs w:val="21"/>
              </w:rPr>
              <w:t>园地</w:t>
            </w:r>
            <w:r>
              <w:rPr>
                <w:color w:val="auto"/>
                <w:szCs w:val="21"/>
              </w:rPr>
              <w:t>具有一定水土保持功能的土地，但占地比重最大的光伏发电区采用单立柱支架形式，光伏板采用较大离地高度，最大限度的保留了原地貌功能及用途；集电线路电缆采用直埋敷设、桥架敷设相结合方式，开挖电缆沟区域主要是在原有进场道路的路边挖巢填埋，且在地埋电缆后也将进行原地貌恢复治理，桥架段的桥架均选择道边边坡；场内道路等工程经项目建成后</w:t>
            </w:r>
            <w:r>
              <w:rPr>
                <w:rFonts w:hint="eastAsia"/>
                <w:color w:val="auto"/>
                <w:szCs w:val="21"/>
              </w:rPr>
              <w:t>进行植被恢复</w:t>
            </w:r>
            <w:r>
              <w:rPr>
                <w:color w:val="auto"/>
                <w:szCs w:val="21"/>
              </w:rPr>
              <w:t>。主体工程在设计中已考虑了占地最小、扰动地表最小的原则，尽量减少了对地表扰动带来的水土流失危害。其中光伏场址内施工以尽量不破坏原地貌属性为原则，除施工辅助设施区外，无额外临时占地，且施工临时用地集中布置，</w:t>
            </w:r>
            <w:r>
              <w:rPr>
                <w:rFonts w:hint="eastAsia"/>
                <w:color w:val="auto"/>
                <w:szCs w:val="21"/>
              </w:rPr>
              <w:t>因此</w:t>
            </w:r>
            <w:r>
              <w:rPr>
                <w:color w:val="auto"/>
                <w:szCs w:val="21"/>
              </w:rPr>
              <w:t>，</w:t>
            </w:r>
            <w:r>
              <w:rPr>
                <w:rFonts w:hint="eastAsia"/>
                <w:color w:val="auto"/>
                <w:szCs w:val="21"/>
              </w:rPr>
              <w:t>本项目永久占地对区域土地利用格局（面积）影响范围有限。</w:t>
            </w:r>
          </w:p>
          <w:p w14:paraId="5D183971">
            <w:pPr>
              <w:adjustRightInd w:val="0"/>
              <w:snapToGrid w:val="0"/>
              <w:ind w:firstLine="480"/>
              <w:rPr>
                <w:color w:val="auto"/>
                <w:szCs w:val="21"/>
              </w:rPr>
            </w:pPr>
            <w:r>
              <w:rPr>
                <w:color w:val="auto"/>
                <w:szCs w:val="21"/>
              </w:rPr>
              <w:t>（</w:t>
            </w:r>
            <w:r>
              <w:rPr>
                <w:rFonts w:hint="eastAsia"/>
                <w:color w:val="auto"/>
                <w:szCs w:val="21"/>
              </w:rPr>
              <w:t>3</w:t>
            </w:r>
            <w:r>
              <w:rPr>
                <w:color w:val="auto"/>
                <w:szCs w:val="21"/>
              </w:rPr>
              <w:t>）</w:t>
            </w:r>
            <w:r>
              <w:rPr>
                <w:rFonts w:hint="eastAsia"/>
                <w:color w:val="auto"/>
                <w:szCs w:val="21"/>
              </w:rPr>
              <w:t>就占地性质看，项目永久占地面积较小（0.28hm</w:t>
            </w:r>
            <w:r>
              <w:rPr>
                <w:rFonts w:hint="eastAsia"/>
                <w:color w:val="auto"/>
                <w:szCs w:val="21"/>
                <w:vertAlign w:val="superscript"/>
              </w:rPr>
              <w:t>2</w:t>
            </w:r>
            <w:r>
              <w:rPr>
                <w:rFonts w:hint="eastAsia"/>
                <w:color w:val="auto"/>
                <w:szCs w:val="21"/>
              </w:rPr>
              <w:t>），主要占用园地和交通运输用地，属于点位间隔式占地，并非大面积的开挖，局部占地面积相对较小，不会对区域的土地利用造成明显的影响。临时占地116.78hm</w:t>
            </w:r>
            <w:r>
              <w:rPr>
                <w:rFonts w:hint="eastAsia"/>
                <w:color w:val="auto"/>
                <w:szCs w:val="21"/>
                <w:vertAlign w:val="superscript"/>
              </w:rPr>
              <w:t>2</w:t>
            </w:r>
            <w:r>
              <w:rPr>
                <w:rFonts w:hint="eastAsia"/>
                <w:color w:val="auto"/>
                <w:szCs w:val="21"/>
              </w:rPr>
              <w:t>，光伏方阵临时用地最多为园地，其次为交通运输用地，项目采用“农光互补”模式，占用园地区域，在光伏组件下方种植茶树、果树等农作物，不改变园地用途。</w:t>
            </w:r>
          </w:p>
          <w:p w14:paraId="05607ABF">
            <w:pPr>
              <w:adjustRightInd w:val="0"/>
              <w:snapToGrid w:val="0"/>
              <w:ind w:firstLine="480"/>
              <w:rPr>
                <w:color w:val="auto"/>
                <w:szCs w:val="21"/>
              </w:rPr>
            </w:pPr>
            <w:r>
              <w:rPr>
                <w:color w:val="auto"/>
                <w:szCs w:val="21"/>
              </w:rPr>
              <w:t>综上所述，虽然工程建设过程中会破坏原有植被，扰动地表原有地貌，造成一定的水土流失，但整个工程已达到占地最优化、地表扰动最小化方案，随着工程完工，场址范围内形成的水土流失随之减少、危害随之降低。因此，主体工程占地</w:t>
            </w:r>
            <w:r>
              <w:rPr>
                <w:rFonts w:hint="eastAsia"/>
                <w:color w:val="auto"/>
                <w:szCs w:val="21"/>
              </w:rPr>
              <w:t>对土地利用产生的影响较小</w:t>
            </w:r>
            <w:r>
              <w:rPr>
                <w:color w:val="auto"/>
                <w:szCs w:val="21"/>
              </w:rPr>
              <w:t>。</w:t>
            </w:r>
          </w:p>
          <w:p w14:paraId="6151AAEE">
            <w:pPr>
              <w:pStyle w:val="4"/>
              <w:spacing w:before="48" w:after="48"/>
              <w:rPr>
                <w:color w:val="auto"/>
              </w:rPr>
            </w:pPr>
            <w:r>
              <w:rPr>
                <w:color w:val="auto"/>
              </w:rPr>
              <w:t>对植被及植物的影响分析</w:t>
            </w:r>
          </w:p>
          <w:p w14:paraId="5F26B058">
            <w:pPr>
              <w:ind w:firstLine="480"/>
              <w:rPr>
                <w:color w:val="auto"/>
              </w:rPr>
            </w:pPr>
            <w:r>
              <w:rPr>
                <w:rFonts w:hint="eastAsia"/>
                <w:color w:val="auto"/>
              </w:rPr>
              <w:t>（</w:t>
            </w:r>
            <w:r>
              <w:rPr>
                <w:color w:val="auto"/>
              </w:rPr>
              <w:t>1</w:t>
            </w:r>
            <w:r>
              <w:rPr>
                <w:rFonts w:hint="eastAsia"/>
                <w:color w:val="auto"/>
              </w:rPr>
              <w:t>）对植被及植物的影响</w:t>
            </w:r>
          </w:p>
          <w:p w14:paraId="6A47FA08">
            <w:pPr>
              <w:ind w:firstLine="480"/>
              <w:rPr>
                <w:color w:val="auto"/>
              </w:rPr>
            </w:pPr>
            <w:r>
              <w:rPr>
                <w:rFonts w:hint="eastAsia"/>
                <w:color w:val="auto"/>
              </w:rPr>
              <w:t>本项目永久用地占用的自然植被为人工植被（园地）和其他为非植被（交通运输用地），项目建设会使永久占地区的植被消失，由于永久占地面积占评价区的面积不大，项目建设不会使评价区内这类植被消失，对植物物种及分布格局影响不大。光伏阵列临时用地占用最多的植被类型为人工植被园地（</w:t>
            </w:r>
            <w:r>
              <w:rPr>
                <w:color w:val="auto"/>
              </w:rPr>
              <w:t>114.381hm</w:t>
            </w:r>
            <w:r>
              <w:rPr>
                <w:color w:val="auto"/>
                <w:vertAlign w:val="superscript"/>
              </w:rPr>
              <w:t>2</w:t>
            </w:r>
            <w:r>
              <w:rPr>
                <w:rFonts w:hint="eastAsia"/>
                <w:color w:val="auto"/>
              </w:rPr>
              <w:t>），其次为非植被区域交通运输用地（</w:t>
            </w:r>
            <w:r>
              <w:rPr>
                <w:color w:val="auto"/>
              </w:rPr>
              <w:t>2.65hm</w:t>
            </w:r>
            <w:r>
              <w:rPr>
                <w:color w:val="auto"/>
                <w:vertAlign w:val="superscript"/>
              </w:rPr>
              <w:t>2</w:t>
            </w:r>
            <w:r>
              <w:rPr>
                <w:rFonts w:hint="eastAsia"/>
                <w:color w:val="auto"/>
              </w:rPr>
              <w:t>），占地面积最大的园地为果园和茶园，园地为该区人为经营较为常见人工植被类型，该植被类型较为稳定。该植被类型在植物物种多样性等方面较森林植被低，工程建设对该植被类型的占用不会对当地植被总体造成很大影响。工程施工期间人员活动可能会对植被和植物造成一定的影响，但是项目区分布的植物群落和植物种类在南涧县的其他区域分布较广，因此这种影响不会导致植物群落和植被的消失；而且建设单位将通过人工措施恢复受到影响的植被，在及时采取恢复措施后，工程对植被的影响是可以接受的。</w:t>
            </w:r>
          </w:p>
          <w:p w14:paraId="664FEB7B">
            <w:pPr>
              <w:ind w:firstLine="480"/>
              <w:rPr>
                <w:color w:val="auto"/>
              </w:rPr>
            </w:pPr>
            <w:r>
              <w:rPr>
                <w:rFonts w:hint="eastAsia"/>
                <w:color w:val="auto"/>
              </w:rPr>
              <w:t>本项目光伏板区占地类型为园地，未占用乔木林地；场内施工道路主要占用园地，场外施工道路主要为改扩建道路，在已有的通道基础上进行，对道路外部植被基本不破坏。光伏阵列建设不会清除地表植被，对临时占用园地的区域，采用</w:t>
            </w:r>
            <w:r>
              <w:rPr>
                <w:color w:val="auto"/>
              </w:rPr>
              <w:t>“</w:t>
            </w:r>
            <w:r>
              <w:rPr>
                <w:rFonts w:hint="eastAsia"/>
                <w:color w:val="auto"/>
              </w:rPr>
              <w:t>农光互补</w:t>
            </w:r>
            <w:r>
              <w:rPr>
                <w:color w:val="auto"/>
              </w:rPr>
              <w:t>”</w:t>
            </w:r>
            <w:r>
              <w:rPr>
                <w:rFonts w:hint="eastAsia"/>
                <w:color w:val="auto"/>
              </w:rPr>
              <w:t>模式，在光伏组件下方种植茶树、果树等农作物；其他临时占地或施工扰动区域，采用草灌结合的方式，选用原生表土和乡土物种进行植被恢复。因此，项目施工期造成植被损失是暂时、局部的，不会使任何植被类型在评价区消失，对区域植被和植物影响不大。</w:t>
            </w:r>
          </w:p>
          <w:p w14:paraId="2309C113">
            <w:pPr>
              <w:ind w:firstLine="480"/>
              <w:rPr>
                <w:color w:val="auto"/>
              </w:rPr>
            </w:pPr>
            <w:r>
              <w:rPr>
                <w:rFonts w:hint="eastAsia"/>
                <w:color w:val="auto"/>
              </w:rPr>
              <w:t>（</w:t>
            </w:r>
            <w:r>
              <w:rPr>
                <w:color w:val="auto"/>
              </w:rPr>
              <w:t>2</w:t>
            </w:r>
            <w:r>
              <w:rPr>
                <w:rFonts w:hint="eastAsia"/>
                <w:color w:val="auto"/>
              </w:rPr>
              <w:t>）对评价区重点保护物种的影响</w:t>
            </w:r>
          </w:p>
          <w:p w14:paraId="4840C540">
            <w:pPr>
              <w:ind w:firstLine="480"/>
              <w:rPr>
                <w:color w:val="auto"/>
              </w:rPr>
            </w:pPr>
            <w:bookmarkStart w:id="904" w:name="_Toc27371"/>
            <w:bookmarkStart w:id="905" w:name="_Toc21846"/>
            <w:bookmarkStart w:id="906" w:name="_Toc15173"/>
            <w:r>
              <w:rPr>
                <w:rFonts w:hint="eastAsia"/>
                <w:color w:val="auto"/>
              </w:rPr>
              <w:t>根据云南省林业厅文件《关于印发云南省古树名木名录的通知》（云林保护字〔</w:t>
            </w:r>
            <w:r>
              <w:rPr>
                <w:color w:val="auto"/>
              </w:rPr>
              <w:t>1996</w:t>
            </w:r>
            <w:r>
              <w:rPr>
                <w:rFonts w:hint="eastAsia"/>
                <w:color w:val="auto"/>
              </w:rPr>
              <w:t>〕第</w:t>
            </w:r>
            <w:r>
              <w:rPr>
                <w:color w:val="auto"/>
              </w:rPr>
              <w:t>65</w:t>
            </w:r>
            <w:r>
              <w:rPr>
                <w:rFonts w:hint="eastAsia"/>
                <w:color w:val="auto"/>
              </w:rPr>
              <w:t>号）、全国绿化委员会、国家林业局文件（全绿字〔</w:t>
            </w:r>
            <w:r>
              <w:rPr>
                <w:color w:val="auto"/>
              </w:rPr>
              <w:t>2001</w:t>
            </w:r>
            <w:r>
              <w:rPr>
                <w:rFonts w:hint="eastAsia"/>
                <w:color w:val="auto"/>
              </w:rPr>
              <w:t>〕</w:t>
            </w:r>
            <w:r>
              <w:rPr>
                <w:color w:val="auto"/>
              </w:rPr>
              <w:t>15</w:t>
            </w:r>
            <w:r>
              <w:rPr>
                <w:rFonts w:hint="eastAsia"/>
                <w:color w:val="auto"/>
              </w:rPr>
              <w:t>号）、</w:t>
            </w:r>
            <w:r>
              <w:rPr>
                <w:color w:val="auto"/>
              </w:rPr>
              <w:t>2022</w:t>
            </w:r>
            <w:r>
              <w:rPr>
                <w:rFonts w:hint="eastAsia"/>
                <w:color w:val="auto"/>
              </w:rPr>
              <w:t>年</w:t>
            </w:r>
            <w:r>
              <w:rPr>
                <w:color w:val="auto"/>
              </w:rPr>
              <w:t>9</w:t>
            </w:r>
            <w:r>
              <w:rPr>
                <w:rFonts w:hint="eastAsia"/>
                <w:color w:val="auto"/>
              </w:rPr>
              <w:t>月，第二次（</w:t>
            </w:r>
            <w:r>
              <w:rPr>
                <w:color w:val="auto"/>
              </w:rPr>
              <w:t>2015-2021</w:t>
            </w:r>
            <w:r>
              <w:rPr>
                <w:rFonts w:hint="eastAsia"/>
                <w:color w:val="auto"/>
              </w:rPr>
              <w:t>年）古树名木资源普查结果、《古树名木鉴定规范》（</w:t>
            </w:r>
            <w:r>
              <w:rPr>
                <w:color w:val="auto"/>
              </w:rPr>
              <w:t>LY/T 2737-2016</w:t>
            </w:r>
            <w:r>
              <w:rPr>
                <w:rFonts w:hint="eastAsia"/>
                <w:color w:val="auto"/>
              </w:rPr>
              <w:t>）、古树名木普查技术规范（</w:t>
            </w:r>
            <w:r>
              <w:rPr>
                <w:color w:val="auto"/>
              </w:rPr>
              <w:t>LY/T 2738-2016</w:t>
            </w:r>
            <w:r>
              <w:rPr>
                <w:rFonts w:hint="eastAsia"/>
                <w:color w:val="auto"/>
              </w:rPr>
              <w:t>）和实地走访，在评价范围内未现国家级重点保护植物</w:t>
            </w:r>
            <w:r>
              <w:rPr>
                <w:rFonts w:hint="eastAsia"/>
                <w:iCs/>
                <w:color w:val="auto"/>
              </w:rPr>
              <w:t>，</w:t>
            </w:r>
            <w:r>
              <w:rPr>
                <w:rFonts w:hint="eastAsia"/>
                <w:color w:val="auto"/>
              </w:rPr>
              <w:t>工程建设对其影响较小。</w:t>
            </w:r>
            <w:bookmarkEnd w:id="904"/>
            <w:bookmarkEnd w:id="905"/>
            <w:bookmarkEnd w:id="906"/>
          </w:p>
          <w:p w14:paraId="77DC0FCC">
            <w:pPr>
              <w:ind w:firstLine="480"/>
              <w:rPr>
                <w:color w:val="auto"/>
              </w:rPr>
            </w:pPr>
            <w:r>
              <w:rPr>
                <w:rFonts w:hint="eastAsia"/>
                <w:color w:val="auto"/>
              </w:rPr>
              <w:t>（</w:t>
            </w:r>
            <w:r>
              <w:rPr>
                <w:color w:val="auto"/>
              </w:rPr>
              <w:t>3</w:t>
            </w:r>
            <w:r>
              <w:rPr>
                <w:rFonts w:hint="eastAsia"/>
                <w:color w:val="auto"/>
              </w:rPr>
              <w:t>）对评价区一般植物物种的影响</w:t>
            </w:r>
          </w:p>
          <w:p w14:paraId="5057065C">
            <w:pPr>
              <w:ind w:firstLine="480"/>
              <w:rPr>
                <w:color w:val="auto"/>
              </w:rPr>
            </w:pPr>
            <w:r>
              <w:rPr>
                <w:rFonts w:hint="eastAsia"/>
                <w:color w:val="auto"/>
              </w:rPr>
              <w:t>现场调查表明，工程评价区分布野生维管束植物种类多数是当地乃至云南省常见的种类，如：蕨类植物、裸子植物和被子植物，这些常见植物在评价区分布很广，虽然其中部分个体会随着工程建设而消失，对评价区的生物多样性产生一定的负面影响。但是，由于它们是一些广布种，甚至是阳性杂草，在评价区内外分布广泛，受工程影响的个体较少，没有一个物种种群结构好繁衍会因此受到显著的影响，更不会绝灭。因此，该工程建设对评价区的植物种类的影响不大。</w:t>
            </w:r>
          </w:p>
          <w:p w14:paraId="268A90D3">
            <w:pPr>
              <w:pStyle w:val="4"/>
              <w:spacing w:before="48" w:after="48"/>
              <w:rPr>
                <w:color w:val="auto"/>
              </w:rPr>
            </w:pPr>
            <w:r>
              <w:rPr>
                <w:color w:val="auto"/>
              </w:rPr>
              <w:t>对动物的影响分析</w:t>
            </w:r>
          </w:p>
          <w:p w14:paraId="38F5C001">
            <w:pPr>
              <w:ind w:firstLine="482"/>
              <w:rPr>
                <w:b/>
                <w:bCs/>
                <w:color w:val="auto"/>
                <w:szCs w:val="21"/>
              </w:rPr>
            </w:pPr>
            <w:r>
              <w:rPr>
                <w:b/>
                <w:bCs/>
                <w:color w:val="auto"/>
                <w:szCs w:val="21"/>
              </w:rPr>
              <w:t>（1）对一般动物的影响</w:t>
            </w:r>
          </w:p>
          <w:p w14:paraId="0ECE6E04">
            <w:pPr>
              <w:ind w:firstLine="480"/>
              <w:rPr>
                <w:color w:val="auto"/>
                <w:szCs w:val="21"/>
              </w:rPr>
            </w:pPr>
            <w:r>
              <w:rPr>
                <w:color w:val="auto"/>
                <w:szCs w:val="21"/>
              </w:rPr>
              <w:t>本项目建设对野生动物的影响主要是项目施工期带来的影响，包括项目占地带来的影响和施工活动带来的影响。在施工期，项目占地、临时道路和施工生产生活区等占用原有陆栖脊椎野生动物的栖息生境，使其栖息和活动场所缩小，如小型穴居哺乳类和爬行类的洞穴、鸟类巢区的生境将遭到破坏，少数动物的生活和繁殖活动将受到一定影响。结果迫使原栖息在该区域的动物迁往其他适宜的生境，动物种群数量在一段时间内将会有大的波动，但不会造成野生动物数量的明显减少，更不会造成野生动物物种的消失。本项目占用和破坏的植被类型较为简单，在这些生境中生活的野生动物的种类和数量都比较贫乏，现场调查时未发现当地分布的特有种类和保护种类，物种多样性不丰富，而且区域内分布的这些动物的活动性较强，为区域广泛分布物种，因此，本项目建设对区域野生动物的影响较小。</w:t>
            </w:r>
          </w:p>
          <w:p w14:paraId="205F428E">
            <w:pPr>
              <w:ind w:firstLine="482"/>
              <w:rPr>
                <w:b/>
                <w:bCs/>
                <w:color w:val="auto"/>
                <w:szCs w:val="21"/>
              </w:rPr>
            </w:pPr>
            <w:r>
              <w:rPr>
                <w:b/>
                <w:bCs/>
                <w:color w:val="auto"/>
                <w:szCs w:val="21"/>
              </w:rPr>
              <w:t>（2）对重要物种的影响</w:t>
            </w:r>
          </w:p>
          <w:p w14:paraId="018916C9">
            <w:pPr>
              <w:ind w:firstLine="480"/>
              <w:rPr>
                <w:color w:val="auto"/>
                <w:szCs w:val="21"/>
              </w:rPr>
            </w:pPr>
            <w:r>
              <w:rPr>
                <w:rFonts w:hint="eastAsia"/>
                <w:color w:val="auto"/>
                <w:szCs w:val="21"/>
              </w:rPr>
              <w:t>根据文献资料和实地调查结果，项目用地基本上不占据动物的栖息地，占用植被有限且非区域原生植被，大大降低了对该区哺乳动物的影响；受影响的主要是小型兽类，将移至附近受干扰小的区域，在施工区附近区域上述兽类栖息适宜度降低，种类和数量将相应减少，而伴随人类生活的一些啮齿目、食虫目动物，其种群数量会有所增加，与之相适应，主要以鼠类为食的黄鼬等种群数量将也会有所增加。工程建成后，随着植被的逐渐恢复，生态环境的好转，人为干扰减少，许多外迁的兽类会陆续回到原来的栖息地，因此该工程施工和运营对其栖息和繁衍所造成的不良影响很小，更不会导致物种种群数量下降或消失</w:t>
            </w:r>
            <w:r>
              <w:rPr>
                <w:color w:val="auto"/>
                <w:szCs w:val="21"/>
              </w:rPr>
              <w:t>。</w:t>
            </w:r>
          </w:p>
          <w:p w14:paraId="033BBE4B">
            <w:pPr>
              <w:pStyle w:val="4"/>
              <w:spacing w:before="48" w:after="48"/>
              <w:rPr>
                <w:color w:val="auto"/>
              </w:rPr>
            </w:pPr>
            <w:r>
              <w:rPr>
                <w:rFonts w:hint="eastAsia"/>
                <w:color w:val="auto"/>
              </w:rPr>
              <w:t>生态保护红线的</w:t>
            </w:r>
            <w:r>
              <w:rPr>
                <w:color w:val="auto"/>
              </w:rPr>
              <w:t>影响分析</w:t>
            </w:r>
          </w:p>
          <w:p w14:paraId="2456F04B">
            <w:pPr>
              <w:ind w:firstLine="480"/>
              <w:rPr>
                <w:color w:val="auto"/>
                <w:szCs w:val="21"/>
              </w:rPr>
            </w:pPr>
            <w:r>
              <w:rPr>
                <w:rFonts w:hint="eastAsia"/>
                <w:color w:val="auto"/>
                <w:szCs w:val="21"/>
              </w:rPr>
              <w:t>根据《</w:t>
            </w:r>
            <w:r>
              <w:rPr>
                <w:color w:val="auto"/>
                <w:szCs w:val="21"/>
                <w:highlight w:val="yellow"/>
              </w:rPr>
              <w:fldChar w:fldCharType="begin"/>
            </w:r>
            <w:r>
              <w:rPr>
                <w:color w:val="auto"/>
                <w:szCs w:val="21"/>
              </w:rPr>
              <w:instrText xml:space="preserve"> </w:instrText>
            </w:r>
            <w:r>
              <w:rPr>
                <w:rFonts w:hint="eastAsia"/>
                <w:color w:val="auto"/>
                <w:szCs w:val="21"/>
              </w:rPr>
              <w:instrText xml:space="preserve">REF _Ref218539235 \h</w:instrText>
            </w:r>
            <w:r>
              <w:rPr>
                <w:color w:val="auto"/>
                <w:szCs w:val="21"/>
              </w:rPr>
              <w:instrText xml:space="preserve"> </w:instrText>
            </w:r>
            <w:r>
              <w:rPr>
                <w:color w:val="auto"/>
                <w:szCs w:val="21"/>
                <w:highlight w:val="yellow"/>
              </w:rPr>
              <w:fldChar w:fldCharType="separate"/>
            </w:r>
            <w:r>
              <w:rPr>
                <w:rFonts w:hint="eastAsia"/>
                <w:color w:val="auto"/>
                <w:szCs w:val="28"/>
              </w:rPr>
              <w:t>南涧彝族自治县自然资源局关于沙乐光伏发电项目用地审查意见</w:t>
            </w:r>
            <w:r>
              <w:rPr>
                <w:color w:val="auto"/>
                <w:szCs w:val="21"/>
                <w:highlight w:val="yellow"/>
              </w:rPr>
              <w:fldChar w:fldCharType="end"/>
            </w:r>
            <w:r>
              <w:rPr>
                <w:rFonts w:hint="eastAsia"/>
                <w:color w:val="auto"/>
                <w:szCs w:val="21"/>
              </w:rPr>
              <w:t>》，项目用地范围不涉及占用生态保护红线。</w:t>
            </w:r>
          </w:p>
          <w:p w14:paraId="364D3B06">
            <w:pPr>
              <w:ind w:firstLine="480"/>
              <w:rPr>
                <w:color w:val="auto"/>
                <w:szCs w:val="21"/>
              </w:rPr>
            </w:pPr>
            <w:r>
              <w:rPr>
                <w:rFonts w:hint="eastAsia"/>
                <w:color w:val="auto"/>
                <w:szCs w:val="21"/>
              </w:rPr>
              <w:t>根据现场踏勘及结合资料分析发现，项目选址以生态保护红线为基准，采取避让措施（S21、S22光伏方阵</w:t>
            </w:r>
            <w:r>
              <w:rPr>
                <w:color w:val="auto"/>
                <w:szCs w:val="21"/>
              </w:rPr>
              <w:t>用地红线距离</w:t>
            </w:r>
            <w:r>
              <w:rPr>
                <w:rFonts w:hint="eastAsia"/>
                <w:color w:val="auto"/>
                <w:szCs w:val="21"/>
              </w:rPr>
              <w:t>哀牢山-无量山山地生物多样性维护与水土保持生态保护红线</w:t>
            </w:r>
            <w:r>
              <w:rPr>
                <w:color w:val="auto"/>
                <w:szCs w:val="21"/>
              </w:rPr>
              <w:t>最近距离约5m</w:t>
            </w:r>
            <w:r>
              <w:rPr>
                <w:rFonts w:hint="eastAsia"/>
                <w:color w:val="auto"/>
                <w:szCs w:val="21"/>
              </w:rPr>
              <w:t>），未发生任何形式的占用行为，对红线内的植被及生物量无直接影响，施工过程中应严格控制施工扰动范围，禁止施工扰动区域超出项目用地范围线，做好各项文明施工、做好植被恢复及水土保持设施等措施的前提下，工程建设不会造成生态保护红线内物种大幅度减少，不会对生态保护红线的主导功能（生物多样性维护）产生影响。</w:t>
            </w:r>
          </w:p>
          <w:p w14:paraId="4BDE1D7C">
            <w:pPr>
              <w:ind w:firstLine="480"/>
              <w:rPr>
                <w:color w:val="auto"/>
                <w:szCs w:val="21"/>
              </w:rPr>
            </w:pPr>
            <w:r>
              <w:rPr>
                <w:rFonts w:hint="eastAsia"/>
                <w:color w:val="auto"/>
                <w:szCs w:val="21"/>
              </w:rPr>
              <w:t>光伏方阵周边植被</w:t>
            </w:r>
            <w:r>
              <w:rPr>
                <w:color w:val="auto"/>
                <w:szCs w:val="21"/>
              </w:rPr>
              <w:t>主要优势种</w:t>
            </w:r>
            <w:r>
              <w:rPr>
                <w:rFonts w:hint="eastAsia"/>
                <w:color w:val="auto"/>
                <w:szCs w:val="21"/>
              </w:rPr>
              <w:t>为云南</w:t>
            </w:r>
            <w:r>
              <w:rPr>
                <w:color w:val="auto"/>
                <w:szCs w:val="21"/>
              </w:rPr>
              <w:t>松群落</w:t>
            </w:r>
            <w:r>
              <w:rPr>
                <w:rFonts w:hint="eastAsia"/>
                <w:color w:val="auto"/>
                <w:szCs w:val="21"/>
              </w:rPr>
              <w:t>，云南松均具有很强的次生性，多为原生植被遭受长期而反复的人为破坏后发育起来的；整体上群落组成以工程所在区域乃至云南常见或广泛分布种为主，在通过严格控制本项目施工范围情况下，不会对生态保护红线区域内的生态保护目标造成破坏。本次环评提出，</w:t>
            </w:r>
            <w:r>
              <w:rPr>
                <w:color w:val="auto"/>
                <w:szCs w:val="21"/>
              </w:rPr>
              <w:t>在生态保护红线附近施工时，先对施工场地进行围挡，并设置施工警示标牌，禁止越界施工，禁止进入生态保护红线范围。</w:t>
            </w:r>
          </w:p>
          <w:p w14:paraId="4E3189F4">
            <w:pPr>
              <w:ind w:firstLine="480"/>
              <w:rPr>
                <w:color w:val="auto"/>
                <w:szCs w:val="21"/>
              </w:rPr>
            </w:pPr>
            <w:r>
              <w:rPr>
                <w:rFonts w:hint="eastAsia"/>
                <w:color w:val="auto"/>
                <w:szCs w:val="21"/>
              </w:rPr>
              <w:t>综上所述，本项目建设对于生态保护红线的影响主要为间接影响，</w:t>
            </w:r>
            <w:r>
              <w:rPr>
                <w:color w:val="auto"/>
                <w:szCs w:val="21"/>
              </w:rPr>
              <w:t>不会对生态保护红线中的动植物及生态功能产生影响</w:t>
            </w:r>
            <w:r>
              <w:rPr>
                <w:rFonts w:hint="eastAsia"/>
                <w:color w:val="auto"/>
                <w:szCs w:val="21"/>
              </w:rPr>
              <w:t>。</w:t>
            </w:r>
          </w:p>
          <w:p w14:paraId="5D863699">
            <w:pPr>
              <w:pStyle w:val="4"/>
              <w:spacing w:before="48" w:after="48"/>
              <w:rPr>
                <w:color w:val="auto"/>
              </w:rPr>
            </w:pPr>
            <w:r>
              <w:rPr>
                <w:color w:val="auto"/>
              </w:rPr>
              <w:t>施工期对水土流失的影响分析</w:t>
            </w:r>
          </w:p>
          <w:p w14:paraId="00E96713">
            <w:pPr>
              <w:ind w:firstLine="480"/>
              <w:rPr>
                <w:color w:val="auto"/>
                <w:szCs w:val="21"/>
              </w:rPr>
            </w:pPr>
            <w:r>
              <w:rPr>
                <w:color w:val="auto"/>
                <w:szCs w:val="21"/>
              </w:rPr>
              <w:t>本</w:t>
            </w:r>
            <w:r>
              <w:rPr>
                <w:rFonts w:hint="eastAsia"/>
                <w:color w:val="auto"/>
                <w:szCs w:val="21"/>
              </w:rPr>
              <w:t>项目占地类型为园地和交通运输用地</w:t>
            </w:r>
            <w:r>
              <w:rPr>
                <w:color w:val="auto"/>
                <w:szCs w:val="21"/>
              </w:rPr>
              <w:t>，未侵占耕地等用地。在工程施工过程中将进行土石方填挖，包括光伏支架基础施工、箱式变基础施工、逆变器室施工等工程，不仅动用土石方，而且有施工机械及人员活动。工程对当地生态环境的影响主要表现为：土壤扰动后，可能增加土壤侵蚀及水土流失。</w:t>
            </w:r>
          </w:p>
          <w:p w14:paraId="1523EF10">
            <w:pPr>
              <w:ind w:firstLine="480"/>
              <w:rPr>
                <w:color w:val="auto"/>
                <w:szCs w:val="21"/>
              </w:rPr>
            </w:pPr>
            <w:r>
              <w:rPr>
                <w:color w:val="auto"/>
                <w:szCs w:val="21"/>
              </w:rPr>
              <w:t>根据</w:t>
            </w:r>
            <w:r>
              <w:rPr>
                <w:rFonts w:hint="eastAsia"/>
                <w:color w:val="auto"/>
                <w:szCs w:val="21"/>
              </w:rPr>
              <w:t>项目水保方案</w:t>
            </w:r>
            <w:r>
              <w:rPr>
                <w:color w:val="auto"/>
                <w:szCs w:val="21"/>
              </w:rPr>
              <w:t>，</w:t>
            </w:r>
            <w:r>
              <w:rPr>
                <w:color w:val="auto"/>
              </w:rPr>
              <w:t>本项目建设可能造成的土壤流失总量为</w:t>
            </w:r>
            <w:r>
              <w:rPr>
                <w:rFonts w:hint="eastAsia"/>
                <w:color w:val="auto"/>
              </w:rPr>
              <w:t>4144.34</w:t>
            </w:r>
            <w:r>
              <w:rPr>
                <w:color w:val="auto"/>
              </w:rPr>
              <w:t>t，原生土壤流失量为</w:t>
            </w:r>
            <w:r>
              <w:rPr>
                <w:rFonts w:hint="eastAsia"/>
                <w:color w:val="auto"/>
              </w:rPr>
              <w:t>1522.32</w:t>
            </w:r>
            <w:r>
              <w:rPr>
                <w:color w:val="auto"/>
              </w:rPr>
              <w:t>t，新增土壤流失量为</w:t>
            </w:r>
            <w:r>
              <w:rPr>
                <w:rFonts w:hint="eastAsia"/>
                <w:color w:val="auto"/>
              </w:rPr>
              <w:t>2622.02</w:t>
            </w:r>
            <w:r>
              <w:rPr>
                <w:color w:val="auto"/>
              </w:rPr>
              <w:t>t。本项目水土流失主要集中在支架基础和场内道路区，主要表现为建设期产生的新增水土流失，若不能及时治理，将对周边园地、林地及道路等造成影响，因此支架基础和场内道路为本项目的水土流失重点防治区域，也是水土流失重点监测区域。</w:t>
            </w:r>
          </w:p>
          <w:p w14:paraId="1E970445">
            <w:pPr>
              <w:ind w:firstLine="480"/>
              <w:rPr>
                <w:color w:val="auto"/>
                <w:szCs w:val="21"/>
              </w:rPr>
            </w:pPr>
            <w:r>
              <w:rPr>
                <w:color w:val="auto"/>
                <w:szCs w:val="21"/>
              </w:rPr>
              <w:t>工程产生水土流失的重点部位为</w:t>
            </w:r>
            <w:r>
              <w:rPr>
                <w:rFonts w:hint="eastAsia"/>
                <w:color w:val="auto"/>
                <w:szCs w:val="21"/>
              </w:rPr>
              <w:t>支架基础和场内道路</w:t>
            </w:r>
            <w:r>
              <w:rPr>
                <w:color w:val="auto"/>
                <w:szCs w:val="21"/>
              </w:rPr>
              <w:t>，重点时段为施工期。</w:t>
            </w:r>
          </w:p>
          <w:p w14:paraId="228B86AD">
            <w:pPr>
              <w:ind w:firstLine="482"/>
              <w:rPr>
                <w:b/>
                <w:color w:val="auto"/>
                <w:szCs w:val="21"/>
              </w:rPr>
            </w:pPr>
            <w:r>
              <w:rPr>
                <w:b/>
                <w:color w:val="auto"/>
                <w:szCs w:val="21"/>
              </w:rPr>
              <w:t>针对水土流失本项目采取的措施：</w:t>
            </w:r>
          </w:p>
          <w:p w14:paraId="5DBA4E22">
            <w:pPr>
              <w:ind w:firstLine="480"/>
              <w:rPr>
                <w:rFonts w:cs="Times New Roman"/>
                <w:bCs/>
                <w:color w:val="auto"/>
                <w:szCs w:val="21"/>
              </w:rPr>
            </w:pPr>
            <w:r>
              <w:rPr>
                <w:rFonts w:cs="Times New Roman"/>
                <w:bCs/>
                <w:color w:val="auto"/>
                <w:szCs w:val="21"/>
              </w:rPr>
              <w:t>（1）</w:t>
            </w:r>
            <w:r>
              <w:rPr>
                <w:rFonts w:cs="Times New Roman"/>
                <w:bCs/>
                <w:color w:val="auto"/>
                <w:szCs w:val="21"/>
                <w:lang w:val="zh-CN"/>
              </w:rPr>
              <w:t>工程措施：</w:t>
            </w:r>
            <w:r>
              <w:rPr>
                <w:rFonts w:hint="eastAsia" w:cs="Times New Roman"/>
                <w:bCs/>
                <w:color w:val="auto"/>
                <w:szCs w:val="21"/>
              </w:rPr>
              <w:t>在道路工程区设置C20混凝土排水边沟2267m³；φ1000圆管涵228m，9口9m</w:t>
            </w:r>
            <w:r>
              <w:rPr>
                <w:rFonts w:hint="eastAsia" w:cs="Times New Roman"/>
                <w:bCs/>
                <w:color w:val="auto"/>
                <w:szCs w:val="21"/>
                <w:vertAlign w:val="superscript"/>
              </w:rPr>
              <w:t>3</w:t>
            </w:r>
            <w:r>
              <w:rPr>
                <w:rFonts w:hint="eastAsia" w:cs="Times New Roman"/>
                <w:bCs/>
                <w:color w:val="auto"/>
                <w:szCs w:val="21"/>
              </w:rPr>
              <w:t>沉砂池；光伏方阵区设置截水沟1500.48m，5口9m</w:t>
            </w:r>
            <w:r>
              <w:rPr>
                <w:rFonts w:hint="eastAsia" w:cs="Times New Roman"/>
                <w:bCs/>
                <w:color w:val="auto"/>
                <w:szCs w:val="21"/>
                <w:vertAlign w:val="superscript"/>
              </w:rPr>
              <w:t>3</w:t>
            </w:r>
            <w:r>
              <w:rPr>
                <w:rFonts w:hint="eastAsia" w:cs="Times New Roman"/>
                <w:bCs/>
                <w:color w:val="auto"/>
                <w:szCs w:val="21"/>
              </w:rPr>
              <w:t>沉砂池，施工场地设置4个5m</w:t>
            </w:r>
            <w:r>
              <w:rPr>
                <w:rFonts w:hint="eastAsia" w:cs="Times New Roman"/>
                <w:bCs/>
                <w:color w:val="auto"/>
                <w:szCs w:val="21"/>
                <w:vertAlign w:val="superscript"/>
              </w:rPr>
              <w:t>3</w:t>
            </w:r>
            <w:r>
              <w:rPr>
                <w:rFonts w:hint="eastAsia" w:cs="Times New Roman"/>
                <w:bCs/>
                <w:color w:val="auto"/>
                <w:szCs w:val="21"/>
              </w:rPr>
              <w:t>的临时沉淀池</w:t>
            </w:r>
            <w:r>
              <w:rPr>
                <w:rFonts w:cs="Times New Roman"/>
                <w:bCs/>
                <w:color w:val="auto"/>
                <w:szCs w:val="21"/>
              </w:rPr>
              <w:t>。</w:t>
            </w:r>
          </w:p>
          <w:p w14:paraId="4F546826">
            <w:pPr>
              <w:ind w:firstLine="480"/>
              <w:rPr>
                <w:rFonts w:cs="Times New Roman"/>
                <w:bCs/>
                <w:color w:val="auto"/>
                <w:szCs w:val="21"/>
              </w:rPr>
            </w:pPr>
            <w:r>
              <w:rPr>
                <w:rFonts w:cs="Times New Roman"/>
                <w:bCs/>
                <w:color w:val="auto"/>
                <w:szCs w:val="21"/>
              </w:rPr>
              <w:t>（2）</w:t>
            </w:r>
            <w:r>
              <w:rPr>
                <w:rFonts w:cs="Times New Roman"/>
                <w:bCs/>
                <w:color w:val="auto"/>
                <w:szCs w:val="21"/>
                <w:lang w:val="zh-CN"/>
              </w:rPr>
              <w:t>植物措施</w:t>
            </w:r>
            <w:r>
              <w:rPr>
                <w:rFonts w:cs="Times New Roman"/>
                <w:bCs/>
                <w:color w:val="auto"/>
                <w:szCs w:val="21"/>
              </w:rPr>
              <w:t>：</w:t>
            </w:r>
            <w:bookmarkStart w:id="907" w:name="OLE_LINK36"/>
            <w:r>
              <w:rPr>
                <w:rFonts w:cs="Times New Roman"/>
                <w:bCs/>
                <w:color w:val="auto"/>
                <w:szCs w:val="21"/>
              </w:rPr>
              <w:t>绿化措施：4.84hm²。狗牙根草籽：582.1kg，爬藤：36100株，有机肥：902.5kg，保水剂：541.5kg，复合肥：722kg。</w:t>
            </w:r>
            <w:bookmarkEnd w:id="907"/>
          </w:p>
          <w:p w14:paraId="742C4A46">
            <w:pPr>
              <w:ind w:firstLine="480"/>
              <w:rPr>
                <w:rFonts w:cs="Times New Roman"/>
                <w:color w:val="auto"/>
              </w:rPr>
            </w:pPr>
            <w:r>
              <w:rPr>
                <w:rFonts w:cs="Times New Roman"/>
                <w:color w:val="auto"/>
              </w:rPr>
              <w:t>（3）临时措施：直埋线路：无纺布覆盖：2828㎡；架空线路：临时拦挡：350m，编织袋填、拆土方：113.75m³，无纺布覆盖：231㎡；道路工程区：新建道路：编织袋填土及拆除：121m³，无纺布覆盖：11865㎡。改扩建道路：编织袋填土及拆除：495m³，无纺布覆盖：26040㎡。</w:t>
            </w:r>
          </w:p>
          <w:p w14:paraId="622A62C7">
            <w:pPr>
              <w:pStyle w:val="4"/>
              <w:spacing w:before="48" w:after="48"/>
              <w:rPr>
                <w:color w:val="auto"/>
              </w:rPr>
            </w:pPr>
            <w:r>
              <w:rPr>
                <w:color w:val="auto"/>
              </w:rPr>
              <w:t>施工期对</w:t>
            </w:r>
            <w:r>
              <w:rPr>
                <w:rFonts w:hint="eastAsia"/>
                <w:color w:val="auto"/>
              </w:rPr>
              <w:t>景观</w:t>
            </w:r>
            <w:r>
              <w:rPr>
                <w:color w:val="auto"/>
              </w:rPr>
              <w:t>的影响分析</w:t>
            </w:r>
          </w:p>
          <w:p w14:paraId="0F1C562C">
            <w:pPr>
              <w:ind w:firstLine="480"/>
              <w:rPr>
                <w:color w:val="auto"/>
                <w:szCs w:val="21"/>
              </w:rPr>
            </w:pPr>
            <w:r>
              <w:rPr>
                <w:rFonts w:hint="eastAsia"/>
                <w:color w:val="auto"/>
                <w:szCs w:val="21"/>
              </w:rPr>
              <w:t>根据《</w:t>
            </w:r>
            <w:r>
              <w:rPr>
                <w:color w:val="auto"/>
                <w:szCs w:val="21"/>
              </w:rPr>
              <w:fldChar w:fldCharType="begin"/>
            </w:r>
            <w:r>
              <w:rPr>
                <w:color w:val="auto"/>
                <w:szCs w:val="21"/>
              </w:rPr>
              <w:instrText xml:space="preserve"> </w:instrText>
            </w:r>
            <w:r>
              <w:rPr>
                <w:rFonts w:hint="eastAsia"/>
                <w:color w:val="auto"/>
                <w:szCs w:val="21"/>
              </w:rPr>
              <w:instrText xml:space="preserve">REF _Ref218625276 \h</w:instrText>
            </w:r>
            <w:r>
              <w:rPr>
                <w:color w:val="auto"/>
                <w:szCs w:val="21"/>
              </w:rPr>
              <w:instrText xml:space="preserve"> </w:instrText>
            </w:r>
            <w:r>
              <w:rPr>
                <w:color w:val="auto"/>
                <w:szCs w:val="21"/>
              </w:rPr>
              <w:fldChar w:fldCharType="separate"/>
            </w:r>
            <w:r>
              <w:rPr>
                <w:rFonts w:hint="eastAsia"/>
                <w:color w:val="auto"/>
              </w:rPr>
              <w:t>南涧彝族自治县林业和草原局关于沙乐光伏发电项目选址意见</w:t>
            </w:r>
            <w:r>
              <w:rPr>
                <w:color w:val="auto"/>
                <w:szCs w:val="21"/>
              </w:rPr>
              <w:fldChar w:fldCharType="end"/>
            </w:r>
            <w:r>
              <w:rPr>
                <w:rFonts w:hint="eastAsia"/>
                <w:color w:val="auto"/>
                <w:szCs w:val="21"/>
              </w:rPr>
              <w:t>》：“该项目建设不涉及占用湿地、各级自然保护区及其他类型自然保护地，世界自然遗产地，野生动物重要栖息地，珍稀濒危和极小种群野生植物重要原生境和天然林保护重点区域。”。本次项目不涉及风景名胜区，不会造成风景名胜区区域内生态分割，不会对风景名胜区内生物多样性维护产生影响。</w:t>
            </w:r>
          </w:p>
          <w:p w14:paraId="4D227C59">
            <w:pPr>
              <w:ind w:firstLine="480"/>
              <w:rPr>
                <w:color w:val="auto"/>
                <w:szCs w:val="21"/>
              </w:rPr>
            </w:pPr>
            <w:r>
              <w:rPr>
                <w:rFonts w:hint="eastAsia"/>
                <w:color w:val="auto"/>
                <w:szCs w:val="21"/>
              </w:rPr>
              <w:t>工程施工期间的挖方、堆场等工程会对周边景观产生一定影响，但项目施工期较短，且光伏场址远离城市及城镇的面山区域，并且项目距离周边景区有一定的距离，对景观的影响较小。</w:t>
            </w:r>
          </w:p>
          <w:p w14:paraId="3F093C2C">
            <w:pPr>
              <w:ind w:firstLine="480"/>
              <w:rPr>
                <w:color w:val="auto"/>
                <w:szCs w:val="21"/>
              </w:rPr>
            </w:pPr>
            <w:r>
              <w:rPr>
                <w:rFonts w:hint="eastAsia"/>
                <w:color w:val="auto"/>
                <w:szCs w:val="21"/>
              </w:rPr>
              <w:t>本项目所在区域的景观类型主体是</w:t>
            </w:r>
            <w:r>
              <w:rPr>
                <w:color w:val="auto"/>
                <w:szCs w:val="21"/>
              </w:rPr>
              <w:t>人工林/经济果林景观、</w:t>
            </w:r>
            <w:r>
              <w:rPr>
                <w:rFonts w:hint="eastAsia"/>
                <w:color w:val="auto"/>
                <w:szCs w:val="21"/>
              </w:rPr>
              <w:t>暖温性灌丛</w:t>
            </w:r>
            <w:r>
              <w:rPr>
                <w:color w:val="auto"/>
                <w:szCs w:val="21"/>
              </w:rPr>
              <w:t>和</w:t>
            </w:r>
            <w:r>
              <w:rPr>
                <w:rFonts w:hint="eastAsia"/>
                <w:color w:val="auto"/>
                <w:szCs w:val="21"/>
              </w:rPr>
              <w:t>暖热性针叶林</w:t>
            </w:r>
            <w:r>
              <w:rPr>
                <w:color w:val="auto"/>
                <w:szCs w:val="21"/>
              </w:rPr>
              <w:t>景观</w:t>
            </w:r>
            <w:r>
              <w:rPr>
                <w:rFonts w:hint="eastAsia"/>
                <w:color w:val="auto"/>
                <w:szCs w:val="21"/>
              </w:rPr>
              <w:t>等构成了山地自然景观。评价范围内景观结构以林地景观为主体，景观类型较单一。可能受到拟建项目影响的景观/生态系统类型为林地景观（暖温性针叶林景观、暖温性石灰岩灌丛景观、暖温性稀树灌木草丛景观、人工林/园地景观、农田景观、河流水域景观、建设用地景观），也是评价区的地带性植被类型。由于评价区长期受人为活动干扰，大部分为次生植被，群落结构较简单。该景观在当地较普遍，从全球分布范围来看，非本区和中国特有，不属于特有景观类型。且项目建设直接占用评价区景观面积小，项目建设对评价区内自然景观美学价值和景观类型的连续性产生的影响较小；对自然植被覆盖率局部造成直接影响，但不会导致某种天然生物群落在评价区或保护区内消失，对生物群落结构和关键种类的影响轻微。因此，工程建设对评价区景观生态体系的影响较小。</w:t>
            </w:r>
          </w:p>
          <w:p w14:paraId="605635A8">
            <w:pPr>
              <w:ind w:firstLine="482"/>
              <w:rPr>
                <w:rFonts w:hint="eastAsia" w:ascii="宋体" w:hAnsi="宋体"/>
                <w:color w:val="auto"/>
                <w:szCs w:val="21"/>
              </w:rPr>
            </w:pPr>
            <w:r>
              <w:rPr>
                <w:b/>
                <w:color w:val="auto"/>
                <w:szCs w:val="21"/>
              </w:rPr>
              <w:t>针对</w:t>
            </w:r>
            <w:r>
              <w:rPr>
                <w:rFonts w:hint="eastAsia"/>
                <w:b/>
                <w:color w:val="auto"/>
                <w:szCs w:val="21"/>
              </w:rPr>
              <w:t>施工期景观影响</w:t>
            </w:r>
            <w:r>
              <w:rPr>
                <w:b/>
                <w:color w:val="auto"/>
                <w:szCs w:val="21"/>
              </w:rPr>
              <w:t>本项目采取的措施：</w:t>
            </w:r>
          </w:p>
          <w:p w14:paraId="6655476B">
            <w:pPr>
              <w:ind w:firstLine="480"/>
              <w:rPr>
                <w:rFonts w:hint="eastAsia" w:ascii="宋体" w:hAnsi="宋体"/>
                <w:color w:val="auto"/>
                <w:szCs w:val="21"/>
              </w:rPr>
            </w:pPr>
            <w:r>
              <w:rPr>
                <w:rFonts w:hint="eastAsia"/>
                <w:color w:val="auto"/>
                <w:szCs w:val="21"/>
              </w:rPr>
              <w:t>植被恢</w:t>
            </w:r>
            <w:r>
              <w:rPr>
                <w:rFonts w:hint="eastAsia" w:cs="宋体"/>
                <w:color w:val="auto"/>
                <w:szCs w:val="21"/>
              </w:rPr>
              <w:t>复</w:t>
            </w:r>
            <w:r>
              <w:rPr>
                <w:rFonts w:hint="eastAsia"/>
                <w:color w:val="auto"/>
                <w:szCs w:val="21"/>
              </w:rPr>
              <w:t>及</w:t>
            </w:r>
            <w:r>
              <w:rPr>
                <w:rFonts w:hint="eastAsia" w:cs="宋体"/>
                <w:color w:val="auto"/>
                <w:szCs w:val="21"/>
              </w:rPr>
              <w:t>绿</w:t>
            </w:r>
            <w:r>
              <w:rPr>
                <w:rFonts w:hint="eastAsia"/>
                <w:color w:val="auto"/>
                <w:szCs w:val="21"/>
              </w:rPr>
              <w:t>化</w:t>
            </w:r>
            <w:r>
              <w:rPr>
                <w:rFonts w:hint="eastAsia" w:cs="宋体"/>
                <w:color w:val="auto"/>
                <w:szCs w:val="21"/>
              </w:rPr>
              <w:t>过</w:t>
            </w:r>
            <w:r>
              <w:rPr>
                <w:rFonts w:hint="eastAsia"/>
                <w:color w:val="auto"/>
                <w:szCs w:val="21"/>
              </w:rPr>
              <w:t>程中，宜采用当地植物</w:t>
            </w:r>
            <w:r>
              <w:rPr>
                <w:rFonts w:hint="eastAsia" w:cs="宋体"/>
                <w:color w:val="auto"/>
                <w:szCs w:val="21"/>
              </w:rPr>
              <w:t>进</w:t>
            </w:r>
            <w:r>
              <w:rPr>
                <w:rFonts w:hint="eastAsia"/>
                <w:color w:val="auto"/>
                <w:szCs w:val="21"/>
              </w:rPr>
              <w:t>行“恢</w:t>
            </w:r>
            <w:r>
              <w:rPr>
                <w:rFonts w:hint="eastAsia" w:cs="宋体"/>
                <w:color w:val="auto"/>
                <w:szCs w:val="21"/>
              </w:rPr>
              <w:t>复</w:t>
            </w:r>
            <w:r>
              <w:rPr>
                <w:rFonts w:hint="eastAsia"/>
                <w:color w:val="auto"/>
                <w:szCs w:val="21"/>
              </w:rPr>
              <w:t>性”</w:t>
            </w:r>
            <w:r>
              <w:rPr>
                <w:rFonts w:hint="eastAsia" w:cs="宋体"/>
                <w:color w:val="auto"/>
                <w:szCs w:val="21"/>
              </w:rPr>
              <w:t>种</w:t>
            </w:r>
            <w:r>
              <w:rPr>
                <w:rFonts w:hint="eastAsia"/>
                <w:color w:val="auto"/>
                <w:szCs w:val="21"/>
              </w:rPr>
              <w:t>植，然后采取“封育”手段，促</w:t>
            </w:r>
            <w:r>
              <w:rPr>
                <w:rFonts w:hint="eastAsia" w:cs="宋体"/>
                <w:color w:val="auto"/>
                <w:szCs w:val="21"/>
              </w:rPr>
              <w:t>进</w:t>
            </w:r>
            <w:r>
              <w:rPr>
                <w:rFonts w:hint="eastAsia"/>
                <w:color w:val="auto"/>
                <w:szCs w:val="21"/>
              </w:rPr>
              <w:t>自然恢</w:t>
            </w:r>
            <w:r>
              <w:rPr>
                <w:rFonts w:hint="eastAsia" w:cs="宋体"/>
                <w:color w:val="auto"/>
                <w:szCs w:val="21"/>
              </w:rPr>
              <w:t>复</w:t>
            </w:r>
            <w:r>
              <w:rPr>
                <w:rFonts w:hint="eastAsia"/>
                <w:color w:val="auto"/>
                <w:szCs w:val="21"/>
              </w:rPr>
              <w:t>。在植被恢</w:t>
            </w:r>
            <w:r>
              <w:rPr>
                <w:rFonts w:hint="eastAsia" w:cs="宋体"/>
                <w:color w:val="auto"/>
                <w:szCs w:val="21"/>
              </w:rPr>
              <w:t>复</w:t>
            </w:r>
            <w:r>
              <w:rPr>
                <w:rFonts w:hint="eastAsia"/>
                <w:color w:val="auto"/>
                <w:szCs w:val="21"/>
              </w:rPr>
              <w:t>及</w:t>
            </w:r>
            <w:r>
              <w:rPr>
                <w:rFonts w:hint="eastAsia" w:cs="宋体"/>
                <w:color w:val="auto"/>
                <w:szCs w:val="21"/>
              </w:rPr>
              <w:t>绿</w:t>
            </w:r>
            <w:r>
              <w:rPr>
                <w:rFonts w:hint="eastAsia"/>
                <w:color w:val="auto"/>
                <w:szCs w:val="21"/>
              </w:rPr>
              <w:t>化</w:t>
            </w:r>
            <w:r>
              <w:rPr>
                <w:rFonts w:hint="eastAsia" w:cs="宋体"/>
                <w:color w:val="auto"/>
                <w:szCs w:val="21"/>
              </w:rPr>
              <w:t>过</w:t>
            </w:r>
            <w:r>
              <w:rPr>
                <w:rFonts w:hint="eastAsia"/>
                <w:color w:val="auto"/>
                <w:szCs w:val="21"/>
              </w:rPr>
              <w:t>程中，</w:t>
            </w:r>
            <w:r>
              <w:rPr>
                <w:rFonts w:hint="eastAsia" w:cs="宋体"/>
                <w:color w:val="auto"/>
                <w:szCs w:val="21"/>
              </w:rPr>
              <w:t>应选择乡</w:t>
            </w:r>
            <w:r>
              <w:rPr>
                <w:rFonts w:hint="eastAsia"/>
                <w:color w:val="auto"/>
                <w:szCs w:val="21"/>
              </w:rPr>
              <w:t>土</w:t>
            </w:r>
            <w:r>
              <w:rPr>
                <w:rFonts w:hint="eastAsia" w:cs="宋体"/>
                <w:color w:val="auto"/>
                <w:szCs w:val="21"/>
              </w:rPr>
              <w:t>树种</w:t>
            </w:r>
            <w:r>
              <w:rPr>
                <w:rFonts w:hint="eastAsia"/>
                <w:color w:val="auto"/>
                <w:szCs w:val="21"/>
              </w:rPr>
              <w:t>及适合当地</w:t>
            </w:r>
            <w:r>
              <w:rPr>
                <w:rFonts w:hint="eastAsia" w:cs="宋体"/>
                <w:color w:val="auto"/>
                <w:szCs w:val="21"/>
              </w:rPr>
              <w:t>环</w:t>
            </w:r>
            <w:r>
              <w:rPr>
                <w:rFonts w:hint="eastAsia"/>
                <w:color w:val="auto"/>
                <w:szCs w:val="21"/>
              </w:rPr>
              <w:t>境的植物，并注意灌、草搭配的原</w:t>
            </w:r>
            <w:r>
              <w:rPr>
                <w:rFonts w:hint="eastAsia" w:cs="宋体"/>
                <w:color w:val="auto"/>
                <w:szCs w:val="21"/>
              </w:rPr>
              <w:t>则</w:t>
            </w:r>
            <w:r>
              <w:rPr>
                <w:rFonts w:hint="eastAsia"/>
                <w:color w:val="auto"/>
                <w:szCs w:val="21"/>
              </w:rPr>
              <w:t>，同</w:t>
            </w:r>
            <w:r>
              <w:rPr>
                <w:rFonts w:hint="eastAsia" w:cs="宋体"/>
                <w:color w:val="auto"/>
                <w:szCs w:val="21"/>
              </w:rPr>
              <w:t>时</w:t>
            </w:r>
            <w:r>
              <w:rPr>
                <w:rFonts w:hint="eastAsia"/>
                <w:color w:val="auto"/>
                <w:szCs w:val="21"/>
              </w:rPr>
              <w:t>要与</w:t>
            </w:r>
            <w:r>
              <w:rPr>
                <w:rFonts w:hint="eastAsia" w:ascii="宋体" w:hAnsi="宋体"/>
                <w:color w:val="auto"/>
                <w:szCs w:val="21"/>
              </w:rPr>
              <w:t>周</w:t>
            </w:r>
            <w:r>
              <w:rPr>
                <w:rFonts w:hint="eastAsia" w:ascii="宋体" w:hAnsi="宋体" w:cs="宋体"/>
                <w:color w:val="auto"/>
                <w:szCs w:val="21"/>
              </w:rPr>
              <w:t>围</w:t>
            </w:r>
            <w:r>
              <w:rPr>
                <w:rFonts w:hint="eastAsia" w:ascii="宋体" w:hAnsi="宋体"/>
                <w:color w:val="auto"/>
                <w:szCs w:val="21"/>
              </w:rPr>
              <w:t>的自然景</w:t>
            </w:r>
            <w:r>
              <w:rPr>
                <w:rFonts w:hint="eastAsia" w:ascii="宋体" w:hAnsi="宋体" w:cs="宋体"/>
                <w:color w:val="auto"/>
                <w:szCs w:val="21"/>
              </w:rPr>
              <w:t>观</w:t>
            </w:r>
            <w:r>
              <w:rPr>
                <w:rFonts w:hint="eastAsia" w:ascii="宋体" w:hAnsi="宋体"/>
                <w:color w:val="auto"/>
                <w:szCs w:val="21"/>
              </w:rPr>
              <w:t>相</w:t>
            </w:r>
            <w:r>
              <w:rPr>
                <w:rFonts w:hint="eastAsia" w:ascii="宋体" w:hAnsi="宋体" w:cs="宋体"/>
                <w:color w:val="auto"/>
                <w:szCs w:val="21"/>
              </w:rPr>
              <w:t>协调统</w:t>
            </w:r>
            <w:r>
              <w:rPr>
                <w:rFonts w:hint="eastAsia" w:ascii="宋体" w:hAnsi="宋体"/>
                <w:color w:val="auto"/>
                <w:szCs w:val="21"/>
              </w:rPr>
              <w:t>一。</w:t>
            </w:r>
          </w:p>
          <w:p w14:paraId="70A1C875">
            <w:pPr>
              <w:pStyle w:val="3"/>
              <w:spacing w:before="72" w:after="72"/>
              <w:rPr>
                <w:color w:val="auto"/>
              </w:rPr>
            </w:pPr>
            <w:bookmarkStart w:id="908" w:name="_Toc136794213"/>
            <w:bookmarkStart w:id="909" w:name="_Toc156137863"/>
            <w:bookmarkStart w:id="910" w:name="_Toc159349052"/>
            <w:bookmarkStart w:id="911" w:name="_Toc10290"/>
            <w:bookmarkStart w:id="912" w:name="_Toc177072833"/>
            <w:bookmarkStart w:id="913" w:name="_Toc177072405"/>
            <w:bookmarkStart w:id="914" w:name="_Toc181738227"/>
            <w:bookmarkStart w:id="915" w:name="_Toc158491284"/>
            <w:bookmarkStart w:id="916" w:name="_Toc156144177"/>
            <w:bookmarkStart w:id="917" w:name="_Toc177488217"/>
            <w:bookmarkStart w:id="918" w:name="_Toc181293542"/>
            <w:bookmarkStart w:id="919" w:name="_Toc136794338"/>
            <w:bookmarkStart w:id="920" w:name="_Toc160473823"/>
            <w:bookmarkStart w:id="921" w:name="_Toc161415577"/>
            <w:bookmarkStart w:id="922" w:name="_Toc160730899"/>
            <w:bookmarkStart w:id="923" w:name="_Toc181732820"/>
            <w:bookmarkStart w:id="924" w:name="_Toc177482905"/>
            <w:bookmarkStart w:id="925" w:name="_Toc10563"/>
            <w:r>
              <w:rPr>
                <w:color w:val="auto"/>
              </w:rPr>
              <w:t>施工期污染影响分析</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099422A0">
            <w:pPr>
              <w:pStyle w:val="4"/>
              <w:spacing w:before="48" w:after="48"/>
              <w:rPr>
                <w:color w:val="auto"/>
              </w:rPr>
            </w:pPr>
            <w:bookmarkStart w:id="926" w:name="_Toc158491285"/>
            <w:bookmarkStart w:id="927" w:name="_Toc177072834"/>
            <w:bookmarkStart w:id="928" w:name="_Toc30432"/>
            <w:bookmarkStart w:id="929" w:name="_Toc177072406"/>
            <w:bookmarkStart w:id="930" w:name="_Toc161415578"/>
            <w:bookmarkStart w:id="931" w:name="_Toc177482906"/>
            <w:bookmarkStart w:id="932" w:name="_Toc181738228"/>
            <w:bookmarkStart w:id="933" w:name="_Toc136794339"/>
            <w:bookmarkStart w:id="934" w:name="_Toc136794214"/>
            <w:bookmarkStart w:id="935" w:name="_Toc160730900"/>
            <w:bookmarkStart w:id="936" w:name="_Toc112424290"/>
            <w:bookmarkStart w:id="937" w:name="_Toc112173948"/>
            <w:bookmarkStart w:id="938" w:name="_Toc15790"/>
            <w:bookmarkStart w:id="939" w:name="_Toc112165653"/>
            <w:bookmarkStart w:id="940" w:name="_Toc156144178"/>
            <w:bookmarkStart w:id="941" w:name="_Toc159349053"/>
            <w:bookmarkStart w:id="942" w:name="_Toc160473824"/>
            <w:bookmarkStart w:id="943" w:name="_Toc156137864"/>
            <w:bookmarkStart w:id="944" w:name="_Toc177488218"/>
            <w:bookmarkStart w:id="945" w:name="_Toc181293543"/>
            <w:bookmarkStart w:id="946" w:name="_Toc181732821"/>
            <w:r>
              <w:rPr>
                <w:color w:val="auto"/>
              </w:rPr>
              <w:t>1施工期废气影响分析</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1300F9D1">
            <w:pPr>
              <w:ind w:firstLine="480"/>
              <w:rPr>
                <w:color w:val="auto"/>
                <w:szCs w:val="21"/>
              </w:rPr>
            </w:pPr>
            <w:r>
              <w:rPr>
                <w:color w:val="auto"/>
                <w:szCs w:val="21"/>
              </w:rPr>
              <w:t>本项目废气主要来源为施工扬尘、机动车辆尾气。</w:t>
            </w:r>
          </w:p>
          <w:p w14:paraId="277C886A">
            <w:pPr>
              <w:ind w:firstLine="482"/>
              <w:rPr>
                <w:b/>
                <w:bCs/>
                <w:color w:val="auto"/>
                <w:szCs w:val="21"/>
              </w:rPr>
            </w:pPr>
            <w:r>
              <w:rPr>
                <w:b/>
                <w:bCs/>
                <w:color w:val="auto"/>
                <w:szCs w:val="21"/>
              </w:rPr>
              <w:t>（1）施工扬尘</w:t>
            </w:r>
          </w:p>
          <w:p w14:paraId="6F8A1AE7">
            <w:pPr>
              <w:ind w:firstLine="480"/>
              <w:rPr>
                <w:color w:val="auto"/>
                <w:szCs w:val="21"/>
              </w:rPr>
            </w:pPr>
            <w:r>
              <w:rPr>
                <w:color w:val="auto"/>
                <w:szCs w:val="21"/>
              </w:rPr>
              <w:t>施工扬尘</w:t>
            </w:r>
            <w:r>
              <w:rPr>
                <w:rFonts w:hint="eastAsia"/>
                <w:color w:val="auto"/>
                <w:szCs w:val="21"/>
              </w:rPr>
              <w:t>主要来自光伏组件基础、箱变、直埋电缆沟、塔基基础、进场公路等工程建设时施工开挖、粉状建筑材料的装卸、拉运粉状材料及土石方、施工粉状材料的随意堆放和土方的临时堆存、车辆在道路上行走等过程</w:t>
            </w:r>
            <w:r>
              <w:rPr>
                <w:color w:val="auto"/>
                <w:szCs w:val="21"/>
              </w:rPr>
              <w:t>。</w:t>
            </w:r>
          </w:p>
          <w:p w14:paraId="20370C4D">
            <w:pPr>
              <w:ind w:firstLine="480"/>
              <w:rPr>
                <w:color w:val="auto"/>
              </w:rPr>
            </w:pPr>
            <w:r>
              <w:rPr>
                <w:rFonts w:hint="eastAsia"/>
                <w:color w:val="auto"/>
              </w:rPr>
              <w:t>通常在施工中，施工场地的清理会造成地表裸露，材料运输过程中未铺装道路、地埋电缆沟施工作业等均会产生施工扬尘。施工扬尘为无组织排放粉尘，其中大部分扬尘颗粒粒径较大，形成降尘，少部分粒径小于10um的形成飘尘。在风速较大的情况下，以上施工作业会导致施工场地尘土飞扬，使空气中粉尘浓度升高，影响所在区域的环境空气质量。一般情况下，施工场地和道路在自然风作用下产生的扬尘影响的范围在100m以内，如果在施工期对道路和施工场地实施洒水抑尘，如每天洒水4～5次，可使扬尘减少70%左右，可有效地控制施工扬尘，可将TSP染距离缩小到20～50m范围。</w:t>
            </w:r>
          </w:p>
          <w:p w14:paraId="7ADFAD87">
            <w:pPr>
              <w:ind w:firstLine="480"/>
              <w:rPr>
                <w:color w:val="auto"/>
              </w:rPr>
            </w:pPr>
            <w:r>
              <w:rPr>
                <w:rFonts w:hint="eastAsia"/>
                <w:color w:val="auto"/>
              </w:rPr>
              <w:t>施工期扬尘的产生量与土壤湿度、气象条件等有关。土壤湿度大则有利于控制尘土飞扬；雨季扬尘的影响小；干季湿度低，有风易扬尘。施工期注意采取降尘措施，将扬尘降到最低限度。</w:t>
            </w:r>
          </w:p>
          <w:p w14:paraId="7210FFCA">
            <w:pPr>
              <w:adjustRightInd w:val="0"/>
              <w:snapToGrid w:val="0"/>
              <w:ind w:firstLine="480"/>
              <w:rPr>
                <w:color w:val="auto"/>
              </w:rPr>
            </w:pPr>
            <w:r>
              <w:rPr>
                <w:rFonts w:hint="eastAsia"/>
                <w:color w:val="auto"/>
              </w:rPr>
              <w:t>施工期应合理布置施工场地，面向村庄一侧设置不低于1.8m的临时围挡，并加强施工生产区洒水降尘，用土工布覆盖易产尘材料和临时堆放的土方、土石方及时回填压实，在靠近居民点进行施工时合理规划施工时间及施工时序，禁止大开挖、推平台等作业方式，施工采用人工开挖基础措施。</w:t>
            </w:r>
          </w:p>
          <w:p w14:paraId="1131CA04">
            <w:pPr>
              <w:ind w:firstLine="480"/>
              <w:rPr>
                <w:color w:val="auto"/>
              </w:rPr>
            </w:pPr>
            <w:r>
              <w:rPr>
                <w:rFonts w:hint="eastAsia"/>
                <w:color w:val="auto"/>
              </w:rPr>
              <w:t>砂石料等施工材料主要堆存于施工场地物料堆存区域，在建设过程中采取抑尘措施后，将大大减少施工产生的扬尘，对项目区域周边及敏感点的大气环境影响可接受，施工期产生的施工扬尘可以满足《大气污染物综合排放标准》（GB 16297-1996）中其他颗粒物“表2 新污染源大气污染物排放限值”的无组织排放监控浓度限值。</w:t>
            </w:r>
          </w:p>
          <w:p w14:paraId="3E1FC901">
            <w:pPr>
              <w:ind w:firstLine="482"/>
              <w:rPr>
                <w:b/>
                <w:bCs/>
                <w:color w:val="auto"/>
                <w:szCs w:val="21"/>
              </w:rPr>
            </w:pPr>
            <w:r>
              <w:rPr>
                <w:b/>
                <w:bCs/>
                <w:color w:val="auto"/>
                <w:szCs w:val="21"/>
              </w:rPr>
              <w:t>（2）机动车辆尾气</w:t>
            </w:r>
          </w:p>
          <w:p w14:paraId="646F0520">
            <w:pPr>
              <w:ind w:firstLine="480"/>
              <w:rPr>
                <w:color w:val="auto"/>
                <w:szCs w:val="21"/>
              </w:rPr>
            </w:pPr>
            <w:r>
              <w:rPr>
                <w:color w:val="auto"/>
                <w:szCs w:val="21"/>
              </w:rPr>
              <w:t>主要为运输车队、施工机械（推土机、搅拌机、吊车等）等机动车辆运行时排放的尾气。由于拟建项目所在地为较开阔的荒地，空气流通较好，汽车排放的废气能够较快的扩散，不会对当地的空气环境产生较大影响，但项目建设过程中仍需控制施工车辆的数量</w:t>
            </w:r>
            <w:r>
              <w:rPr>
                <w:rFonts w:hint="eastAsia"/>
                <w:color w:val="auto"/>
                <w:szCs w:val="21"/>
              </w:rPr>
              <w:t>及车速</w:t>
            </w:r>
            <w:r>
              <w:rPr>
                <w:color w:val="auto"/>
                <w:szCs w:val="21"/>
              </w:rPr>
              <w:t>，使空气环境质量受到的影响降至最低。</w:t>
            </w:r>
          </w:p>
          <w:p w14:paraId="12248DB2">
            <w:pPr>
              <w:ind w:firstLine="482"/>
              <w:rPr>
                <w:b/>
                <w:bCs/>
                <w:color w:val="auto"/>
                <w:szCs w:val="21"/>
              </w:rPr>
            </w:pPr>
            <w:r>
              <w:rPr>
                <w:rFonts w:hint="eastAsia"/>
                <w:b/>
                <w:bCs/>
                <w:color w:val="auto"/>
                <w:szCs w:val="21"/>
              </w:rPr>
              <w:t>（3）对敏感目标的影响</w:t>
            </w:r>
          </w:p>
          <w:p w14:paraId="1F5C9CD0">
            <w:pPr>
              <w:ind w:firstLine="480"/>
              <w:rPr>
                <w:color w:val="auto"/>
              </w:rPr>
            </w:pPr>
            <w:bookmarkStart w:id="947" w:name="OLE_LINK26"/>
            <w:r>
              <w:rPr>
                <w:rFonts w:hint="eastAsia"/>
                <w:color w:val="auto"/>
              </w:rPr>
              <w:t>根据上述分析，施工场地和道路在自然风作用下产生的扬尘影响的范围在100m以内，与本项目施工边界100m范围内的居民点为蚂蟥箐、包茂村、包茂村散户、大歇场、大平掌、上夺么、安召，共7处环境敏感点，施工时将会对以上居民点产生一定的影响。合理布置施工营地，与村庄居民点的距离应不小于200m。施工生产区面向村庄一侧设置不低于1.8m的临时围挡，并加强施工生产区洒水降尘，用土工布覆盖易产尘材料、土石方及时回填压实，在靠近居民点进行施工时合理规划施工时间及施工时序，禁止大开挖、推平台等作业方式，施工采用人工开挖基础措施。上述措施后，以上8处环境敏感点处大气环境能够达到《环境空气质量标准》（GB</w:t>
            </w:r>
            <w:r>
              <w:rPr>
                <w:color w:val="auto"/>
              </w:rPr>
              <w:t xml:space="preserve"> </w:t>
            </w:r>
            <w:r>
              <w:rPr>
                <w:rFonts w:hint="eastAsia"/>
                <w:color w:val="auto"/>
              </w:rPr>
              <w:t>3095-2012）二级标准。</w:t>
            </w:r>
          </w:p>
          <w:bookmarkEnd w:id="947"/>
          <w:p w14:paraId="3EF8A56A">
            <w:pPr>
              <w:pStyle w:val="4"/>
              <w:spacing w:before="48" w:after="48"/>
              <w:rPr>
                <w:color w:val="auto"/>
              </w:rPr>
            </w:pPr>
            <w:bookmarkStart w:id="948" w:name="_Toc112424291"/>
            <w:bookmarkStart w:id="949" w:name="_Toc112165654"/>
            <w:bookmarkStart w:id="950" w:name="_Toc7112"/>
            <w:bookmarkStart w:id="951" w:name="_Toc112173949"/>
            <w:bookmarkStart w:id="952" w:name="_Toc3968"/>
            <w:bookmarkStart w:id="953" w:name="_Toc136794215"/>
            <w:bookmarkStart w:id="954" w:name="_Toc136794340"/>
            <w:bookmarkStart w:id="955" w:name="_Toc177072835"/>
            <w:bookmarkStart w:id="956" w:name="_Toc181738229"/>
            <w:bookmarkStart w:id="957" w:name="_Toc177072407"/>
            <w:bookmarkStart w:id="958" w:name="_Toc156144179"/>
            <w:bookmarkStart w:id="959" w:name="_Toc156137865"/>
            <w:bookmarkStart w:id="960" w:name="_Toc158491286"/>
            <w:bookmarkStart w:id="961" w:name="_Toc160473825"/>
            <w:bookmarkStart w:id="962" w:name="_Toc159349054"/>
            <w:bookmarkStart w:id="963" w:name="_Toc177488219"/>
            <w:bookmarkStart w:id="964" w:name="_Toc177482907"/>
            <w:bookmarkStart w:id="965" w:name="_Toc181293544"/>
            <w:bookmarkStart w:id="966" w:name="_Toc181732822"/>
            <w:bookmarkStart w:id="967" w:name="_Toc161415579"/>
            <w:bookmarkStart w:id="968" w:name="_Toc160730901"/>
            <w:r>
              <w:rPr>
                <w:color w:val="auto"/>
              </w:rPr>
              <w:t>施工期废水影响分析</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44C652B8">
            <w:pPr>
              <w:ind w:firstLine="480"/>
              <w:rPr>
                <w:color w:val="auto"/>
              </w:rPr>
            </w:pPr>
            <w:r>
              <w:rPr>
                <w:rFonts w:hint="eastAsia"/>
                <w:color w:val="auto"/>
              </w:rPr>
              <w:t>施工期施工用水拟就近从场址内及场址周边的新华村，采用水车运水的方式供应，直饮水采用桶装矿泉水；施工生产区内设容积为50m</w:t>
            </w:r>
            <w:r>
              <w:rPr>
                <w:rFonts w:hint="eastAsia"/>
                <w:color w:val="auto"/>
                <w:vertAlign w:val="superscript"/>
              </w:rPr>
              <w:t>3</w:t>
            </w:r>
            <w:r>
              <w:rPr>
                <w:rFonts w:hint="eastAsia"/>
                <w:color w:val="auto"/>
              </w:rPr>
              <w:t>临时水池一座，供施工用水。</w:t>
            </w:r>
          </w:p>
          <w:p w14:paraId="07603EC7">
            <w:pPr>
              <w:ind w:firstLine="480"/>
              <w:rPr>
                <w:color w:val="auto"/>
                <w:szCs w:val="21"/>
              </w:rPr>
            </w:pPr>
            <w:r>
              <w:rPr>
                <w:color w:val="auto"/>
                <w:szCs w:val="21"/>
              </w:rPr>
              <w:t>施工期废水</w:t>
            </w:r>
            <w:r>
              <w:rPr>
                <w:rFonts w:hint="eastAsia"/>
                <w:color w:val="auto"/>
                <w:szCs w:val="21"/>
              </w:rPr>
              <w:t>包括施工废水</w:t>
            </w:r>
            <w:r>
              <w:rPr>
                <w:color w:val="auto"/>
                <w:szCs w:val="21"/>
              </w:rPr>
              <w:t>和</w:t>
            </w:r>
            <w:bookmarkStart w:id="969" w:name="_Hlk159141124"/>
            <w:r>
              <w:rPr>
                <w:rFonts w:hint="eastAsia"/>
                <w:color w:val="auto"/>
                <w:szCs w:val="21"/>
              </w:rPr>
              <w:t>施工人员</w:t>
            </w:r>
            <w:r>
              <w:rPr>
                <w:color w:val="auto"/>
                <w:szCs w:val="21"/>
              </w:rPr>
              <w:t>生活污水</w:t>
            </w:r>
            <w:bookmarkEnd w:id="969"/>
            <w:r>
              <w:rPr>
                <w:color w:val="auto"/>
                <w:szCs w:val="21"/>
              </w:rPr>
              <w:t>。</w:t>
            </w:r>
          </w:p>
          <w:p w14:paraId="12551B48">
            <w:pPr>
              <w:ind w:firstLine="482"/>
              <w:rPr>
                <w:b/>
                <w:bCs/>
                <w:color w:val="auto"/>
                <w:szCs w:val="21"/>
              </w:rPr>
            </w:pPr>
            <w:r>
              <w:rPr>
                <w:rFonts w:hint="eastAsia"/>
                <w:b/>
                <w:bCs/>
                <w:color w:val="auto"/>
                <w:szCs w:val="21"/>
              </w:rPr>
              <w:t>（1）施工</w:t>
            </w:r>
            <w:r>
              <w:rPr>
                <w:b/>
                <w:bCs/>
                <w:color w:val="auto"/>
                <w:szCs w:val="21"/>
              </w:rPr>
              <w:t>废水</w:t>
            </w:r>
          </w:p>
          <w:p w14:paraId="66045B77">
            <w:pPr>
              <w:ind w:firstLine="480"/>
              <w:rPr>
                <w:color w:val="auto"/>
                <w:szCs w:val="21"/>
              </w:rPr>
            </w:pPr>
            <w:r>
              <w:rPr>
                <w:rFonts w:hint="eastAsia"/>
                <w:color w:val="auto"/>
                <w:szCs w:val="21"/>
              </w:rPr>
              <w:t>项目施工废水主要包括结构阶段混凝土养护废水以及施工工具冲洗废水，该类污水的排放量及其污染物浓度与降雨量、工地地面状况有很大关系。混凝土养护废水用量较少，蒸发吸收快，不会形成地表径流影响水体，同时地面采取防渗措施，因此不会对地下水产生影响。本项目主要施工区域为光伏区支架、箱变基础的开挖及施工，光伏区沿山地地形建设，不进行大开挖，基础柱深度不深，基本无施工地下水涌水及基坑废水，产生的施工废水不大。施工废水产生量约为3.0m</w:t>
            </w:r>
            <w:r>
              <w:rPr>
                <w:rFonts w:hint="eastAsia"/>
                <w:color w:val="auto"/>
                <w:szCs w:val="21"/>
                <w:vertAlign w:val="superscript"/>
              </w:rPr>
              <w:t>3</w:t>
            </w:r>
            <w:r>
              <w:rPr>
                <w:rFonts w:hint="eastAsia"/>
                <w:color w:val="auto"/>
                <w:szCs w:val="21"/>
              </w:rPr>
              <w:t>/d，废水中主要污染物为SS，在道路工程区设置C20混凝土排水边沟2267m³；φ1000圆管涵228m，9口9m</w:t>
            </w:r>
            <w:r>
              <w:rPr>
                <w:rFonts w:hint="eastAsia"/>
                <w:color w:val="auto"/>
                <w:szCs w:val="21"/>
                <w:vertAlign w:val="superscript"/>
              </w:rPr>
              <w:t>3</w:t>
            </w:r>
            <w:r>
              <w:rPr>
                <w:rFonts w:hint="eastAsia"/>
                <w:color w:val="auto"/>
                <w:szCs w:val="21"/>
              </w:rPr>
              <w:t>沉砂池；光伏方阵区设置截水沟1500.48m，5口9m</w:t>
            </w:r>
            <w:r>
              <w:rPr>
                <w:rFonts w:hint="eastAsia"/>
                <w:color w:val="auto"/>
                <w:szCs w:val="21"/>
                <w:vertAlign w:val="superscript"/>
              </w:rPr>
              <w:t>3</w:t>
            </w:r>
            <w:r>
              <w:rPr>
                <w:rFonts w:hint="eastAsia"/>
                <w:color w:val="auto"/>
                <w:szCs w:val="21"/>
              </w:rPr>
              <w:t>沉砂池收集施工废水，经</w:t>
            </w:r>
            <w:r>
              <w:rPr>
                <w:color w:val="auto"/>
                <w:szCs w:val="21"/>
              </w:rPr>
              <w:t>临时沉砂池沉淀</w:t>
            </w:r>
            <w:r>
              <w:rPr>
                <w:rFonts w:hint="eastAsia"/>
                <w:color w:val="auto"/>
                <w:szCs w:val="21"/>
              </w:rPr>
              <w:t>处理后，回用于施工场地抑尘，不外排。</w:t>
            </w:r>
          </w:p>
          <w:p w14:paraId="5035DAEB">
            <w:pPr>
              <w:ind w:firstLine="482"/>
              <w:rPr>
                <w:b/>
                <w:bCs/>
                <w:color w:val="auto"/>
                <w:szCs w:val="21"/>
              </w:rPr>
            </w:pPr>
            <w:r>
              <w:rPr>
                <w:rFonts w:hint="eastAsia"/>
                <w:b/>
                <w:bCs/>
                <w:color w:val="auto"/>
                <w:szCs w:val="21"/>
              </w:rPr>
              <w:t>（2）施工</w:t>
            </w:r>
            <w:r>
              <w:rPr>
                <w:b/>
                <w:bCs/>
                <w:color w:val="auto"/>
                <w:szCs w:val="21"/>
              </w:rPr>
              <w:t>生活污水</w:t>
            </w:r>
          </w:p>
          <w:p w14:paraId="3D1C386C">
            <w:pPr>
              <w:ind w:firstLine="480"/>
              <w:rPr>
                <w:color w:val="auto"/>
                <w:szCs w:val="21"/>
              </w:rPr>
            </w:pPr>
            <w:r>
              <w:rPr>
                <w:rFonts w:hint="eastAsia"/>
                <w:color w:val="auto"/>
                <w:szCs w:val="21"/>
              </w:rPr>
              <w:t>本工程不单独设施工生活营地，施工人员主要雇佣周边村庄的剩余劳动力，分散居住于周围村庄，</w:t>
            </w:r>
            <w:r>
              <w:rPr>
                <w:color w:val="auto"/>
                <w:szCs w:val="21"/>
              </w:rPr>
              <w:t>施工人员日常生活污水依托租用的当地民房自有污水处理系统处理</w:t>
            </w:r>
            <w:r>
              <w:rPr>
                <w:rFonts w:hint="eastAsia"/>
                <w:color w:val="auto"/>
                <w:szCs w:val="21"/>
              </w:rPr>
              <w:t>，施工人员生活污水主要为施工人员洗手。</w:t>
            </w:r>
          </w:p>
          <w:p w14:paraId="7EAD52E9">
            <w:pPr>
              <w:ind w:firstLine="480"/>
              <w:rPr>
                <w:color w:val="auto"/>
              </w:rPr>
            </w:pPr>
            <w:r>
              <w:rPr>
                <w:rFonts w:hint="eastAsia"/>
                <w:color w:val="auto"/>
              </w:rPr>
              <w:t>本项目施工高峰期人数为200人，根据主体设计，本项目业主、承包商及施工人员临时居住、办公等场地均采用租用民房解决，不在项目区内食宿，施工期日常生活污水依托民房自有污水处理设施，项目区生活污水主要为洗手污水。根据《云南省用水定额》（DB 53/T 168-2019）并结合项目实际情况，施工人员产生的生活污水参照DB 53/T 168-2019中“农村居民生活 温带区 集中供水”定额值，取40L/</w:t>
            </w:r>
            <w:r>
              <w:rPr>
                <w:color w:val="auto"/>
              </w:rPr>
              <w:t>(</w:t>
            </w:r>
            <w:r>
              <w:rPr>
                <w:rFonts w:hint="eastAsia"/>
                <w:color w:val="auto"/>
              </w:rPr>
              <w:t>人</w:t>
            </w:r>
            <w:r>
              <w:rPr>
                <w:color w:val="auto"/>
              </w:rPr>
              <w:t>·d)</w:t>
            </w:r>
            <w:r>
              <w:rPr>
                <w:rFonts w:hint="eastAsia"/>
                <w:color w:val="auto"/>
              </w:rPr>
              <w:t>，施工人员生活用水量为8.0m</w:t>
            </w:r>
            <w:r>
              <w:rPr>
                <w:rFonts w:hint="eastAsia"/>
                <w:color w:val="auto"/>
                <w:vertAlign w:val="superscript"/>
              </w:rPr>
              <w:t>3</w:t>
            </w:r>
            <w:r>
              <w:rPr>
                <w:rFonts w:hint="eastAsia"/>
                <w:color w:val="auto"/>
              </w:rPr>
              <w:t>/d，排污系数以0.8计，则生活污水产生量为6.4m</w:t>
            </w:r>
            <w:r>
              <w:rPr>
                <w:rFonts w:hint="eastAsia"/>
                <w:color w:val="auto"/>
                <w:vertAlign w:val="superscript"/>
              </w:rPr>
              <w:t>3</w:t>
            </w:r>
            <w:r>
              <w:rPr>
                <w:rFonts w:hint="eastAsia"/>
                <w:color w:val="auto"/>
              </w:rPr>
              <w:t>/d，项目施工工期9个月，则施工人员产生的生活污水量为1728m</w:t>
            </w:r>
            <w:r>
              <w:rPr>
                <w:rFonts w:hint="eastAsia"/>
                <w:color w:val="auto"/>
                <w:vertAlign w:val="superscript"/>
              </w:rPr>
              <w:t>3</w:t>
            </w:r>
            <w:r>
              <w:rPr>
                <w:rFonts w:hint="eastAsia"/>
                <w:color w:val="auto"/>
              </w:rPr>
              <w:t>。</w:t>
            </w:r>
            <w:r>
              <w:rPr>
                <w:color w:val="auto"/>
              </w:rPr>
              <w:t>在施工场地设置的</w:t>
            </w:r>
            <w:r>
              <w:rPr>
                <w:rFonts w:hint="eastAsia"/>
                <w:color w:val="auto"/>
              </w:rPr>
              <w:t>4</w:t>
            </w:r>
            <w:r>
              <w:rPr>
                <w:color w:val="auto"/>
              </w:rPr>
              <w:t>个</w:t>
            </w:r>
            <w:r>
              <w:rPr>
                <w:rFonts w:hint="eastAsia"/>
                <w:color w:val="auto"/>
              </w:rPr>
              <w:t>5</w:t>
            </w:r>
            <w:r>
              <w:rPr>
                <w:color w:val="auto"/>
              </w:rPr>
              <w:t>m</w:t>
            </w:r>
            <w:r>
              <w:rPr>
                <w:color w:val="auto"/>
                <w:vertAlign w:val="superscript"/>
              </w:rPr>
              <w:t>3</w:t>
            </w:r>
            <w:r>
              <w:rPr>
                <w:color w:val="auto"/>
              </w:rPr>
              <w:t>的</w:t>
            </w:r>
            <w:r>
              <w:rPr>
                <w:rFonts w:hint="eastAsia"/>
                <w:color w:val="auto"/>
              </w:rPr>
              <w:t>临时</w:t>
            </w:r>
            <w:r>
              <w:rPr>
                <w:color w:val="auto"/>
              </w:rPr>
              <w:t>沉淀池收集施工人员洗手废水，施工人员洗手废水经沉淀处理后用于</w:t>
            </w:r>
            <w:r>
              <w:rPr>
                <w:rFonts w:hint="eastAsia"/>
                <w:color w:val="auto"/>
              </w:rPr>
              <w:t>其他施工工序或者洒水降尘，产生的生活污水均全部回用。</w:t>
            </w:r>
          </w:p>
          <w:p w14:paraId="5A52A004">
            <w:pPr>
              <w:ind w:firstLine="482"/>
              <w:rPr>
                <w:b/>
                <w:bCs/>
                <w:color w:val="auto"/>
                <w:szCs w:val="21"/>
              </w:rPr>
            </w:pPr>
            <w:r>
              <w:rPr>
                <w:rFonts w:hint="eastAsia"/>
                <w:b/>
                <w:bCs/>
                <w:color w:val="auto"/>
                <w:szCs w:val="21"/>
              </w:rPr>
              <w:t>（3）</w:t>
            </w:r>
            <w:r>
              <w:rPr>
                <w:b/>
                <w:bCs/>
                <w:color w:val="auto"/>
                <w:szCs w:val="21"/>
              </w:rPr>
              <w:t>雨天形成地表径流污染的影响分析</w:t>
            </w:r>
          </w:p>
          <w:p w14:paraId="2ED19E88">
            <w:pPr>
              <w:ind w:firstLine="480"/>
              <w:rPr>
                <w:color w:val="auto"/>
                <w:szCs w:val="21"/>
              </w:rPr>
            </w:pPr>
            <w:r>
              <w:rPr>
                <w:color w:val="auto"/>
                <w:szCs w:val="21"/>
              </w:rPr>
              <w:t>施工期间的雨水主要为整个光伏场区内自然汇水，由于面积较大的光伏板架设区域无需进行整平扰动，因此场地内雨水以自然排水为主，通过自然沟道、场内道路排水系统汇集后排出项目区，同时道路排水出口设置</w:t>
            </w:r>
            <w:r>
              <w:rPr>
                <w:rFonts w:hint="eastAsia"/>
                <w:color w:val="auto"/>
                <w:szCs w:val="21"/>
              </w:rPr>
              <w:t>C20混凝土排水边沟、φ1000圆管涵、沉砂池</w:t>
            </w:r>
            <w:r>
              <w:rPr>
                <w:color w:val="auto"/>
                <w:szCs w:val="21"/>
              </w:rPr>
              <w:t>等措施，收集雨水回用于光伏板清洗。由于施工期废水影响为短期影响，施工结束后即可终止，因此本项目在采取相应的污染防治措施后，施工期雨水不会对周围地表水体产生大的长期的不利影响。</w:t>
            </w:r>
          </w:p>
          <w:p w14:paraId="3ABBA285">
            <w:pPr>
              <w:ind w:firstLine="482"/>
              <w:rPr>
                <w:b/>
                <w:bCs/>
                <w:color w:val="auto"/>
                <w:szCs w:val="21"/>
              </w:rPr>
            </w:pPr>
            <w:r>
              <w:rPr>
                <w:rFonts w:hint="eastAsia"/>
                <w:b/>
                <w:bCs/>
                <w:color w:val="auto"/>
                <w:szCs w:val="21"/>
              </w:rPr>
              <w:t>（4）对地表水环境的影响分析</w:t>
            </w:r>
          </w:p>
          <w:p w14:paraId="4B569D5C">
            <w:pPr>
              <w:ind w:firstLine="480"/>
              <w:rPr>
                <w:color w:val="auto"/>
                <w:szCs w:val="21"/>
              </w:rPr>
            </w:pPr>
            <w:r>
              <w:rPr>
                <w:rFonts w:hint="eastAsia"/>
                <w:color w:val="auto"/>
                <w:szCs w:val="21"/>
              </w:rPr>
              <w:t>根据现场踏勘和卫星影像图表明，本次拟建</w:t>
            </w:r>
            <w:r>
              <w:rPr>
                <w:rFonts w:hint="eastAsia"/>
                <w:color w:val="auto"/>
              </w:rPr>
              <w:t>项目周边主要地表水保护目标为</w:t>
            </w:r>
            <w:r>
              <w:rPr>
                <w:rFonts w:hint="eastAsia" w:cs="Times New Roman"/>
                <w:color w:val="auto"/>
              </w:rPr>
              <w:t>沙乐河（S10方阵用地红线东南侧距离约1.24km）、磨房河（S12方阵用地红线南侧距离约43m，S18方阵用地红线南侧距离约307m）、安照河（S11方阵用地红线西南侧距离约43m）和澜沧江（S21方阵用地红线西南侧距离约4.7km）</w:t>
            </w:r>
            <w:r>
              <w:rPr>
                <w:rFonts w:hint="eastAsia"/>
                <w:color w:val="auto"/>
                <w:szCs w:val="21"/>
              </w:rPr>
              <w:t>。</w:t>
            </w:r>
          </w:p>
          <w:p w14:paraId="54DFB27B">
            <w:pPr>
              <w:ind w:firstLine="480"/>
              <w:rPr>
                <w:color w:val="auto"/>
                <w:szCs w:val="21"/>
              </w:rPr>
            </w:pPr>
            <w:r>
              <w:rPr>
                <w:rFonts w:hint="eastAsia"/>
                <w:color w:val="auto"/>
                <w:szCs w:val="21"/>
              </w:rPr>
              <w:t>1）S12方阵用地红线距离磨房河约43m，S18方阵用地红线距离磨房河约307m、S11方阵用地红线距离安照河约43m。</w:t>
            </w:r>
            <w:r>
              <w:rPr>
                <w:color w:val="auto"/>
                <w:szCs w:val="21"/>
              </w:rPr>
              <w:t>施工期主要是光伏板支架及箱变器的基础安装，钻孔深度约1米，且占用面积极小，其余区域尽量保持地表原装，不进行地表扰动；</w:t>
            </w:r>
            <w:r>
              <w:rPr>
                <w:rFonts w:hint="eastAsia"/>
                <w:color w:val="auto"/>
                <w:szCs w:val="21"/>
              </w:rPr>
              <w:t>距离地表水最近的施工场地为3#，3#</w:t>
            </w:r>
            <w:r>
              <w:rPr>
                <w:color w:val="auto"/>
                <w:szCs w:val="21"/>
              </w:rPr>
              <w:t>施工</w:t>
            </w:r>
            <w:r>
              <w:rPr>
                <w:rFonts w:hint="eastAsia"/>
                <w:color w:val="auto"/>
                <w:szCs w:val="21"/>
              </w:rPr>
              <w:t>场地设置于布置于S17地块内东侧，距离磨房河约800m</w:t>
            </w:r>
            <w:r>
              <w:rPr>
                <w:color w:val="auto"/>
                <w:szCs w:val="21"/>
              </w:rPr>
              <w:t>，不在</w:t>
            </w:r>
            <w:r>
              <w:rPr>
                <w:rFonts w:hint="eastAsia"/>
                <w:color w:val="auto"/>
                <w:szCs w:val="21"/>
              </w:rPr>
              <w:t>地表水边界上</w:t>
            </w:r>
            <w:r>
              <w:rPr>
                <w:color w:val="auto"/>
                <w:szCs w:val="21"/>
              </w:rPr>
              <w:t>，施工场地内不进行施工设备清洗、维修等可能产生废水的环节，以避免</w:t>
            </w:r>
            <w:r>
              <w:rPr>
                <w:rFonts w:hint="eastAsia"/>
                <w:color w:val="auto"/>
                <w:szCs w:val="21"/>
              </w:rPr>
              <w:t>污水产生地表径流</w:t>
            </w:r>
            <w:r>
              <w:rPr>
                <w:color w:val="auto"/>
                <w:szCs w:val="21"/>
              </w:rPr>
              <w:t>对</w:t>
            </w:r>
            <w:r>
              <w:rPr>
                <w:rFonts w:hint="eastAsia"/>
                <w:color w:val="auto"/>
                <w:szCs w:val="21"/>
              </w:rPr>
              <w:t>周边地表水</w:t>
            </w:r>
            <w:r>
              <w:rPr>
                <w:color w:val="auto"/>
                <w:szCs w:val="21"/>
              </w:rPr>
              <w:t>水质产生影响；项目用地范围内不设置取土场、弃渣场等可能产生水土流失影响的行为；尽量避免在雨天施工，以减少水土流失；同时，</w:t>
            </w:r>
            <w:r>
              <w:rPr>
                <w:rFonts w:hint="eastAsia"/>
                <w:color w:val="auto"/>
                <w:szCs w:val="21"/>
              </w:rPr>
              <w:t>为减小施工期雨天径流对水环境的影响，项目应落实水土保持措施，在工程区设置排水沟，末端设置沉砂池，场区雨水经沉砂池沉淀处理后，雨水径流中SS的浓度将大幅度降低，对周围地表水体的影响不大。</w:t>
            </w:r>
          </w:p>
          <w:p w14:paraId="24CEED48">
            <w:pPr>
              <w:ind w:firstLine="480"/>
              <w:rPr>
                <w:color w:val="auto"/>
                <w:szCs w:val="21"/>
              </w:rPr>
            </w:pPr>
            <w:r>
              <w:rPr>
                <w:rFonts w:hint="eastAsia"/>
                <w:color w:val="auto"/>
                <w:szCs w:val="21"/>
              </w:rPr>
              <w:t>2）S10方阵用地红线距离沙乐河约1.24km、S21方阵用地红线距离澜沧江约4.7km，根据现场踏勘情况，光伏方阵与沙乐河、澜沧江之间有自然植被、农田和居民区等相隔，项目施工对地表水体的影响较小。</w:t>
            </w:r>
          </w:p>
          <w:p w14:paraId="31719968">
            <w:pPr>
              <w:ind w:firstLine="480"/>
              <w:rPr>
                <w:color w:val="auto"/>
              </w:rPr>
            </w:pPr>
            <w:r>
              <w:rPr>
                <w:rFonts w:hint="eastAsia"/>
                <w:color w:val="auto"/>
              </w:rPr>
              <w:t>本项目施工期禁止地下水取水；施工期截排水沟沿场地内道路铺设，采用土质排水沟，不改变原有地表水、地下水走向；道路沿用已有道路，不新建道路；施工期不在水体附近设施工场地，并且施工生产废水全部收集处理后回用于施工场地抑尘，施工期间废水均不排入水体；项目将采取一系列水土保持措施，包括工程措施、植物措施和临时措施。并且项目不在流经光伏板区的水体内布设光伏板，不在其周边设置施工场地，不在水体内开挖。</w:t>
            </w:r>
          </w:p>
          <w:p w14:paraId="445AE0D7">
            <w:pPr>
              <w:ind w:firstLine="480"/>
              <w:rPr>
                <w:color w:val="auto"/>
                <w:szCs w:val="21"/>
              </w:rPr>
            </w:pPr>
            <w:r>
              <w:rPr>
                <w:rFonts w:hint="eastAsia"/>
                <w:color w:val="auto"/>
              </w:rPr>
              <w:t>综上所述，项目施工期对周边水体影响不大</w:t>
            </w:r>
            <w:r>
              <w:rPr>
                <w:rFonts w:hint="eastAsia"/>
                <w:color w:val="auto"/>
                <w:szCs w:val="21"/>
              </w:rPr>
              <w:t>。</w:t>
            </w:r>
          </w:p>
          <w:p w14:paraId="08D97264">
            <w:pPr>
              <w:pStyle w:val="4"/>
              <w:spacing w:before="48" w:after="48"/>
              <w:rPr>
                <w:color w:val="auto"/>
              </w:rPr>
            </w:pPr>
            <w:bookmarkStart w:id="970" w:name="_Toc136794216"/>
            <w:bookmarkStart w:id="971" w:name="_Toc136794341"/>
            <w:bookmarkStart w:id="972" w:name="_Toc5075"/>
            <w:bookmarkStart w:id="973" w:name="_Toc181293545"/>
            <w:bookmarkStart w:id="974" w:name="_Toc181732823"/>
            <w:bookmarkStart w:id="975" w:name="_Toc112424292"/>
            <w:bookmarkStart w:id="976" w:name="_Toc158491287"/>
            <w:bookmarkStart w:id="977" w:name="_Toc156144180"/>
            <w:bookmarkStart w:id="978" w:name="_Toc181738230"/>
            <w:bookmarkStart w:id="979" w:name="_Toc160473826"/>
            <w:bookmarkStart w:id="980" w:name="_Toc112173950"/>
            <w:bookmarkStart w:id="981" w:name="_Toc177482908"/>
            <w:bookmarkStart w:id="982" w:name="_Toc156137866"/>
            <w:bookmarkStart w:id="983" w:name="_Toc177072836"/>
            <w:bookmarkStart w:id="984" w:name="_Toc20700"/>
            <w:bookmarkStart w:id="985" w:name="_Toc177072408"/>
            <w:bookmarkStart w:id="986" w:name="_Toc159349055"/>
            <w:bookmarkStart w:id="987" w:name="_Toc161415580"/>
            <w:bookmarkStart w:id="988" w:name="_Toc177488220"/>
            <w:bookmarkStart w:id="989" w:name="_Toc160730902"/>
            <w:bookmarkStart w:id="990" w:name="_Toc112165655"/>
            <w:r>
              <w:rPr>
                <w:color w:val="auto"/>
              </w:rPr>
              <w:t>施工期声环境影响分析</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1906105E">
            <w:pPr>
              <w:ind w:firstLine="482"/>
              <w:rPr>
                <w:b/>
                <w:bCs/>
                <w:color w:val="auto"/>
                <w:szCs w:val="24"/>
              </w:rPr>
            </w:pPr>
            <w:r>
              <w:rPr>
                <w:b/>
                <w:bCs/>
                <w:color w:val="auto"/>
                <w:szCs w:val="24"/>
              </w:rPr>
              <w:t>1、噪声源强分析</w:t>
            </w:r>
          </w:p>
          <w:p w14:paraId="18AE95CE">
            <w:pPr>
              <w:ind w:firstLine="480"/>
              <w:rPr>
                <w:color w:val="auto"/>
                <w:kern w:val="0"/>
                <w:szCs w:val="21"/>
              </w:rPr>
            </w:pPr>
            <w:r>
              <w:rPr>
                <w:rFonts w:hint="eastAsia"/>
                <w:color w:val="auto"/>
                <w:kern w:val="0"/>
                <w:szCs w:val="21"/>
              </w:rPr>
              <w:t>本</w:t>
            </w:r>
            <w:r>
              <w:rPr>
                <w:color w:val="auto"/>
                <w:kern w:val="0"/>
                <w:szCs w:val="21"/>
              </w:rPr>
              <w:t>项目施工期噪声源主要来自</w:t>
            </w:r>
            <w:r>
              <w:rPr>
                <w:rFonts w:hint="eastAsia"/>
                <w:color w:val="auto"/>
                <w:kern w:val="0"/>
                <w:szCs w:val="21"/>
              </w:rPr>
              <w:t>运输车辆和太阳能光伏板支架基础、逆变器基础、箱变基础、升压站建构筑物基础、电缆沟等开挖施工机械。</w:t>
            </w:r>
          </w:p>
          <w:p w14:paraId="7CB5C764">
            <w:pPr>
              <w:ind w:firstLine="480"/>
              <w:rPr>
                <w:color w:val="auto"/>
                <w:szCs w:val="21"/>
              </w:rPr>
            </w:pPr>
            <w:r>
              <w:rPr>
                <w:rFonts w:hint="eastAsia"/>
                <w:color w:val="auto"/>
                <w:szCs w:val="21"/>
              </w:rPr>
              <w:t>根据以往同类项目施工期监测结果，</w:t>
            </w:r>
            <w:r>
              <w:rPr>
                <w:color w:val="auto"/>
                <w:szCs w:val="21"/>
              </w:rPr>
              <w:t>具体噪声源强</w:t>
            </w:r>
            <w:r>
              <w:rPr>
                <w:rFonts w:hint="eastAsia"/>
                <w:color w:val="auto"/>
                <w:szCs w:val="21"/>
              </w:rPr>
              <w:t>1m处</w:t>
            </w:r>
            <w:r>
              <w:rPr>
                <w:color w:val="auto"/>
                <w:szCs w:val="21"/>
              </w:rPr>
              <w:t>值见下表。</w:t>
            </w:r>
          </w:p>
          <w:p w14:paraId="64AF3313">
            <w:pPr>
              <w:pStyle w:val="63"/>
              <w:ind w:firstLine="422"/>
              <w:rPr>
                <w:color w:val="auto"/>
                <w:szCs w:val="21"/>
              </w:rPr>
            </w:pPr>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4.4</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1</w:t>
            </w:r>
            <w:r>
              <w:rPr>
                <w:color w:val="auto"/>
                <w:szCs w:val="24"/>
              </w:rPr>
              <w:fldChar w:fldCharType="end"/>
            </w:r>
            <w:r>
              <w:rPr>
                <w:color w:val="auto"/>
                <w:szCs w:val="24"/>
              </w:rPr>
              <w:t xml:space="preserve">  </w:t>
            </w:r>
            <w:r>
              <w:rPr>
                <w:color w:val="auto"/>
                <w:szCs w:val="21"/>
              </w:rPr>
              <w:t>施工机械噪声源强一览表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7"/>
              <w:gridCol w:w="2783"/>
              <w:gridCol w:w="2591"/>
            </w:tblGrid>
            <w:tr w14:paraId="4348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38" w:type="pct"/>
                  <w:tcBorders>
                    <w:tl2br w:val="nil"/>
                    <w:tr2bl w:val="nil"/>
                  </w:tcBorders>
                  <w:vAlign w:val="center"/>
                </w:tcPr>
                <w:p w14:paraId="30474189">
                  <w:pPr>
                    <w:widowControl/>
                    <w:adjustRightInd w:val="0"/>
                    <w:snapToGrid w:val="0"/>
                    <w:spacing w:line="240" w:lineRule="auto"/>
                    <w:ind w:firstLine="0" w:firstLineChars="0"/>
                    <w:jc w:val="center"/>
                    <w:rPr>
                      <w:b/>
                      <w:bCs/>
                      <w:color w:val="auto"/>
                      <w:kern w:val="0"/>
                      <w:sz w:val="21"/>
                      <w:szCs w:val="21"/>
                    </w:rPr>
                  </w:pPr>
                  <w:r>
                    <w:rPr>
                      <w:b/>
                      <w:bCs/>
                      <w:color w:val="auto"/>
                      <w:kern w:val="0"/>
                      <w:sz w:val="21"/>
                      <w:szCs w:val="21"/>
                    </w:rPr>
                    <w:t>项目</w:t>
                  </w:r>
                </w:p>
              </w:tc>
              <w:tc>
                <w:tcPr>
                  <w:tcW w:w="1793" w:type="pct"/>
                  <w:tcBorders>
                    <w:tl2br w:val="nil"/>
                    <w:tr2bl w:val="nil"/>
                  </w:tcBorders>
                  <w:vAlign w:val="center"/>
                </w:tcPr>
                <w:p w14:paraId="38A9F23F">
                  <w:pPr>
                    <w:widowControl/>
                    <w:adjustRightInd w:val="0"/>
                    <w:snapToGrid w:val="0"/>
                    <w:spacing w:line="240" w:lineRule="auto"/>
                    <w:ind w:firstLine="0" w:firstLineChars="0"/>
                    <w:jc w:val="center"/>
                    <w:rPr>
                      <w:b/>
                      <w:bCs/>
                      <w:color w:val="auto"/>
                      <w:kern w:val="0"/>
                      <w:sz w:val="21"/>
                      <w:szCs w:val="21"/>
                    </w:rPr>
                  </w:pPr>
                  <w:r>
                    <w:rPr>
                      <w:b/>
                      <w:bCs/>
                      <w:color w:val="auto"/>
                      <w:kern w:val="0"/>
                      <w:sz w:val="21"/>
                      <w:szCs w:val="21"/>
                    </w:rPr>
                    <w:t>设备名称</w:t>
                  </w:r>
                </w:p>
              </w:tc>
              <w:tc>
                <w:tcPr>
                  <w:tcW w:w="1669" w:type="pct"/>
                  <w:tcBorders>
                    <w:tl2br w:val="nil"/>
                    <w:tr2bl w:val="nil"/>
                  </w:tcBorders>
                  <w:vAlign w:val="center"/>
                </w:tcPr>
                <w:p w14:paraId="6ABF2DAE">
                  <w:pPr>
                    <w:widowControl/>
                    <w:adjustRightInd w:val="0"/>
                    <w:snapToGrid w:val="0"/>
                    <w:spacing w:line="240" w:lineRule="auto"/>
                    <w:ind w:firstLine="0" w:firstLineChars="0"/>
                    <w:jc w:val="center"/>
                    <w:rPr>
                      <w:b/>
                      <w:bCs/>
                      <w:color w:val="auto"/>
                      <w:kern w:val="0"/>
                      <w:sz w:val="21"/>
                      <w:szCs w:val="21"/>
                    </w:rPr>
                  </w:pPr>
                  <w:r>
                    <w:rPr>
                      <w:b/>
                      <w:bCs/>
                      <w:color w:val="auto"/>
                      <w:sz w:val="21"/>
                      <w:szCs w:val="21"/>
                    </w:rPr>
                    <w:t>噪声源强dB（A）</w:t>
                  </w:r>
                </w:p>
              </w:tc>
            </w:tr>
            <w:tr w14:paraId="15F7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tcBorders>
                    <w:tl2br w:val="nil"/>
                    <w:tr2bl w:val="nil"/>
                  </w:tcBorders>
                  <w:vAlign w:val="center"/>
                </w:tcPr>
                <w:p w14:paraId="4ACD6331">
                  <w:pPr>
                    <w:widowControl/>
                    <w:adjustRightInd w:val="0"/>
                    <w:snapToGrid w:val="0"/>
                    <w:spacing w:line="240" w:lineRule="auto"/>
                    <w:ind w:firstLine="0" w:firstLineChars="0"/>
                    <w:jc w:val="center"/>
                    <w:rPr>
                      <w:color w:val="auto"/>
                      <w:kern w:val="0"/>
                      <w:sz w:val="21"/>
                      <w:szCs w:val="21"/>
                    </w:rPr>
                  </w:pPr>
                  <w:r>
                    <w:rPr>
                      <w:color w:val="auto"/>
                      <w:kern w:val="0"/>
                      <w:sz w:val="21"/>
                      <w:szCs w:val="21"/>
                    </w:rPr>
                    <w:t>土石方阶段</w:t>
                  </w:r>
                </w:p>
              </w:tc>
              <w:tc>
                <w:tcPr>
                  <w:tcW w:w="1793" w:type="pct"/>
                  <w:tcBorders>
                    <w:tl2br w:val="nil"/>
                    <w:tr2bl w:val="nil"/>
                  </w:tcBorders>
                  <w:vAlign w:val="center"/>
                </w:tcPr>
                <w:p w14:paraId="4463202C">
                  <w:pPr>
                    <w:widowControl/>
                    <w:adjustRightInd w:val="0"/>
                    <w:snapToGrid w:val="0"/>
                    <w:spacing w:line="240" w:lineRule="auto"/>
                    <w:ind w:firstLine="0" w:firstLineChars="0"/>
                    <w:jc w:val="center"/>
                    <w:rPr>
                      <w:color w:val="auto"/>
                      <w:kern w:val="0"/>
                      <w:sz w:val="21"/>
                      <w:szCs w:val="21"/>
                    </w:rPr>
                  </w:pPr>
                  <w:r>
                    <w:rPr>
                      <w:color w:val="auto"/>
                      <w:kern w:val="0"/>
                      <w:sz w:val="21"/>
                      <w:szCs w:val="21"/>
                    </w:rPr>
                    <w:t>反铲挖掘机</w:t>
                  </w:r>
                </w:p>
              </w:tc>
              <w:tc>
                <w:tcPr>
                  <w:tcW w:w="1669" w:type="pct"/>
                  <w:tcBorders>
                    <w:tl2br w:val="nil"/>
                    <w:tr2bl w:val="nil"/>
                  </w:tcBorders>
                  <w:vAlign w:val="center"/>
                </w:tcPr>
                <w:p w14:paraId="29D61BDE">
                  <w:pPr>
                    <w:widowControl/>
                    <w:adjustRightInd w:val="0"/>
                    <w:snapToGrid w:val="0"/>
                    <w:spacing w:line="240" w:lineRule="auto"/>
                    <w:ind w:firstLine="0" w:firstLineChars="0"/>
                    <w:jc w:val="center"/>
                    <w:rPr>
                      <w:color w:val="auto"/>
                      <w:kern w:val="0"/>
                      <w:sz w:val="21"/>
                      <w:szCs w:val="21"/>
                    </w:rPr>
                  </w:pPr>
                  <w:r>
                    <w:rPr>
                      <w:color w:val="auto"/>
                      <w:kern w:val="0"/>
                      <w:sz w:val="21"/>
                      <w:szCs w:val="21"/>
                    </w:rPr>
                    <w:t>86</w:t>
                  </w:r>
                </w:p>
              </w:tc>
            </w:tr>
            <w:tr w14:paraId="6392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restart"/>
                  <w:tcBorders>
                    <w:tl2br w:val="nil"/>
                    <w:tr2bl w:val="nil"/>
                  </w:tcBorders>
                  <w:vAlign w:val="center"/>
                </w:tcPr>
                <w:p w14:paraId="5E59BFE4">
                  <w:pPr>
                    <w:widowControl/>
                    <w:adjustRightInd w:val="0"/>
                    <w:snapToGrid w:val="0"/>
                    <w:spacing w:line="240" w:lineRule="auto"/>
                    <w:ind w:firstLine="0" w:firstLineChars="0"/>
                    <w:jc w:val="center"/>
                    <w:rPr>
                      <w:color w:val="auto"/>
                      <w:kern w:val="0"/>
                      <w:sz w:val="21"/>
                      <w:szCs w:val="21"/>
                    </w:rPr>
                  </w:pPr>
                  <w:r>
                    <w:rPr>
                      <w:color w:val="auto"/>
                      <w:kern w:val="0"/>
                      <w:sz w:val="21"/>
                      <w:szCs w:val="21"/>
                    </w:rPr>
                    <w:t>基础施工阶段</w:t>
                  </w:r>
                </w:p>
              </w:tc>
              <w:tc>
                <w:tcPr>
                  <w:tcW w:w="1793" w:type="pct"/>
                  <w:tcBorders>
                    <w:tl2br w:val="nil"/>
                    <w:tr2bl w:val="nil"/>
                  </w:tcBorders>
                  <w:vAlign w:val="center"/>
                </w:tcPr>
                <w:p w14:paraId="342367E5">
                  <w:pPr>
                    <w:widowControl/>
                    <w:adjustRightInd w:val="0"/>
                    <w:snapToGrid w:val="0"/>
                    <w:spacing w:line="240" w:lineRule="auto"/>
                    <w:ind w:firstLine="0" w:firstLineChars="0"/>
                    <w:jc w:val="center"/>
                    <w:rPr>
                      <w:color w:val="auto"/>
                      <w:kern w:val="0"/>
                      <w:sz w:val="21"/>
                      <w:szCs w:val="21"/>
                    </w:rPr>
                  </w:pPr>
                  <w:r>
                    <w:rPr>
                      <w:rFonts w:hint="eastAsia"/>
                      <w:color w:val="auto"/>
                      <w:kern w:val="0"/>
                      <w:sz w:val="21"/>
                      <w:szCs w:val="21"/>
                    </w:rPr>
                    <w:t>打桩机</w:t>
                  </w:r>
                </w:p>
              </w:tc>
              <w:tc>
                <w:tcPr>
                  <w:tcW w:w="1669" w:type="pct"/>
                  <w:tcBorders>
                    <w:tl2br w:val="nil"/>
                    <w:tr2bl w:val="nil"/>
                  </w:tcBorders>
                  <w:vAlign w:val="center"/>
                </w:tcPr>
                <w:p w14:paraId="4D557C68">
                  <w:pPr>
                    <w:widowControl/>
                    <w:adjustRightInd w:val="0"/>
                    <w:snapToGrid w:val="0"/>
                    <w:spacing w:line="240" w:lineRule="auto"/>
                    <w:ind w:firstLine="0" w:firstLineChars="0"/>
                    <w:jc w:val="center"/>
                    <w:rPr>
                      <w:color w:val="auto"/>
                      <w:kern w:val="0"/>
                      <w:sz w:val="21"/>
                      <w:szCs w:val="21"/>
                    </w:rPr>
                  </w:pPr>
                  <w:r>
                    <w:rPr>
                      <w:rFonts w:hint="eastAsia"/>
                      <w:color w:val="auto"/>
                      <w:kern w:val="0"/>
                      <w:sz w:val="21"/>
                      <w:szCs w:val="21"/>
                    </w:rPr>
                    <w:t>100</w:t>
                  </w:r>
                </w:p>
              </w:tc>
            </w:tr>
            <w:tr w14:paraId="1898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continue"/>
                  <w:tcBorders>
                    <w:tl2br w:val="nil"/>
                    <w:tr2bl w:val="nil"/>
                  </w:tcBorders>
                  <w:vAlign w:val="center"/>
                </w:tcPr>
                <w:p w14:paraId="03B1CA8D">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56B44469">
                  <w:pPr>
                    <w:widowControl/>
                    <w:adjustRightInd w:val="0"/>
                    <w:snapToGrid w:val="0"/>
                    <w:spacing w:line="240" w:lineRule="auto"/>
                    <w:ind w:firstLine="0" w:firstLineChars="0"/>
                    <w:jc w:val="center"/>
                    <w:rPr>
                      <w:color w:val="auto"/>
                      <w:kern w:val="0"/>
                      <w:sz w:val="21"/>
                      <w:szCs w:val="21"/>
                    </w:rPr>
                  </w:pPr>
                  <w:r>
                    <w:rPr>
                      <w:rFonts w:hint="eastAsia"/>
                      <w:color w:val="auto"/>
                      <w:kern w:val="0"/>
                      <w:sz w:val="21"/>
                      <w:szCs w:val="21"/>
                    </w:rPr>
                    <w:t>钻孔器</w:t>
                  </w:r>
                </w:p>
              </w:tc>
              <w:tc>
                <w:tcPr>
                  <w:tcW w:w="1669" w:type="pct"/>
                  <w:tcBorders>
                    <w:tl2br w:val="nil"/>
                    <w:tr2bl w:val="nil"/>
                  </w:tcBorders>
                  <w:vAlign w:val="center"/>
                </w:tcPr>
                <w:p w14:paraId="5CB14B08">
                  <w:pPr>
                    <w:widowControl/>
                    <w:adjustRightInd w:val="0"/>
                    <w:snapToGrid w:val="0"/>
                    <w:spacing w:line="240" w:lineRule="auto"/>
                    <w:ind w:firstLine="0" w:firstLineChars="0"/>
                    <w:jc w:val="center"/>
                    <w:rPr>
                      <w:color w:val="auto"/>
                      <w:kern w:val="0"/>
                      <w:sz w:val="21"/>
                      <w:szCs w:val="21"/>
                    </w:rPr>
                  </w:pPr>
                  <w:r>
                    <w:rPr>
                      <w:rFonts w:hint="eastAsia"/>
                      <w:color w:val="auto"/>
                      <w:kern w:val="0"/>
                      <w:sz w:val="21"/>
                      <w:szCs w:val="21"/>
                    </w:rPr>
                    <w:t>82</w:t>
                  </w:r>
                </w:p>
              </w:tc>
            </w:tr>
            <w:tr w14:paraId="1AB2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continue"/>
                  <w:tcBorders>
                    <w:tl2br w:val="nil"/>
                    <w:tr2bl w:val="nil"/>
                  </w:tcBorders>
                  <w:vAlign w:val="center"/>
                </w:tcPr>
                <w:p w14:paraId="27847A34">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2050F05D">
                  <w:pPr>
                    <w:widowControl/>
                    <w:adjustRightInd w:val="0"/>
                    <w:snapToGrid w:val="0"/>
                    <w:spacing w:line="240" w:lineRule="auto"/>
                    <w:ind w:firstLine="0" w:firstLineChars="0"/>
                    <w:jc w:val="center"/>
                    <w:rPr>
                      <w:color w:val="auto"/>
                      <w:kern w:val="0"/>
                      <w:sz w:val="21"/>
                      <w:szCs w:val="21"/>
                    </w:rPr>
                  </w:pPr>
                  <w:r>
                    <w:rPr>
                      <w:color w:val="auto"/>
                      <w:kern w:val="0"/>
                      <w:sz w:val="21"/>
                      <w:szCs w:val="21"/>
                    </w:rPr>
                    <w:t>手风钻</w:t>
                  </w:r>
                </w:p>
              </w:tc>
              <w:tc>
                <w:tcPr>
                  <w:tcW w:w="1669" w:type="pct"/>
                  <w:tcBorders>
                    <w:tl2br w:val="nil"/>
                    <w:tr2bl w:val="nil"/>
                  </w:tcBorders>
                  <w:vAlign w:val="center"/>
                </w:tcPr>
                <w:p w14:paraId="5C21E099">
                  <w:pPr>
                    <w:widowControl/>
                    <w:adjustRightInd w:val="0"/>
                    <w:snapToGrid w:val="0"/>
                    <w:spacing w:line="240" w:lineRule="auto"/>
                    <w:ind w:firstLine="0" w:firstLineChars="0"/>
                    <w:jc w:val="center"/>
                    <w:rPr>
                      <w:color w:val="auto"/>
                      <w:kern w:val="0"/>
                      <w:sz w:val="21"/>
                      <w:szCs w:val="21"/>
                    </w:rPr>
                  </w:pPr>
                  <w:r>
                    <w:rPr>
                      <w:rFonts w:hint="eastAsia"/>
                      <w:color w:val="auto"/>
                      <w:kern w:val="0"/>
                      <w:sz w:val="21"/>
                      <w:szCs w:val="21"/>
                    </w:rPr>
                    <w:t>95</w:t>
                  </w:r>
                </w:p>
              </w:tc>
            </w:tr>
            <w:tr w14:paraId="7176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continue"/>
                  <w:tcBorders>
                    <w:tl2br w:val="nil"/>
                    <w:tr2bl w:val="nil"/>
                  </w:tcBorders>
                  <w:vAlign w:val="center"/>
                </w:tcPr>
                <w:p w14:paraId="404E8405">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1F2B7801">
                  <w:pPr>
                    <w:widowControl/>
                    <w:adjustRightInd w:val="0"/>
                    <w:snapToGrid w:val="0"/>
                    <w:spacing w:line="240" w:lineRule="auto"/>
                    <w:ind w:firstLine="0" w:firstLineChars="0"/>
                    <w:jc w:val="center"/>
                    <w:rPr>
                      <w:color w:val="auto"/>
                      <w:kern w:val="0"/>
                      <w:sz w:val="21"/>
                      <w:szCs w:val="21"/>
                    </w:rPr>
                  </w:pPr>
                  <w:r>
                    <w:rPr>
                      <w:color w:val="auto"/>
                      <w:kern w:val="0"/>
                      <w:sz w:val="21"/>
                      <w:szCs w:val="21"/>
                    </w:rPr>
                    <w:t>振动打夯机</w:t>
                  </w:r>
                </w:p>
              </w:tc>
              <w:tc>
                <w:tcPr>
                  <w:tcW w:w="1669" w:type="pct"/>
                  <w:tcBorders>
                    <w:tl2br w:val="nil"/>
                    <w:tr2bl w:val="nil"/>
                  </w:tcBorders>
                  <w:vAlign w:val="center"/>
                </w:tcPr>
                <w:p w14:paraId="61A77D14">
                  <w:pPr>
                    <w:widowControl/>
                    <w:adjustRightInd w:val="0"/>
                    <w:snapToGrid w:val="0"/>
                    <w:spacing w:line="240" w:lineRule="auto"/>
                    <w:ind w:firstLine="0" w:firstLineChars="0"/>
                    <w:jc w:val="center"/>
                    <w:rPr>
                      <w:color w:val="auto"/>
                      <w:kern w:val="0"/>
                      <w:sz w:val="21"/>
                      <w:szCs w:val="21"/>
                    </w:rPr>
                  </w:pPr>
                  <w:r>
                    <w:rPr>
                      <w:color w:val="auto"/>
                      <w:kern w:val="0"/>
                      <w:sz w:val="21"/>
                      <w:szCs w:val="21"/>
                    </w:rPr>
                    <w:t>75</w:t>
                  </w:r>
                </w:p>
              </w:tc>
            </w:tr>
            <w:tr w14:paraId="0E4D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continue"/>
                  <w:tcBorders>
                    <w:tl2br w:val="nil"/>
                    <w:tr2bl w:val="nil"/>
                  </w:tcBorders>
                  <w:vAlign w:val="center"/>
                </w:tcPr>
                <w:p w14:paraId="6103B548">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664E6B4A">
                  <w:pPr>
                    <w:widowControl/>
                    <w:adjustRightInd w:val="0"/>
                    <w:snapToGrid w:val="0"/>
                    <w:spacing w:line="240" w:lineRule="auto"/>
                    <w:ind w:firstLine="0" w:firstLineChars="0"/>
                    <w:jc w:val="center"/>
                    <w:rPr>
                      <w:color w:val="auto"/>
                      <w:kern w:val="0"/>
                      <w:sz w:val="21"/>
                      <w:szCs w:val="21"/>
                    </w:rPr>
                  </w:pPr>
                  <w:r>
                    <w:rPr>
                      <w:color w:val="auto"/>
                      <w:kern w:val="0"/>
                      <w:sz w:val="21"/>
                      <w:szCs w:val="21"/>
                    </w:rPr>
                    <w:t>空压机</w:t>
                  </w:r>
                </w:p>
              </w:tc>
              <w:tc>
                <w:tcPr>
                  <w:tcW w:w="1669" w:type="pct"/>
                  <w:tcBorders>
                    <w:tl2br w:val="nil"/>
                    <w:tr2bl w:val="nil"/>
                  </w:tcBorders>
                  <w:vAlign w:val="center"/>
                </w:tcPr>
                <w:p w14:paraId="6976D171">
                  <w:pPr>
                    <w:widowControl/>
                    <w:adjustRightInd w:val="0"/>
                    <w:snapToGrid w:val="0"/>
                    <w:spacing w:line="240" w:lineRule="auto"/>
                    <w:ind w:firstLine="0" w:firstLineChars="0"/>
                    <w:jc w:val="center"/>
                    <w:rPr>
                      <w:color w:val="auto"/>
                      <w:kern w:val="0"/>
                      <w:sz w:val="21"/>
                      <w:szCs w:val="21"/>
                    </w:rPr>
                  </w:pPr>
                  <w:r>
                    <w:rPr>
                      <w:rFonts w:hint="eastAsia"/>
                      <w:color w:val="auto"/>
                      <w:kern w:val="0"/>
                      <w:sz w:val="21"/>
                      <w:szCs w:val="21"/>
                    </w:rPr>
                    <w:t>96</w:t>
                  </w:r>
                </w:p>
              </w:tc>
            </w:tr>
            <w:tr w14:paraId="6AD4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restart"/>
                  <w:tcBorders>
                    <w:tl2br w:val="nil"/>
                    <w:tr2bl w:val="nil"/>
                  </w:tcBorders>
                  <w:vAlign w:val="center"/>
                </w:tcPr>
                <w:p w14:paraId="5BD3BD9D">
                  <w:pPr>
                    <w:widowControl/>
                    <w:adjustRightInd w:val="0"/>
                    <w:snapToGrid w:val="0"/>
                    <w:spacing w:line="240" w:lineRule="auto"/>
                    <w:ind w:firstLine="0" w:firstLineChars="0"/>
                    <w:jc w:val="center"/>
                    <w:rPr>
                      <w:color w:val="auto"/>
                      <w:kern w:val="0"/>
                      <w:sz w:val="21"/>
                      <w:szCs w:val="21"/>
                    </w:rPr>
                  </w:pPr>
                  <w:r>
                    <w:rPr>
                      <w:color w:val="auto"/>
                      <w:kern w:val="0"/>
                      <w:sz w:val="21"/>
                      <w:szCs w:val="21"/>
                    </w:rPr>
                    <w:t>主体建设及配套设施建设阶段</w:t>
                  </w:r>
                </w:p>
              </w:tc>
              <w:tc>
                <w:tcPr>
                  <w:tcW w:w="1793" w:type="pct"/>
                  <w:tcBorders>
                    <w:tl2br w:val="nil"/>
                    <w:tr2bl w:val="nil"/>
                  </w:tcBorders>
                  <w:vAlign w:val="center"/>
                </w:tcPr>
                <w:p w14:paraId="651E06E0">
                  <w:pPr>
                    <w:widowControl/>
                    <w:adjustRightInd w:val="0"/>
                    <w:snapToGrid w:val="0"/>
                    <w:spacing w:line="240" w:lineRule="auto"/>
                    <w:ind w:firstLine="0" w:firstLineChars="0"/>
                    <w:jc w:val="center"/>
                    <w:rPr>
                      <w:color w:val="auto"/>
                      <w:kern w:val="0"/>
                      <w:sz w:val="21"/>
                      <w:szCs w:val="21"/>
                    </w:rPr>
                  </w:pPr>
                  <w:r>
                    <w:rPr>
                      <w:color w:val="auto"/>
                      <w:kern w:val="0"/>
                      <w:sz w:val="21"/>
                      <w:szCs w:val="21"/>
                    </w:rPr>
                    <w:t>混凝土插入式振动器</w:t>
                  </w:r>
                </w:p>
              </w:tc>
              <w:tc>
                <w:tcPr>
                  <w:tcW w:w="1669" w:type="pct"/>
                  <w:tcBorders>
                    <w:tl2br w:val="nil"/>
                    <w:tr2bl w:val="nil"/>
                  </w:tcBorders>
                  <w:vAlign w:val="center"/>
                </w:tcPr>
                <w:p w14:paraId="4BFAAD38">
                  <w:pPr>
                    <w:widowControl/>
                    <w:adjustRightInd w:val="0"/>
                    <w:snapToGrid w:val="0"/>
                    <w:spacing w:line="240" w:lineRule="auto"/>
                    <w:ind w:firstLine="0" w:firstLineChars="0"/>
                    <w:jc w:val="center"/>
                    <w:rPr>
                      <w:color w:val="auto"/>
                      <w:kern w:val="0"/>
                      <w:sz w:val="21"/>
                      <w:szCs w:val="21"/>
                    </w:rPr>
                  </w:pPr>
                  <w:r>
                    <w:rPr>
                      <w:color w:val="auto"/>
                      <w:kern w:val="0"/>
                      <w:sz w:val="21"/>
                      <w:szCs w:val="21"/>
                    </w:rPr>
                    <w:t>83</w:t>
                  </w:r>
                </w:p>
              </w:tc>
            </w:tr>
            <w:tr w14:paraId="59E9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continue"/>
                  <w:tcBorders>
                    <w:tl2br w:val="nil"/>
                    <w:tr2bl w:val="nil"/>
                  </w:tcBorders>
                  <w:vAlign w:val="center"/>
                </w:tcPr>
                <w:p w14:paraId="672DE4DD">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66B1D7D0">
                  <w:pPr>
                    <w:widowControl/>
                    <w:adjustRightInd w:val="0"/>
                    <w:snapToGrid w:val="0"/>
                    <w:spacing w:line="240" w:lineRule="auto"/>
                    <w:ind w:firstLine="0" w:firstLineChars="0"/>
                    <w:jc w:val="center"/>
                    <w:rPr>
                      <w:color w:val="auto"/>
                      <w:kern w:val="0"/>
                      <w:sz w:val="21"/>
                      <w:szCs w:val="21"/>
                    </w:rPr>
                  </w:pPr>
                  <w:r>
                    <w:rPr>
                      <w:color w:val="auto"/>
                      <w:kern w:val="0"/>
                      <w:sz w:val="21"/>
                      <w:szCs w:val="21"/>
                    </w:rPr>
                    <w:t>电锯</w:t>
                  </w:r>
                </w:p>
              </w:tc>
              <w:tc>
                <w:tcPr>
                  <w:tcW w:w="1669" w:type="pct"/>
                  <w:tcBorders>
                    <w:tl2br w:val="nil"/>
                    <w:tr2bl w:val="nil"/>
                  </w:tcBorders>
                  <w:vAlign w:val="center"/>
                </w:tcPr>
                <w:p w14:paraId="4FB1251F">
                  <w:pPr>
                    <w:widowControl/>
                    <w:adjustRightInd w:val="0"/>
                    <w:snapToGrid w:val="0"/>
                    <w:spacing w:line="240" w:lineRule="auto"/>
                    <w:ind w:firstLine="0" w:firstLineChars="0"/>
                    <w:jc w:val="center"/>
                    <w:rPr>
                      <w:color w:val="auto"/>
                      <w:kern w:val="0"/>
                      <w:sz w:val="21"/>
                      <w:szCs w:val="21"/>
                    </w:rPr>
                  </w:pPr>
                  <w:r>
                    <w:rPr>
                      <w:rFonts w:hint="eastAsia"/>
                      <w:color w:val="auto"/>
                      <w:kern w:val="0"/>
                      <w:sz w:val="21"/>
                      <w:szCs w:val="21"/>
                    </w:rPr>
                    <w:t>100</w:t>
                  </w:r>
                </w:p>
              </w:tc>
            </w:tr>
            <w:tr w14:paraId="364F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restart"/>
                  <w:tcBorders>
                    <w:tl2br w:val="nil"/>
                    <w:tr2bl w:val="nil"/>
                  </w:tcBorders>
                  <w:vAlign w:val="center"/>
                </w:tcPr>
                <w:p w14:paraId="000017DC">
                  <w:pPr>
                    <w:widowControl/>
                    <w:adjustRightInd w:val="0"/>
                    <w:snapToGrid w:val="0"/>
                    <w:spacing w:line="240" w:lineRule="auto"/>
                    <w:ind w:firstLine="0" w:firstLineChars="0"/>
                    <w:jc w:val="center"/>
                    <w:rPr>
                      <w:color w:val="auto"/>
                      <w:kern w:val="0"/>
                      <w:sz w:val="21"/>
                      <w:szCs w:val="21"/>
                    </w:rPr>
                  </w:pPr>
                  <w:r>
                    <w:rPr>
                      <w:color w:val="auto"/>
                      <w:kern w:val="0"/>
                      <w:sz w:val="21"/>
                      <w:szCs w:val="21"/>
                    </w:rPr>
                    <w:t>安装、装修阶段</w:t>
                  </w:r>
                </w:p>
              </w:tc>
              <w:tc>
                <w:tcPr>
                  <w:tcW w:w="1793" w:type="pct"/>
                  <w:tcBorders>
                    <w:tl2br w:val="nil"/>
                    <w:tr2bl w:val="nil"/>
                  </w:tcBorders>
                  <w:vAlign w:val="center"/>
                </w:tcPr>
                <w:p w14:paraId="1EA01263">
                  <w:pPr>
                    <w:widowControl/>
                    <w:adjustRightInd w:val="0"/>
                    <w:snapToGrid w:val="0"/>
                    <w:spacing w:line="240" w:lineRule="auto"/>
                    <w:ind w:firstLine="0" w:firstLineChars="0"/>
                    <w:jc w:val="center"/>
                    <w:rPr>
                      <w:color w:val="auto"/>
                      <w:kern w:val="0"/>
                      <w:sz w:val="21"/>
                      <w:szCs w:val="21"/>
                    </w:rPr>
                  </w:pPr>
                  <w:r>
                    <w:rPr>
                      <w:color w:val="auto"/>
                      <w:kern w:val="0"/>
                      <w:sz w:val="21"/>
                      <w:szCs w:val="21"/>
                    </w:rPr>
                    <w:t>液压升降小车</w:t>
                  </w:r>
                </w:p>
              </w:tc>
              <w:tc>
                <w:tcPr>
                  <w:tcW w:w="1669" w:type="pct"/>
                  <w:tcBorders>
                    <w:tl2br w:val="nil"/>
                    <w:tr2bl w:val="nil"/>
                  </w:tcBorders>
                  <w:vAlign w:val="center"/>
                </w:tcPr>
                <w:p w14:paraId="7DEE3408">
                  <w:pPr>
                    <w:widowControl/>
                    <w:adjustRightInd w:val="0"/>
                    <w:snapToGrid w:val="0"/>
                    <w:spacing w:line="240" w:lineRule="auto"/>
                    <w:ind w:firstLine="0" w:firstLineChars="0"/>
                    <w:jc w:val="center"/>
                    <w:rPr>
                      <w:color w:val="auto"/>
                      <w:kern w:val="0"/>
                      <w:sz w:val="21"/>
                      <w:szCs w:val="21"/>
                    </w:rPr>
                  </w:pPr>
                  <w:r>
                    <w:rPr>
                      <w:color w:val="auto"/>
                      <w:kern w:val="0"/>
                      <w:sz w:val="21"/>
                      <w:szCs w:val="21"/>
                    </w:rPr>
                    <w:t>75</w:t>
                  </w:r>
                </w:p>
              </w:tc>
            </w:tr>
            <w:tr w14:paraId="7D83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continue"/>
                  <w:tcBorders>
                    <w:tl2br w:val="nil"/>
                    <w:tr2bl w:val="nil"/>
                  </w:tcBorders>
                  <w:vAlign w:val="center"/>
                </w:tcPr>
                <w:p w14:paraId="14221451">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7A7228C3">
                  <w:pPr>
                    <w:widowControl/>
                    <w:adjustRightInd w:val="0"/>
                    <w:snapToGrid w:val="0"/>
                    <w:spacing w:line="240" w:lineRule="auto"/>
                    <w:ind w:firstLine="0" w:firstLineChars="0"/>
                    <w:jc w:val="center"/>
                    <w:rPr>
                      <w:color w:val="auto"/>
                      <w:kern w:val="0"/>
                      <w:sz w:val="21"/>
                      <w:szCs w:val="21"/>
                    </w:rPr>
                  </w:pPr>
                  <w:r>
                    <w:rPr>
                      <w:color w:val="auto"/>
                      <w:kern w:val="0"/>
                      <w:sz w:val="21"/>
                      <w:szCs w:val="21"/>
                    </w:rPr>
                    <w:t>手工电弧焊机</w:t>
                  </w:r>
                </w:p>
              </w:tc>
              <w:tc>
                <w:tcPr>
                  <w:tcW w:w="1669" w:type="pct"/>
                  <w:tcBorders>
                    <w:tl2br w:val="nil"/>
                    <w:tr2bl w:val="nil"/>
                  </w:tcBorders>
                  <w:vAlign w:val="center"/>
                </w:tcPr>
                <w:p w14:paraId="0892A9AB">
                  <w:pPr>
                    <w:widowControl/>
                    <w:adjustRightInd w:val="0"/>
                    <w:snapToGrid w:val="0"/>
                    <w:spacing w:line="240" w:lineRule="auto"/>
                    <w:ind w:firstLine="0" w:firstLineChars="0"/>
                    <w:jc w:val="center"/>
                    <w:rPr>
                      <w:color w:val="auto"/>
                      <w:kern w:val="0"/>
                      <w:sz w:val="21"/>
                      <w:szCs w:val="21"/>
                    </w:rPr>
                  </w:pPr>
                  <w:r>
                    <w:rPr>
                      <w:color w:val="auto"/>
                      <w:kern w:val="0"/>
                      <w:sz w:val="21"/>
                      <w:szCs w:val="21"/>
                    </w:rPr>
                    <w:t>65</w:t>
                  </w:r>
                </w:p>
              </w:tc>
            </w:tr>
            <w:tr w14:paraId="3A02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538" w:type="pct"/>
                  <w:vMerge w:val="continue"/>
                  <w:tcBorders>
                    <w:tl2br w:val="nil"/>
                    <w:tr2bl w:val="nil"/>
                  </w:tcBorders>
                  <w:vAlign w:val="center"/>
                </w:tcPr>
                <w:p w14:paraId="41FA0F7F">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31314398">
                  <w:pPr>
                    <w:widowControl/>
                    <w:adjustRightInd w:val="0"/>
                    <w:snapToGrid w:val="0"/>
                    <w:spacing w:line="240" w:lineRule="auto"/>
                    <w:ind w:firstLine="0" w:firstLineChars="0"/>
                    <w:jc w:val="center"/>
                    <w:rPr>
                      <w:color w:val="auto"/>
                      <w:kern w:val="0"/>
                      <w:sz w:val="21"/>
                      <w:szCs w:val="21"/>
                    </w:rPr>
                  </w:pPr>
                  <w:r>
                    <w:rPr>
                      <w:color w:val="auto"/>
                      <w:kern w:val="0"/>
                      <w:sz w:val="21"/>
                      <w:szCs w:val="21"/>
                    </w:rPr>
                    <w:t>砂轮机</w:t>
                  </w:r>
                </w:p>
              </w:tc>
              <w:tc>
                <w:tcPr>
                  <w:tcW w:w="1669" w:type="pct"/>
                  <w:tcBorders>
                    <w:tl2br w:val="nil"/>
                    <w:tr2bl w:val="nil"/>
                  </w:tcBorders>
                  <w:vAlign w:val="center"/>
                </w:tcPr>
                <w:p w14:paraId="49FAEA7F">
                  <w:pPr>
                    <w:widowControl/>
                    <w:adjustRightInd w:val="0"/>
                    <w:snapToGrid w:val="0"/>
                    <w:spacing w:line="240" w:lineRule="auto"/>
                    <w:ind w:firstLine="0" w:firstLineChars="0"/>
                    <w:jc w:val="center"/>
                    <w:rPr>
                      <w:color w:val="auto"/>
                      <w:kern w:val="0"/>
                      <w:sz w:val="21"/>
                      <w:szCs w:val="21"/>
                    </w:rPr>
                  </w:pPr>
                  <w:r>
                    <w:rPr>
                      <w:color w:val="auto"/>
                      <w:kern w:val="0"/>
                      <w:sz w:val="21"/>
                      <w:szCs w:val="21"/>
                    </w:rPr>
                    <w:t>88</w:t>
                  </w:r>
                </w:p>
              </w:tc>
            </w:tr>
            <w:tr w14:paraId="61C3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continue"/>
                  <w:tcBorders>
                    <w:tl2br w:val="nil"/>
                    <w:tr2bl w:val="nil"/>
                  </w:tcBorders>
                  <w:vAlign w:val="center"/>
                </w:tcPr>
                <w:p w14:paraId="1B6C8572">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2D481732">
                  <w:pPr>
                    <w:widowControl/>
                    <w:adjustRightInd w:val="0"/>
                    <w:snapToGrid w:val="0"/>
                    <w:spacing w:line="240" w:lineRule="auto"/>
                    <w:ind w:firstLine="0" w:firstLineChars="0"/>
                    <w:jc w:val="center"/>
                    <w:rPr>
                      <w:color w:val="auto"/>
                      <w:kern w:val="0"/>
                      <w:sz w:val="21"/>
                      <w:szCs w:val="21"/>
                    </w:rPr>
                  </w:pPr>
                  <w:r>
                    <w:rPr>
                      <w:color w:val="auto"/>
                      <w:kern w:val="0"/>
                      <w:sz w:val="21"/>
                      <w:szCs w:val="21"/>
                    </w:rPr>
                    <w:t>木工园锯机</w:t>
                  </w:r>
                </w:p>
              </w:tc>
              <w:tc>
                <w:tcPr>
                  <w:tcW w:w="1669" w:type="pct"/>
                  <w:tcBorders>
                    <w:tl2br w:val="nil"/>
                    <w:tr2bl w:val="nil"/>
                  </w:tcBorders>
                  <w:vAlign w:val="center"/>
                </w:tcPr>
                <w:p w14:paraId="41AE9628">
                  <w:pPr>
                    <w:widowControl/>
                    <w:adjustRightInd w:val="0"/>
                    <w:snapToGrid w:val="0"/>
                    <w:spacing w:line="240" w:lineRule="auto"/>
                    <w:ind w:firstLine="0" w:firstLineChars="0"/>
                    <w:jc w:val="center"/>
                    <w:rPr>
                      <w:color w:val="auto"/>
                      <w:kern w:val="0"/>
                      <w:sz w:val="21"/>
                      <w:szCs w:val="21"/>
                    </w:rPr>
                  </w:pPr>
                  <w:r>
                    <w:rPr>
                      <w:color w:val="auto"/>
                      <w:kern w:val="0"/>
                      <w:sz w:val="21"/>
                      <w:szCs w:val="21"/>
                    </w:rPr>
                    <w:t>84</w:t>
                  </w:r>
                </w:p>
              </w:tc>
            </w:tr>
            <w:tr w14:paraId="016F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continue"/>
                  <w:tcBorders>
                    <w:tl2br w:val="nil"/>
                    <w:tr2bl w:val="nil"/>
                  </w:tcBorders>
                  <w:vAlign w:val="center"/>
                </w:tcPr>
                <w:p w14:paraId="1D0095C2">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3A7DE48E">
                  <w:pPr>
                    <w:widowControl/>
                    <w:adjustRightInd w:val="0"/>
                    <w:snapToGrid w:val="0"/>
                    <w:spacing w:line="240" w:lineRule="auto"/>
                    <w:ind w:firstLine="0" w:firstLineChars="0"/>
                    <w:jc w:val="center"/>
                    <w:rPr>
                      <w:color w:val="auto"/>
                      <w:kern w:val="0"/>
                      <w:sz w:val="21"/>
                      <w:szCs w:val="21"/>
                    </w:rPr>
                  </w:pPr>
                  <w:r>
                    <w:rPr>
                      <w:color w:val="auto"/>
                      <w:kern w:val="0"/>
                      <w:sz w:val="21"/>
                      <w:szCs w:val="21"/>
                    </w:rPr>
                    <w:t>电钻</w:t>
                  </w:r>
                </w:p>
              </w:tc>
              <w:tc>
                <w:tcPr>
                  <w:tcW w:w="1669" w:type="pct"/>
                  <w:tcBorders>
                    <w:tl2br w:val="nil"/>
                    <w:tr2bl w:val="nil"/>
                  </w:tcBorders>
                  <w:vAlign w:val="center"/>
                </w:tcPr>
                <w:p w14:paraId="0AB5F474">
                  <w:pPr>
                    <w:widowControl/>
                    <w:adjustRightInd w:val="0"/>
                    <w:snapToGrid w:val="0"/>
                    <w:spacing w:line="240" w:lineRule="auto"/>
                    <w:ind w:firstLine="0" w:firstLineChars="0"/>
                    <w:jc w:val="center"/>
                    <w:rPr>
                      <w:color w:val="auto"/>
                      <w:kern w:val="0"/>
                      <w:sz w:val="21"/>
                      <w:szCs w:val="21"/>
                    </w:rPr>
                  </w:pPr>
                  <w:r>
                    <w:rPr>
                      <w:rFonts w:hint="eastAsia"/>
                      <w:color w:val="auto"/>
                      <w:kern w:val="0"/>
                      <w:sz w:val="21"/>
                      <w:szCs w:val="21"/>
                    </w:rPr>
                    <w:t>100</w:t>
                  </w:r>
                </w:p>
              </w:tc>
            </w:tr>
            <w:tr w14:paraId="39A8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538" w:type="pct"/>
                  <w:vMerge w:val="continue"/>
                  <w:tcBorders>
                    <w:tl2br w:val="nil"/>
                    <w:tr2bl w:val="nil"/>
                  </w:tcBorders>
                  <w:vAlign w:val="center"/>
                </w:tcPr>
                <w:p w14:paraId="38A357E1">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6D6F1C18">
                  <w:pPr>
                    <w:widowControl/>
                    <w:adjustRightInd w:val="0"/>
                    <w:snapToGrid w:val="0"/>
                    <w:spacing w:line="240" w:lineRule="auto"/>
                    <w:ind w:firstLine="0" w:firstLineChars="0"/>
                    <w:jc w:val="center"/>
                    <w:rPr>
                      <w:color w:val="auto"/>
                      <w:kern w:val="0"/>
                      <w:sz w:val="21"/>
                      <w:szCs w:val="21"/>
                    </w:rPr>
                  </w:pPr>
                  <w:r>
                    <w:rPr>
                      <w:color w:val="auto"/>
                      <w:kern w:val="0"/>
                      <w:sz w:val="21"/>
                      <w:szCs w:val="21"/>
                    </w:rPr>
                    <w:t>切割机</w:t>
                  </w:r>
                </w:p>
              </w:tc>
              <w:tc>
                <w:tcPr>
                  <w:tcW w:w="1669" w:type="pct"/>
                  <w:tcBorders>
                    <w:tl2br w:val="nil"/>
                    <w:tr2bl w:val="nil"/>
                  </w:tcBorders>
                  <w:vAlign w:val="center"/>
                </w:tcPr>
                <w:p w14:paraId="5A95A35A">
                  <w:pPr>
                    <w:widowControl/>
                    <w:adjustRightInd w:val="0"/>
                    <w:snapToGrid w:val="0"/>
                    <w:spacing w:line="240" w:lineRule="auto"/>
                    <w:ind w:firstLine="0" w:firstLineChars="0"/>
                    <w:jc w:val="center"/>
                    <w:rPr>
                      <w:color w:val="auto"/>
                      <w:kern w:val="0"/>
                      <w:sz w:val="21"/>
                      <w:szCs w:val="21"/>
                    </w:rPr>
                  </w:pPr>
                  <w:r>
                    <w:rPr>
                      <w:color w:val="auto"/>
                      <w:kern w:val="0"/>
                      <w:sz w:val="21"/>
                      <w:szCs w:val="21"/>
                    </w:rPr>
                    <w:t>89</w:t>
                  </w:r>
                </w:p>
              </w:tc>
            </w:tr>
            <w:tr w14:paraId="4EB4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restart"/>
                  <w:tcBorders>
                    <w:tl2br w:val="nil"/>
                    <w:tr2bl w:val="nil"/>
                  </w:tcBorders>
                  <w:vAlign w:val="center"/>
                </w:tcPr>
                <w:p w14:paraId="14ABF707">
                  <w:pPr>
                    <w:widowControl/>
                    <w:adjustRightInd w:val="0"/>
                    <w:snapToGrid w:val="0"/>
                    <w:spacing w:line="240" w:lineRule="auto"/>
                    <w:ind w:firstLine="0" w:firstLineChars="0"/>
                    <w:jc w:val="center"/>
                    <w:rPr>
                      <w:color w:val="auto"/>
                      <w:kern w:val="0"/>
                      <w:sz w:val="21"/>
                      <w:szCs w:val="21"/>
                    </w:rPr>
                  </w:pPr>
                  <w:r>
                    <w:rPr>
                      <w:color w:val="auto"/>
                      <w:kern w:val="0"/>
                      <w:sz w:val="21"/>
                      <w:szCs w:val="21"/>
                    </w:rPr>
                    <w:t>交通运输车辆噪声</w:t>
                  </w:r>
                </w:p>
              </w:tc>
              <w:tc>
                <w:tcPr>
                  <w:tcW w:w="1793" w:type="pct"/>
                  <w:tcBorders>
                    <w:tl2br w:val="nil"/>
                    <w:tr2bl w:val="nil"/>
                  </w:tcBorders>
                  <w:vAlign w:val="center"/>
                </w:tcPr>
                <w:p w14:paraId="24308343">
                  <w:pPr>
                    <w:widowControl/>
                    <w:adjustRightInd w:val="0"/>
                    <w:snapToGrid w:val="0"/>
                    <w:spacing w:line="240" w:lineRule="auto"/>
                    <w:ind w:firstLine="0" w:firstLineChars="0"/>
                    <w:jc w:val="center"/>
                    <w:rPr>
                      <w:color w:val="auto"/>
                      <w:kern w:val="0"/>
                      <w:sz w:val="21"/>
                      <w:szCs w:val="21"/>
                    </w:rPr>
                  </w:pPr>
                  <w:r>
                    <w:rPr>
                      <w:color w:val="auto"/>
                      <w:kern w:val="0"/>
                      <w:sz w:val="21"/>
                      <w:szCs w:val="21"/>
                    </w:rPr>
                    <w:t>自卸式运输车</w:t>
                  </w:r>
                </w:p>
              </w:tc>
              <w:tc>
                <w:tcPr>
                  <w:tcW w:w="1669" w:type="pct"/>
                  <w:tcBorders>
                    <w:tl2br w:val="nil"/>
                    <w:tr2bl w:val="nil"/>
                  </w:tcBorders>
                  <w:vAlign w:val="center"/>
                </w:tcPr>
                <w:p w14:paraId="74287242">
                  <w:pPr>
                    <w:widowControl/>
                    <w:adjustRightInd w:val="0"/>
                    <w:snapToGrid w:val="0"/>
                    <w:spacing w:line="240" w:lineRule="auto"/>
                    <w:ind w:firstLine="0" w:firstLineChars="0"/>
                    <w:jc w:val="center"/>
                    <w:rPr>
                      <w:color w:val="auto"/>
                      <w:kern w:val="0"/>
                      <w:sz w:val="21"/>
                      <w:szCs w:val="21"/>
                    </w:rPr>
                  </w:pPr>
                  <w:r>
                    <w:rPr>
                      <w:color w:val="auto"/>
                      <w:kern w:val="0"/>
                      <w:sz w:val="21"/>
                      <w:szCs w:val="21"/>
                    </w:rPr>
                    <w:t>80</w:t>
                  </w:r>
                </w:p>
              </w:tc>
            </w:tr>
            <w:tr w14:paraId="6458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continue"/>
                  <w:tcBorders>
                    <w:tl2br w:val="nil"/>
                    <w:tr2bl w:val="nil"/>
                  </w:tcBorders>
                  <w:vAlign w:val="center"/>
                </w:tcPr>
                <w:p w14:paraId="77250113">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61A72B3D">
                  <w:pPr>
                    <w:widowControl/>
                    <w:adjustRightInd w:val="0"/>
                    <w:snapToGrid w:val="0"/>
                    <w:spacing w:line="240" w:lineRule="auto"/>
                    <w:ind w:firstLine="0" w:firstLineChars="0"/>
                    <w:jc w:val="center"/>
                    <w:rPr>
                      <w:color w:val="auto"/>
                      <w:kern w:val="0"/>
                      <w:sz w:val="21"/>
                      <w:szCs w:val="21"/>
                    </w:rPr>
                  </w:pPr>
                  <w:r>
                    <w:rPr>
                      <w:color w:val="auto"/>
                      <w:kern w:val="0"/>
                      <w:sz w:val="21"/>
                      <w:szCs w:val="21"/>
                    </w:rPr>
                    <w:t>压路机</w:t>
                  </w:r>
                </w:p>
              </w:tc>
              <w:tc>
                <w:tcPr>
                  <w:tcW w:w="1669" w:type="pct"/>
                  <w:tcBorders>
                    <w:tl2br w:val="nil"/>
                    <w:tr2bl w:val="nil"/>
                  </w:tcBorders>
                  <w:vAlign w:val="center"/>
                </w:tcPr>
                <w:p w14:paraId="6532AE61">
                  <w:pPr>
                    <w:widowControl/>
                    <w:adjustRightInd w:val="0"/>
                    <w:snapToGrid w:val="0"/>
                    <w:spacing w:line="240" w:lineRule="auto"/>
                    <w:ind w:firstLine="0" w:firstLineChars="0"/>
                    <w:jc w:val="center"/>
                    <w:rPr>
                      <w:color w:val="auto"/>
                      <w:kern w:val="0"/>
                      <w:sz w:val="21"/>
                      <w:szCs w:val="21"/>
                    </w:rPr>
                  </w:pPr>
                  <w:r>
                    <w:rPr>
                      <w:color w:val="auto"/>
                      <w:kern w:val="0"/>
                      <w:sz w:val="21"/>
                      <w:szCs w:val="21"/>
                    </w:rPr>
                    <w:t>81</w:t>
                  </w:r>
                </w:p>
              </w:tc>
            </w:tr>
            <w:tr w14:paraId="0B2F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continue"/>
                  <w:tcBorders>
                    <w:tl2br w:val="nil"/>
                    <w:tr2bl w:val="nil"/>
                  </w:tcBorders>
                  <w:vAlign w:val="center"/>
                </w:tcPr>
                <w:p w14:paraId="3B4AC882">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3EFAFBA4">
                  <w:pPr>
                    <w:widowControl/>
                    <w:adjustRightInd w:val="0"/>
                    <w:snapToGrid w:val="0"/>
                    <w:spacing w:line="240" w:lineRule="auto"/>
                    <w:ind w:firstLine="0" w:firstLineChars="0"/>
                    <w:jc w:val="center"/>
                    <w:rPr>
                      <w:color w:val="auto"/>
                      <w:kern w:val="0"/>
                      <w:sz w:val="21"/>
                      <w:szCs w:val="21"/>
                    </w:rPr>
                  </w:pPr>
                  <w:r>
                    <w:rPr>
                      <w:color w:val="auto"/>
                      <w:kern w:val="0"/>
                      <w:sz w:val="21"/>
                      <w:szCs w:val="21"/>
                    </w:rPr>
                    <w:t>运水车</w:t>
                  </w:r>
                </w:p>
              </w:tc>
              <w:tc>
                <w:tcPr>
                  <w:tcW w:w="1669" w:type="pct"/>
                  <w:tcBorders>
                    <w:tl2br w:val="nil"/>
                    <w:tr2bl w:val="nil"/>
                  </w:tcBorders>
                  <w:vAlign w:val="center"/>
                </w:tcPr>
                <w:p w14:paraId="3D94A94E">
                  <w:pPr>
                    <w:widowControl/>
                    <w:adjustRightInd w:val="0"/>
                    <w:snapToGrid w:val="0"/>
                    <w:spacing w:line="240" w:lineRule="auto"/>
                    <w:ind w:firstLine="0" w:firstLineChars="0"/>
                    <w:jc w:val="center"/>
                    <w:rPr>
                      <w:color w:val="auto"/>
                      <w:kern w:val="0"/>
                      <w:sz w:val="21"/>
                      <w:szCs w:val="21"/>
                    </w:rPr>
                  </w:pPr>
                  <w:r>
                    <w:rPr>
                      <w:color w:val="auto"/>
                      <w:kern w:val="0"/>
                      <w:sz w:val="21"/>
                      <w:szCs w:val="21"/>
                    </w:rPr>
                    <w:t>75</w:t>
                  </w:r>
                </w:p>
              </w:tc>
            </w:tr>
            <w:tr w14:paraId="233E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8" w:type="pct"/>
                  <w:vMerge w:val="continue"/>
                  <w:tcBorders>
                    <w:tl2br w:val="nil"/>
                    <w:tr2bl w:val="nil"/>
                  </w:tcBorders>
                  <w:vAlign w:val="center"/>
                </w:tcPr>
                <w:p w14:paraId="49228114">
                  <w:pPr>
                    <w:widowControl/>
                    <w:adjustRightInd w:val="0"/>
                    <w:snapToGrid w:val="0"/>
                    <w:spacing w:line="240" w:lineRule="auto"/>
                    <w:ind w:firstLine="0" w:firstLineChars="0"/>
                    <w:jc w:val="center"/>
                    <w:rPr>
                      <w:color w:val="auto"/>
                      <w:kern w:val="0"/>
                      <w:sz w:val="21"/>
                      <w:szCs w:val="21"/>
                    </w:rPr>
                  </w:pPr>
                </w:p>
              </w:tc>
              <w:tc>
                <w:tcPr>
                  <w:tcW w:w="1793" w:type="pct"/>
                  <w:tcBorders>
                    <w:tl2br w:val="nil"/>
                    <w:tr2bl w:val="nil"/>
                  </w:tcBorders>
                  <w:vAlign w:val="center"/>
                </w:tcPr>
                <w:p w14:paraId="4BBEC491">
                  <w:pPr>
                    <w:widowControl/>
                    <w:adjustRightInd w:val="0"/>
                    <w:snapToGrid w:val="0"/>
                    <w:spacing w:line="240" w:lineRule="auto"/>
                    <w:ind w:firstLine="0" w:firstLineChars="0"/>
                    <w:jc w:val="center"/>
                    <w:rPr>
                      <w:color w:val="auto"/>
                      <w:kern w:val="0"/>
                      <w:sz w:val="21"/>
                      <w:szCs w:val="21"/>
                    </w:rPr>
                  </w:pPr>
                  <w:r>
                    <w:rPr>
                      <w:color w:val="auto"/>
                      <w:kern w:val="0"/>
                      <w:sz w:val="21"/>
                      <w:szCs w:val="21"/>
                    </w:rPr>
                    <w:t>50T汽车吊</w:t>
                  </w:r>
                </w:p>
              </w:tc>
              <w:tc>
                <w:tcPr>
                  <w:tcW w:w="1669" w:type="pct"/>
                  <w:tcBorders>
                    <w:tl2br w:val="nil"/>
                    <w:tr2bl w:val="nil"/>
                  </w:tcBorders>
                  <w:vAlign w:val="center"/>
                </w:tcPr>
                <w:p w14:paraId="7087C285">
                  <w:pPr>
                    <w:widowControl/>
                    <w:adjustRightInd w:val="0"/>
                    <w:snapToGrid w:val="0"/>
                    <w:spacing w:line="240" w:lineRule="auto"/>
                    <w:ind w:firstLine="0" w:firstLineChars="0"/>
                    <w:jc w:val="center"/>
                    <w:rPr>
                      <w:color w:val="auto"/>
                      <w:kern w:val="0"/>
                      <w:sz w:val="21"/>
                      <w:szCs w:val="21"/>
                    </w:rPr>
                  </w:pPr>
                  <w:r>
                    <w:rPr>
                      <w:color w:val="auto"/>
                      <w:kern w:val="0"/>
                      <w:sz w:val="21"/>
                      <w:szCs w:val="21"/>
                    </w:rPr>
                    <w:t>85</w:t>
                  </w:r>
                </w:p>
              </w:tc>
            </w:tr>
          </w:tbl>
          <w:p w14:paraId="27F5596A">
            <w:pPr>
              <w:pStyle w:val="63"/>
              <w:ind w:firstLine="422"/>
              <w:rPr>
                <w:color w:val="auto"/>
                <w:szCs w:val="21"/>
              </w:rPr>
            </w:pPr>
          </w:p>
          <w:p w14:paraId="0A73F5B4">
            <w:pPr>
              <w:ind w:firstLine="482"/>
              <w:rPr>
                <w:b/>
                <w:bCs/>
                <w:color w:val="auto"/>
                <w:szCs w:val="21"/>
              </w:rPr>
            </w:pPr>
            <w:r>
              <w:rPr>
                <w:b/>
                <w:bCs/>
                <w:color w:val="auto"/>
                <w:szCs w:val="21"/>
              </w:rPr>
              <w:t>2、施工期噪声影响预测模型</w:t>
            </w:r>
          </w:p>
          <w:p w14:paraId="1DA5A4BA">
            <w:pPr>
              <w:adjustRightInd w:val="0"/>
              <w:snapToGrid w:val="0"/>
              <w:ind w:firstLine="482"/>
              <w:rPr>
                <w:b/>
                <w:bCs/>
                <w:color w:val="auto"/>
                <w:szCs w:val="21"/>
              </w:rPr>
            </w:pPr>
            <w:r>
              <w:rPr>
                <w:b/>
                <w:bCs/>
                <w:color w:val="auto"/>
                <w:szCs w:val="21"/>
              </w:rPr>
              <w:t>1）预测模型</w:t>
            </w:r>
          </w:p>
          <w:p w14:paraId="76AD3F18">
            <w:pPr>
              <w:keepNext/>
              <w:ind w:firstLine="480"/>
              <w:rPr>
                <w:color w:val="auto"/>
                <w:szCs w:val="21"/>
              </w:rPr>
            </w:pPr>
            <w:r>
              <w:rPr>
                <w:color w:val="auto"/>
                <w:szCs w:val="21"/>
              </w:rPr>
              <w:t>根据《环境影响评价技术导则声环境》（HJ2.4-20</w:t>
            </w:r>
            <w:r>
              <w:rPr>
                <w:rFonts w:hint="eastAsia"/>
                <w:color w:val="auto"/>
                <w:szCs w:val="21"/>
              </w:rPr>
              <w:t>21</w:t>
            </w:r>
            <w:r>
              <w:rPr>
                <w:color w:val="auto"/>
                <w:szCs w:val="21"/>
              </w:rPr>
              <w:t>），其预测模式如下：</w:t>
            </w:r>
          </w:p>
          <w:p w14:paraId="6F5A7F84">
            <w:pPr>
              <w:adjustRightInd w:val="0"/>
              <w:snapToGrid w:val="0"/>
              <w:ind w:firstLine="480"/>
              <w:rPr>
                <w:rFonts w:cs="Times New Roman"/>
                <w:color w:val="auto"/>
                <w:szCs w:val="21"/>
              </w:rPr>
            </w:pPr>
            <w:r>
              <w:rPr>
                <w:rFonts w:cs="Times New Roman"/>
                <w:color w:val="auto"/>
                <w:szCs w:val="21"/>
              </w:rPr>
              <w:t>距离传播衰减模式：</w:t>
            </w:r>
          </w:p>
          <w:p w14:paraId="7DDAD845">
            <w:pPr>
              <w:adjustRightInd w:val="0"/>
              <w:snapToGrid w:val="0"/>
              <w:ind w:firstLine="480"/>
              <w:jc w:val="center"/>
              <w:rPr>
                <w:rFonts w:cs="Times New Roman"/>
                <w:color w:val="auto"/>
                <w:szCs w:val="21"/>
              </w:rPr>
            </w:pPr>
            <w:r>
              <w:rPr>
                <w:rFonts w:cs="Times New Roman"/>
                <w:color w:val="auto"/>
                <w:szCs w:val="21"/>
              </w:rPr>
              <w:t>Lp（r）=Lp（r</w:t>
            </w:r>
            <w:r>
              <w:rPr>
                <w:rFonts w:cs="Times New Roman"/>
                <w:color w:val="auto"/>
                <w:szCs w:val="21"/>
                <w:vertAlign w:val="subscript"/>
              </w:rPr>
              <w:t>0</w:t>
            </w:r>
            <w:r>
              <w:rPr>
                <w:rFonts w:cs="Times New Roman"/>
                <w:color w:val="auto"/>
                <w:szCs w:val="21"/>
              </w:rPr>
              <w:t>）－20lg（r/r</w:t>
            </w:r>
            <w:r>
              <w:rPr>
                <w:rFonts w:cs="Times New Roman"/>
                <w:color w:val="auto"/>
                <w:szCs w:val="21"/>
                <w:vertAlign w:val="subscript"/>
              </w:rPr>
              <w:t>0</w:t>
            </w:r>
            <w:r>
              <w:rPr>
                <w:rFonts w:cs="Times New Roman"/>
                <w:color w:val="auto"/>
                <w:szCs w:val="21"/>
              </w:rPr>
              <w:t>）</w:t>
            </w:r>
          </w:p>
          <w:p w14:paraId="4FA7CFDE">
            <w:pPr>
              <w:adjustRightInd w:val="0"/>
              <w:snapToGrid w:val="0"/>
              <w:ind w:firstLine="480"/>
              <w:rPr>
                <w:rFonts w:cs="Times New Roman"/>
                <w:color w:val="auto"/>
                <w:szCs w:val="21"/>
              </w:rPr>
            </w:pPr>
            <w:r>
              <w:rPr>
                <w:rFonts w:cs="Times New Roman"/>
                <w:color w:val="auto"/>
                <w:szCs w:val="21"/>
              </w:rPr>
              <w:t>式中：Lp（r）——距声源r处的声压级，dB(A)；</w:t>
            </w:r>
          </w:p>
          <w:p w14:paraId="73DE5AC7">
            <w:pPr>
              <w:adjustRightInd w:val="0"/>
              <w:snapToGrid w:val="0"/>
              <w:ind w:firstLine="480"/>
              <w:rPr>
                <w:rFonts w:cs="Times New Roman"/>
                <w:color w:val="auto"/>
                <w:szCs w:val="21"/>
              </w:rPr>
            </w:pPr>
            <w:r>
              <w:rPr>
                <w:rFonts w:cs="Times New Roman"/>
                <w:color w:val="auto"/>
                <w:szCs w:val="21"/>
              </w:rPr>
              <w:t>Lp（r</w:t>
            </w:r>
            <w:r>
              <w:rPr>
                <w:rFonts w:cs="Times New Roman"/>
                <w:color w:val="auto"/>
                <w:szCs w:val="21"/>
                <w:vertAlign w:val="subscript"/>
              </w:rPr>
              <w:t>0</w:t>
            </w:r>
            <w:r>
              <w:rPr>
                <w:rFonts w:cs="Times New Roman"/>
                <w:color w:val="auto"/>
                <w:szCs w:val="21"/>
              </w:rPr>
              <w:t>）——参考位置r</w:t>
            </w:r>
            <w:r>
              <w:rPr>
                <w:rFonts w:cs="Times New Roman"/>
                <w:color w:val="auto"/>
                <w:szCs w:val="21"/>
                <w:vertAlign w:val="subscript"/>
              </w:rPr>
              <w:t>0</w:t>
            </w:r>
            <w:r>
              <w:rPr>
                <w:rFonts w:cs="Times New Roman"/>
                <w:color w:val="auto"/>
                <w:szCs w:val="21"/>
              </w:rPr>
              <w:t>处的声压级，dB(A)。</w:t>
            </w:r>
          </w:p>
          <w:p w14:paraId="344D6A0C">
            <w:pPr>
              <w:adjustRightInd w:val="0"/>
              <w:snapToGrid w:val="0"/>
              <w:ind w:firstLine="480"/>
              <w:rPr>
                <w:rFonts w:cs="Times New Roman"/>
                <w:color w:val="auto"/>
                <w:szCs w:val="21"/>
              </w:rPr>
            </w:pPr>
            <w:r>
              <w:rPr>
                <w:rFonts w:cs="Times New Roman"/>
                <w:color w:val="auto"/>
                <w:szCs w:val="21"/>
              </w:rPr>
              <w:t>噪声叠加值计算模式：</w:t>
            </w:r>
          </w:p>
          <w:p w14:paraId="18EA1B9D">
            <w:pPr>
              <w:adjustRightInd w:val="0"/>
              <w:snapToGrid w:val="0"/>
              <w:ind w:firstLine="480"/>
              <w:jc w:val="center"/>
              <w:rPr>
                <w:rFonts w:cs="Times New Roman"/>
                <w:color w:val="auto"/>
                <w:szCs w:val="21"/>
              </w:rPr>
            </w:pPr>
            <w:r>
              <w:rPr>
                <w:rFonts w:cs="Times New Roman"/>
                <w:color w:val="auto"/>
                <w:szCs w:val="21"/>
              </w:rPr>
              <w:t>L</w:t>
            </w:r>
            <w:r>
              <w:rPr>
                <w:rFonts w:cs="Times New Roman"/>
                <w:color w:val="auto"/>
                <w:szCs w:val="21"/>
                <w:vertAlign w:val="subscript"/>
              </w:rPr>
              <w:t>PT</w:t>
            </w:r>
            <w:r>
              <w:rPr>
                <w:rFonts w:cs="Times New Roman"/>
                <w:color w:val="auto"/>
                <w:szCs w:val="21"/>
              </w:rPr>
              <w:t>=10lg（</w:t>
            </w:r>
            <w:r>
              <w:rPr>
                <w:rFonts w:cs="Times New Roman"/>
                <w:color w:val="auto"/>
                <w:szCs w:val="21"/>
              </w:rPr>
              <w:drawing>
                <wp:inline distT="0" distB="0" distL="114300" distR="114300">
                  <wp:extent cx="371475" cy="428625"/>
                  <wp:effectExtent l="0" t="0" r="0" b="8255"/>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48"/>
                          <a:stretch>
                            <a:fillRect/>
                          </a:stretch>
                        </pic:blipFill>
                        <pic:spPr>
                          <a:xfrm>
                            <a:off x="0" y="0"/>
                            <a:ext cx="371475" cy="428625"/>
                          </a:xfrm>
                          <a:prstGeom prst="rect">
                            <a:avLst/>
                          </a:prstGeom>
                          <a:noFill/>
                          <a:ln w="9525">
                            <a:noFill/>
                          </a:ln>
                        </pic:spPr>
                      </pic:pic>
                    </a:graphicData>
                  </a:graphic>
                </wp:inline>
              </w:drawing>
            </w:r>
            <w:r>
              <w:rPr>
                <w:rFonts w:cs="Times New Roman"/>
                <w:color w:val="auto"/>
                <w:szCs w:val="21"/>
                <w:vertAlign w:val="superscript"/>
              </w:rPr>
              <w:t>0.1Lpi</w:t>
            </w:r>
            <w:r>
              <w:rPr>
                <w:rFonts w:cs="Times New Roman"/>
                <w:color w:val="auto"/>
                <w:szCs w:val="21"/>
              </w:rPr>
              <w:t>）</w:t>
            </w:r>
          </w:p>
          <w:p w14:paraId="683213EC">
            <w:pPr>
              <w:adjustRightInd w:val="0"/>
              <w:snapToGrid w:val="0"/>
              <w:ind w:firstLine="480"/>
              <w:rPr>
                <w:rFonts w:cs="Times New Roman"/>
                <w:color w:val="auto"/>
                <w:szCs w:val="21"/>
              </w:rPr>
            </w:pPr>
            <w:r>
              <w:rPr>
                <w:rFonts w:cs="Times New Roman"/>
                <w:color w:val="auto"/>
                <w:szCs w:val="21"/>
              </w:rPr>
              <w:t>式中：L</w:t>
            </w:r>
            <w:r>
              <w:rPr>
                <w:rFonts w:cs="Times New Roman"/>
                <w:color w:val="auto"/>
                <w:szCs w:val="21"/>
                <w:vertAlign w:val="subscript"/>
              </w:rPr>
              <w:t>PT</w:t>
            </w:r>
            <w:r>
              <w:rPr>
                <w:rFonts w:cs="Times New Roman"/>
                <w:color w:val="auto"/>
                <w:szCs w:val="21"/>
              </w:rPr>
              <w:t>——预测点处的总声压级，dB(A)；</w:t>
            </w:r>
          </w:p>
          <w:p w14:paraId="64334649">
            <w:pPr>
              <w:adjustRightInd w:val="0"/>
              <w:snapToGrid w:val="0"/>
              <w:ind w:firstLine="480"/>
              <w:rPr>
                <w:rFonts w:cs="Times New Roman"/>
                <w:color w:val="auto"/>
                <w:szCs w:val="21"/>
              </w:rPr>
            </w:pPr>
            <w:r>
              <w:rPr>
                <w:rFonts w:cs="Times New Roman"/>
                <w:color w:val="auto"/>
                <w:szCs w:val="21"/>
              </w:rPr>
              <w:t>L</w:t>
            </w:r>
            <w:r>
              <w:rPr>
                <w:rFonts w:cs="Times New Roman"/>
                <w:color w:val="auto"/>
                <w:szCs w:val="21"/>
                <w:vertAlign w:val="subscript"/>
              </w:rPr>
              <w:t>pi</w:t>
            </w:r>
            <w:r>
              <w:rPr>
                <w:rFonts w:cs="Times New Roman"/>
                <w:color w:val="auto"/>
                <w:szCs w:val="21"/>
              </w:rPr>
              <w:t>——第i个声源至预测点处的声压级，dB(A)；</w:t>
            </w:r>
          </w:p>
          <w:p w14:paraId="1E1C3A89">
            <w:pPr>
              <w:adjustRightInd w:val="0"/>
              <w:snapToGrid w:val="0"/>
              <w:ind w:firstLine="480"/>
              <w:rPr>
                <w:rFonts w:cs="Times New Roman"/>
                <w:color w:val="auto"/>
                <w:szCs w:val="21"/>
              </w:rPr>
            </w:pPr>
            <w:r>
              <w:rPr>
                <w:rFonts w:cs="Times New Roman"/>
                <w:color w:val="auto"/>
                <w:szCs w:val="21"/>
              </w:rPr>
              <w:t>n——声源个数。</w:t>
            </w:r>
          </w:p>
          <w:p w14:paraId="3BFE4F58">
            <w:pPr>
              <w:adjustRightInd w:val="0"/>
              <w:snapToGrid w:val="0"/>
              <w:ind w:firstLine="482"/>
              <w:rPr>
                <w:b/>
                <w:bCs/>
                <w:color w:val="auto"/>
                <w:szCs w:val="21"/>
              </w:rPr>
            </w:pPr>
            <w:r>
              <w:rPr>
                <w:b/>
                <w:bCs/>
                <w:color w:val="auto"/>
                <w:szCs w:val="21"/>
              </w:rPr>
              <w:t>2）评价标准</w:t>
            </w:r>
          </w:p>
          <w:p w14:paraId="2636B7F0">
            <w:pPr>
              <w:ind w:firstLine="480"/>
              <w:rPr>
                <w:color w:val="auto"/>
                <w:szCs w:val="21"/>
              </w:rPr>
            </w:pPr>
            <w:r>
              <w:rPr>
                <w:color w:val="auto"/>
                <w:szCs w:val="21"/>
              </w:rPr>
              <w:t>采用</w:t>
            </w:r>
            <w:r>
              <w:rPr>
                <w:rFonts w:hint="eastAsia"/>
                <w:color w:val="auto"/>
                <w:szCs w:val="21"/>
              </w:rPr>
              <w:t>《建筑施工噪声排放标准》（GB 12523-2025）</w:t>
            </w:r>
            <w:r>
              <w:rPr>
                <w:color w:val="auto"/>
                <w:szCs w:val="21"/>
              </w:rPr>
              <w:t>进行分析评价。</w:t>
            </w:r>
          </w:p>
          <w:p w14:paraId="1C3B4B48">
            <w:pPr>
              <w:pStyle w:val="63"/>
              <w:ind w:firstLine="422"/>
              <w:rPr>
                <w:color w:val="auto"/>
                <w:szCs w:val="21"/>
              </w:rPr>
            </w:pPr>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4.4</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2</w:t>
            </w:r>
            <w:r>
              <w:rPr>
                <w:color w:val="auto"/>
                <w:szCs w:val="24"/>
              </w:rPr>
              <w:fldChar w:fldCharType="end"/>
            </w:r>
            <w:r>
              <w:rPr>
                <w:color w:val="auto"/>
                <w:szCs w:val="24"/>
              </w:rPr>
              <w:t xml:space="preserve">  </w:t>
            </w:r>
            <w:r>
              <w:rPr>
                <w:color w:val="auto"/>
                <w:szCs w:val="21"/>
              </w:rPr>
              <w:t>建筑施工场界噪声限值     单位：dB（A）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8"/>
              <w:gridCol w:w="3693"/>
            </w:tblGrid>
            <w:tr w14:paraId="1385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621" w:type="pct"/>
                  <w:tcBorders>
                    <w:tl2br w:val="nil"/>
                    <w:tr2bl w:val="nil"/>
                  </w:tcBorders>
                  <w:vAlign w:val="center"/>
                </w:tcPr>
                <w:p w14:paraId="29C3BB82">
                  <w:pPr>
                    <w:adjustRightInd w:val="0"/>
                    <w:snapToGrid w:val="0"/>
                    <w:spacing w:line="240" w:lineRule="auto"/>
                    <w:ind w:firstLine="0" w:firstLineChars="0"/>
                    <w:jc w:val="center"/>
                    <w:rPr>
                      <w:b/>
                      <w:color w:val="auto"/>
                      <w:sz w:val="21"/>
                      <w:szCs w:val="18"/>
                    </w:rPr>
                  </w:pPr>
                  <w:r>
                    <w:rPr>
                      <w:b/>
                      <w:color w:val="auto"/>
                      <w:sz w:val="21"/>
                      <w:szCs w:val="18"/>
                    </w:rPr>
                    <w:t>昼间</w:t>
                  </w:r>
                </w:p>
              </w:tc>
              <w:tc>
                <w:tcPr>
                  <w:tcW w:w="2379" w:type="pct"/>
                  <w:tcBorders>
                    <w:tl2br w:val="nil"/>
                    <w:tr2bl w:val="nil"/>
                  </w:tcBorders>
                  <w:vAlign w:val="center"/>
                </w:tcPr>
                <w:p w14:paraId="54FD4676">
                  <w:pPr>
                    <w:adjustRightInd w:val="0"/>
                    <w:snapToGrid w:val="0"/>
                    <w:spacing w:line="240" w:lineRule="auto"/>
                    <w:ind w:firstLine="0" w:firstLineChars="0"/>
                    <w:jc w:val="center"/>
                    <w:rPr>
                      <w:b/>
                      <w:color w:val="auto"/>
                      <w:sz w:val="21"/>
                      <w:szCs w:val="18"/>
                    </w:rPr>
                  </w:pPr>
                  <w:r>
                    <w:rPr>
                      <w:b/>
                      <w:color w:val="auto"/>
                      <w:sz w:val="21"/>
                      <w:szCs w:val="18"/>
                    </w:rPr>
                    <w:t>夜间</w:t>
                  </w:r>
                </w:p>
              </w:tc>
            </w:tr>
            <w:tr w14:paraId="6036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1" w:type="pct"/>
                  <w:tcBorders>
                    <w:tl2br w:val="nil"/>
                    <w:tr2bl w:val="nil"/>
                  </w:tcBorders>
                  <w:vAlign w:val="center"/>
                </w:tcPr>
                <w:p w14:paraId="726BC7B8">
                  <w:pPr>
                    <w:adjustRightInd w:val="0"/>
                    <w:snapToGrid w:val="0"/>
                    <w:spacing w:line="240" w:lineRule="auto"/>
                    <w:ind w:firstLine="0" w:firstLineChars="0"/>
                    <w:jc w:val="center"/>
                    <w:rPr>
                      <w:color w:val="auto"/>
                      <w:sz w:val="21"/>
                      <w:szCs w:val="18"/>
                    </w:rPr>
                  </w:pPr>
                  <w:r>
                    <w:rPr>
                      <w:color w:val="auto"/>
                      <w:sz w:val="21"/>
                      <w:szCs w:val="18"/>
                    </w:rPr>
                    <w:t>70</w:t>
                  </w:r>
                </w:p>
              </w:tc>
              <w:tc>
                <w:tcPr>
                  <w:tcW w:w="2379" w:type="pct"/>
                  <w:tcBorders>
                    <w:tl2br w:val="nil"/>
                    <w:tr2bl w:val="nil"/>
                  </w:tcBorders>
                  <w:vAlign w:val="center"/>
                </w:tcPr>
                <w:p w14:paraId="2BD9DE6C">
                  <w:pPr>
                    <w:adjustRightInd w:val="0"/>
                    <w:snapToGrid w:val="0"/>
                    <w:spacing w:line="240" w:lineRule="auto"/>
                    <w:ind w:firstLine="0" w:firstLineChars="0"/>
                    <w:jc w:val="center"/>
                    <w:rPr>
                      <w:color w:val="auto"/>
                      <w:sz w:val="21"/>
                      <w:szCs w:val="18"/>
                    </w:rPr>
                  </w:pPr>
                  <w:r>
                    <w:rPr>
                      <w:color w:val="auto"/>
                      <w:sz w:val="21"/>
                      <w:szCs w:val="18"/>
                    </w:rPr>
                    <w:t>55</w:t>
                  </w:r>
                </w:p>
              </w:tc>
            </w:tr>
          </w:tbl>
          <w:p w14:paraId="2B26D1C0">
            <w:pPr>
              <w:ind w:firstLine="482"/>
              <w:rPr>
                <w:b/>
                <w:bCs/>
                <w:color w:val="auto"/>
                <w:szCs w:val="21"/>
              </w:rPr>
            </w:pPr>
            <w:r>
              <w:rPr>
                <w:b/>
                <w:bCs/>
                <w:color w:val="auto"/>
                <w:szCs w:val="21"/>
              </w:rPr>
              <w:t>3、预测结果及评价</w:t>
            </w:r>
          </w:p>
          <w:p w14:paraId="0B4982DA">
            <w:pPr>
              <w:ind w:firstLine="482"/>
              <w:rPr>
                <w:b/>
                <w:bCs/>
                <w:color w:val="auto"/>
                <w:szCs w:val="21"/>
              </w:rPr>
            </w:pPr>
            <w:r>
              <w:rPr>
                <w:b/>
                <w:bCs/>
                <w:color w:val="auto"/>
                <w:szCs w:val="21"/>
              </w:rPr>
              <w:t>（1）</w:t>
            </w:r>
            <w:r>
              <w:rPr>
                <w:rFonts w:hint="eastAsia"/>
                <w:b/>
                <w:bCs/>
                <w:color w:val="auto"/>
                <w:szCs w:val="21"/>
              </w:rPr>
              <w:t>厂界预测结果</w:t>
            </w:r>
          </w:p>
          <w:p w14:paraId="1E2D9F58">
            <w:pPr>
              <w:ind w:firstLine="480"/>
              <w:rPr>
                <w:color w:val="auto"/>
                <w:szCs w:val="21"/>
              </w:rPr>
            </w:pPr>
            <w:r>
              <w:rPr>
                <w:rFonts w:hint="eastAsia"/>
                <w:color w:val="auto"/>
                <w:szCs w:val="21"/>
              </w:rPr>
              <w:t>项目建设</w:t>
            </w:r>
            <w:r>
              <w:rPr>
                <w:color w:val="auto"/>
                <w:szCs w:val="21"/>
              </w:rPr>
              <w:t>各施工阶段主要噪声源在不同距离处的平均等效声级计算结果详见下表。</w:t>
            </w:r>
          </w:p>
          <w:p w14:paraId="5746A4A5">
            <w:pPr>
              <w:pStyle w:val="63"/>
              <w:rPr>
                <w:color w:val="auto"/>
                <w:szCs w:val="21"/>
              </w:rPr>
            </w:pPr>
            <w:bookmarkStart w:id="991" w:name="_Ref181365908"/>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4.4</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3</w:t>
            </w:r>
            <w:r>
              <w:rPr>
                <w:color w:val="auto"/>
                <w:szCs w:val="24"/>
              </w:rPr>
              <w:fldChar w:fldCharType="end"/>
            </w:r>
            <w:bookmarkEnd w:id="991"/>
            <w:r>
              <w:rPr>
                <w:color w:val="auto"/>
                <w:szCs w:val="24"/>
              </w:rPr>
              <w:t xml:space="preserve">  </w:t>
            </w:r>
            <w:r>
              <w:rPr>
                <w:color w:val="auto"/>
                <w:szCs w:val="21"/>
              </w:rPr>
              <w:t>施工各阶段噪声在不同距离的</w:t>
            </w:r>
            <w:r>
              <w:rPr>
                <w:rFonts w:hint="eastAsia"/>
                <w:color w:val="auto"/>
                <w:szCs w:val="21"/>
              </w:rPr>
              <w:t>噪声预测</w:t>
            </w:r>
            <w:r>
              <w:rPr>
                <w:color w:val="auto"/>
                <w:szCs w:val="21"/>
              </w:rPr>
              <w:t xml:space="preserve"> 单位：dB（A）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531"/>
              <w:gridCol w:w="608"/>
              <w:gridCol w:w="611"/>
              <w:gridCol w:w="611"/>
              <w:gridCol w:w="611"/>
              <w:gridCol w:w="611"/>
              <w:gridCol w:w="611"/>
              <w:gridCol w:w="611"/>
              <w:gridCol w:w="706"/>
              <w:gridCol w:w="706"/>
              <w:gridCol w:w="706"/>
            </w:tblGrid>
            <w:tr w14:paraId="6625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Merge w:val="restart"/>
                  <w:tcBorders>
                    <w:top w:val="single" w:color="auto" w:sz="4" w:space="0"/>
                    <w:left w:val="single" w:color="auto" w:sz="4" w:space="0"/>
                    <w:bottom w:val="single" w:color="auto" w:sz="4" w:space="0"/>
                    <w:right w:val="single" w:color="auto" w:sz="4" w:space="0"/>
                  </w:tcBorders>
                  <w:vAlign w:val="center"/>
                </w:tcPr>
                <w:p w14:paraId="4C273830">
                  <w:pPr>
                    <w:pStyle w:val="65"/>
                    <w:rPr>
                      <w:b/>
                      <w:bCs/>
                      <w:color w:val="auto"/>
                    </w:rPr>
                  </w:pPr>
                  <w:r>
                    <w:rPr>
                      <w:rFonts w:hint="eastAsia"/>
                      <w:b/>
                      <w:bCs/>
                      <w:color w:val="auto"/>
                    </w:rPr>
                    <w:t>噪声源</w:t>
                  </w:r>
                </w:p>
              </w:tc>
              <w:tc>
                <w:tcPr>
                  <w:tcW w:w="263" w:type="pct"/>
                  <w:vMerge w:val="restart"/>
                  <w:tcBorders>
                    <w:top w:val="single" w:color="auto" w:sz="4" w:space="0"/>
                    <w:left w:val="single" w:color="auto" w:sz="4" w:space="0"/>
                    <w:bottom w:val="single" w:color="auto" w:sz="4" w:space="0"/>
                    <w:right w:val="single" w:color="auto" w:sz="4" w:space="0"/>
                  </w:tcBorders>
                  <w:vAlign w:val="center"/>
                </w:tcPr>
                <w:p w14:paraId="17A37902">
                  <w:pPr>
                    <w:pStyle w:val="65"/>
                    <w:rPr>
                      <w:b/>
                      <w:bCs/>
                      <w:color w:val="auto"/>
                    </w:rPr>
                  </w:pPr>
                  <w:r>
                    <w:rPr>
                      <w:rFonts w:hint="eastAsia"/>
                      <w:b/>
                      <w:bCs/>
                      <w:color w:val="auto"/>
                    </w:rPr>
                    <w:t>源强</w:t>
                  </w:r>
                </w:p>
              </w:tc>
              <w:tc>
                <w:tcPr>
                  <w:tcW w:w="4187" w:type="pct"/>
                  <w:gridSpan w:val="10"/>
                  <w:tcBorders>
                    <w:top w:val="single" w:color="auto" w:sz="4" w:space="0"/>
                    <w:left w:val="single" w:color="auto" w:sz="4" w:space="0"/>
                    <w:bottom w:val="single" w:color="auto" w:sz="4" w:space="0"/>
                    <w:right w:val="single" w:color="auto" w:sz="4" w:space="0"/>
                  </w:tcBorders>
                  <w:vAlign w:val="center"/>
                </w:tcPr>
                <w:p w14:paraId="756606F5">
                  <w:pPr>
                    <w:pStyle w:val="65"/>
                    <w:rPr>
                      <w:b/>
                      <w:bCs/>
                      <w:color w:val="auto"/>
                    </w:rPr>
                  </w:pPr>
                  <w:r>
                    <w:rPr>
                      <w:rFonts w:hint="eastAsia"/>
                      <w:b/>
                      <w:bCs/>
                      <w:color w:val="auto"/>
                    </w:rPr>
                    <w:t>不同距离处的噪声预测</w:t>
                  </w:r>
                  <w:r>
                    <w:rPr>
                      <w:b/>
                      <w:bCs/>
                      <w:color w:val="auto"/>
                    </w:rPr>
                    <w:t>dB(A)</w:t>
                  </w:r>
                </w:p>
              </w:tc>
            </w:tr>
            <w:tr w14:paraId="638F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vMerge w:val="continue"/>
                  <w:tcBorders>
                    <w:top w:val="single" w:color="auto" w:sz="4" w:space="0"/>
                    <w:left w:val="single" w:color="auto" w:sz="4" w:space="0"/>
                    <w:bottom w:val="single" w:color="auto" w:sz="4" w:space="0"/>
                    <w:right w:val="single" w:color="auto" w:sz="4" w:space="0"/>
                  </w:tcBorders>
                  <w:vAlign w:val="center"/>
                </w:tcPr>
                <w:p w14:paraId="55E57EDD">
                  <w:pPr>
                    <w:pStyle w:val="65"/>
                    <w:rPr>
                      <w:b/>
                      <w:bCs/>
                      <w:color w:val="auto"/>
                    </w:rPr>
                  </w:pPr>
                </w:p>
              </w:tc>
              <w:tc>
                <w:tcPr>
                  <w:tcW w:w="263" w:type="pct"/>
                  <w:vMerge w:val="continue"/>
                  <w:tcBorders>
                    <w:top w:val="single" w:color="auto" w:sz="4" w:space="0"/>
                    <w:left w:val="single" w:color="auto" w:sz="4" w:space="0"/>
                    <w:bottom w:val="single" w:color="auto" w:sz="4" w:space="0"/>
                    <w:right w:val="single" w:color="auto" w:sz="4" w:space="0"/>
                  </w:tcBorders>
                  <w:vAlign w:val="center"/>
                </w:tcPr>
                <w:p w14:paraId="6040C58A">
                  <w:pPr>
                    <w:pStyle w:val="65"/>
                    <w:rPr>
                      <w:b/>
                      <w:bCs/>
                      <w:color w:val="auto"/>
                    </w:rPr>
                  </w:pPr>
                </w:p>
              </w:tc>
              <w:tc>
                <w:tcPr>
                  <w:tcW w:w="402" w:type="pct"/>
                  <w:tcBorders>
                    <w:top w:val="single" w:color="auto" w:sz="4" w:space="0"/>
                    <w:left w:val="single" w:color="auto" w:sz="4" w:space="0"/>
                    <w:bottom w:val="single" w:color="auto" w:sz="4" w:space="0"/>
                    <w:right w:val="single" w:color="auto" w:sz="4" w:space="0"/>
                  </w:tcBorders>
                  <w:vAlign w:val="center"/>
                </w:tcPr>
                <w:p w14:paraId="2FE7367F">
                  <w:pPr>
                    <w:pStyle w:val="65"/>
                    <w:rPr>
                      <w:b/>
                      <w:bCs/>
                      <w:color w:val="auto"/>
                    </w:rPr>
                  </w:pPr>
                  <w:r>
                    <w:rPr>
                      <w:b/>
                      <w:bCs/>
                      <w:color w:val="auto"/>
                    </w:rPr>
                    <w:t>5m</w:t>
                  </w:r>
                </w:p>
              </w:tc>
              <w:tc>
                <w:tcPr>
                  <w:tcW w:w="403" w:type="pct"/>
                  <w:tcBorders>
                    <w:top w:val="single" w:color="auto" w:sz="4" w:space="0"/>
                    <w:left w:val="single" w:color="auto" w:sz="4" w:space="0"/>
                    <w:bottom w:val="single" w:color="auto" w:sz="4" w:space="0"/>
                    <w:right w:val="single" w:color="auto" w:sz="4" w:space="0"/>
                  </w:tcBorders>
                  <w:vAlign w:val="center"/>
                </w:tcPr>
                <w:p w14:paraId="5422672C">
                  <w:pPr>
                    <w:pStyle w:val="65"/>
                    <w:rPr>
                      <w:b/>
                      <w:bCs/>
                      <w:color w:val="auto"/>
                    </w:rPr>
                  </w:pPr>
                  <w:r>
                    <w:rPr>
                      <w:b/>
                      <w:bCs/>
                      <w:color w:val="auto"/>
                    </w:rPr>
                    <w:t>10m</w:t>
                  </w:r>
                </w:p>
              </w:tc>
              <w:tc>
                <w:tcPr>
                  <w:tcW w:w="403" w:type="pct"/>
                  <w:tcBorders>
                    <w:top w:val="single" w:color="auto" w:sz="4" w:space="0"/>
                    <w:left w:val="single" w:color="auto" w:sz="4" w:space="0"/>
                    <w:bottom w:val="single" w:color="auto" w:sz="4" w:space="0"/>
                    <w:right w:val="single" w:color="auto" w:sz="4" w:space="0"/>
                  </w:tcBorders>
                  <w:vAlign w:val="center"/>
                </w:tcPr>
                <w:p w14:paraId="46DCF64D">
                  <w:pPr>
                    <w:pStyle w:val="65"/>
                    <w:rPr>
                      <w:b/>
                      <w:bCs/>
                      <w:color w:val="auto"/>
                    </w:rPr>
                  </w:pPr>
                  <w:r>
                    <w:rPr>
                      <w:b/>
                      <w:bCs/>
                      <w:color w:val="auto"/>
                    </w:rPr>
                    <w:t>15m</w:t>
                  </w:r>
                </w:p>
              </w:tc>
              <w:tc>
                <w:tcPr>
                  <w:tcW w:w="403" w:type="pct"/>
                  <w:tcBorders>
                    <w:top w:val="single" w:color="auto" w:sz="4" w:space="0"/>
                    <w:left w:val="single" w:color="auto" w:sz="4" w:space="0"/>
                    <w:bottom w:val="single" w:color="auto" w:sz="4" w:space="0"/>
                    <w:right w:val="single" w:color="auto" w:sz="4" w:space="0"/>
                  </w:tcBorders>
                  <w:vAlign w:val="center"/>
                </w:tcPr>
                <w:p w14:paraId="25E1B05B">
                  <w:pPr>
                    <w:pStyle w:val="65"/>
                    <w:rPr>
                      <w:b/>
                      <w:bCs/>
                      <w:color w:val="auto"/>
                    </w:rPr>
                  </w:pPr>
                  <w:r>
                    <w:rPr>
                      <w:b/>
                      <w:bCs/>
                      <w:color w:val="auto"/>
                    </w:rPr>
                    <w:t>20m</w:t>
                  </w:r>
                </w:p>
              </w:tc>
              <w:tc>
                <w:tcPr>
                  <w:tcW w:w="403" w:type="pct"/>
                  <w:tcBorders>
                    <w:top w:val="single" w:color="auto" w:sz="4" w:space="0"/>
                    <w:left w:val="single" w:color="auto" w:sz="4" w:space="0"/>
                    <w:bottom w:val="single" w:color="auto" w:sz="4" w:space="0"/>
                    <w:right w:val="single" w:color="auto" w:sz="4" w:space="0"/>
                  </w:tcBorders>
                  <w:vAlign w:val="center"/>
                </w:tcPr>
                <w:p w14:paraId="5E37585E">
                  <w:pPr>
                    <w:pStyle w:val="65"/>
                    <w:rPr>
                      <w:b/>
                      <w:bCs/>
                      <w:color w:val="auto"/>
                    </w:rPr>
                  </w:pPr>
                  <w:r>
                    <w:rPr>
                      <w:b/>
                      <w:bCs/>
                      <w:color w:val="auto"/>
                    </w:rPr>
                    <w:t>30m</w:t>
                  </w:r>
                </w:p>
              </w:tc>
              <w:tc>
                <w:tcPr>
                  <w:tcW w:w="403" w:type="pct"/>
                  <w:tcBorders>
                    <w:top w:val="single" w:color="auto" w:sz="4" w:space="0"/>
                    <w:left w:val="single" w:color="auto" w:sz="4" w:space="0"/>
                    <w:bottom w:val="single" w:color="auto" w:sz="4" w:space="0"/>
                    <w:right w:val="single" w:color="auto" w:sz="4" w:space="0"/>
                  </w:tcBorders>
                  <w:vAlign w:val="center"/>
                </w:tcPr>
                <w:p w14:paraId="0C45E8AA">
                  <w:pPr>
                    <w:pStyle w:val="65"/>
                    <w:rPr>
                      <w:b/>
                      <w:bCs/>
                      <w:color w:val="auto"/>
                    </w:rPr>
                  </w:pPr>
                  <w:r>
                    <w:rPr>
                      <w:b/>
                      <w:bCs/>
                      <w:color w:val="auto"/>
                    </w:rPr>
                    <w:t>50m</w:t>
                  </w:r>
                </w:p>
              </w:tc>
              <w:tc>
                <w:tcPr>
                  <w:tcW w:w="403" w:type="pct"/>
                  <w:tcBorders>
                    <w:top w:val="single" w:color="auto" w:sz="4" w:space="0"/>
                    <w:left w:val="single" w:color="auto" w:sz="4" w:space="0"/>
                    <w:bottom w:val="single" w:color="auto" w:sz="4" w:space="0"/>
                    <w:right w:val="single" w:color="auto" w:sz="4" w:space="0"/>
                  </w:tcBorders>
                  <w:vAlign w:val="center"/>
                </w:tcPr>
                <w:p w14:paraId="70FB856A">
                  <w:pPr>
                    <w:pStyle w:val="65"/>
                    <w:rPr>
                      <w:b/>
                      <w:bCs/>
                      <w:color w:val="auto"/>
                    </w:rPr>
                  </w:pPr>
                  <w:r>
                    <w:rPr>
                      <w:b/>
                      <w:bCs/>
                      <w:color w:val="auto"/>
                    </w:rPr>
                    <w:t>60m</w:t>
                  </w:r>
                </w:p>
              </w:tc>
              <w:tc>
                <w:tcPr>
                  <w:tcW w:w="456" w:type="pct"/>
                  <w:tcBorders>
                    <w:top w:val="single" w:color="auto" w:sz="4" w:space="0"/>
                    <w:left w:val="single" w:color="auto" w:sz="4" w:space="0"/>
                    <w:bottom w:val="single" w:color="auto" w:sz="4" w:space="0"/>
                    <w:right w:val="single" w:color="auto" w:sz="4" w:space="0"/>
                  </w:tcBorders>
                  <w:vAlign w:val="center"/>
                </w:tcPr>
                <w:p w14:paraId="7C3A3488">
                  <w:pPr>
                    <w:pStyle w:val="65"/>
                    <w:rPr>
                      <w:b/>
                      <w:bCs/>
                      <w:color w:val="auto"/>
                    </w:rPr>
                  </w:pPr>
                  <w:r>
                    <w:rPr>
                      <w:b/>
                      <w:bCs/>
                      <w:color w:val="auto"/>
                    </w:rPr>
                    <w:t>170m</w:t>
                  </w:r>
                </w:p>
              </w:tc>
              <w:tc>
                <w:tcPr>
                  <w:tcW w:w="456" w:type="pct"/>
                  <w:tcBorders>
                    <w:top w:val="single" w:color="auto" w:sz="4" w:space="0"/>
                    <w:left w:val="single" w:color="auto" w:sz="4" w:space="0"/>
                    <w:bottom w:val="single" w:color="auto" w:sz="4" w:space="0"/>
                    <w:right w:val="single" w:color="auto" w:sz="4" w:space="0"/>
                  </w:tcBorders>
                  <w:vAlign w:val="center"/>
                </w:tcPr>
                <w:p w14:paraId="5FFE3D84">
                  <w:pPr>
                    <w:pStyle w:val="65"/>
                    <w:rPr>
                      <w:b/>
                      <w:bCs/>
                      <w:color w:val="auto"/>
                    </w:rPr>
                  </w:pPr>
                  <w:r>
                    <w:rPr>
                      <w:b/>
                      <w:bCs/>
                      <w:color w:val="auto"/>
                    </w:rPr>
                    <w:t>335m</w:t>
                  </w:r>
                </w:p>
              </w:tc>
              <w:tc>
                <w:tcPr>
                  <w:tcW w:w="456" w:type="pct"/>
                  <w:tcBorders>
                    <w:top w:val="single" w:color="auto" w:sz="4" w:space="0"/>
                    <w:left w:val="single" w:color="auto" w:sz="4" w:space="0"/>
                    <w:bottom w:val="single" w:color="auto" w:sz="4" w:space="0"/>
                    <w:right w:val="single" w:color="auto" w:sz="4" w:space="0"/>
                  </w:tcBorders>
                  <w:vAlign w:val="center"/>
                </w:tcPr>
                <w:p w14:paraId="378AD163">
                  <w:pPr>
                    <w:pStyle w:val="65"/>
                    <w:rPr>
                      <w:b/>
                      <w:bCs/>
                      <w:color w:val="auto"/>
                    </w:rPr>
                  </w:pPr>
                  <w:r>
                    <w:rPr>
                      <w:b/>
                      <w:bCs/>
                      <w:color w:val="auto"/>
                    </w:rPr>
                    <w:t>535m</w:t>
                  </w:r>
                </w:p>
              </w:tc>
            </w:tr>
            <w:tr w14:paraId="14D6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162F0BA4">
                  <w:pPr>
                    <w:pStyle w:val="65"/>
                    <w:rPr>
                      <w:color w:val="auto"/>
                      <w:kern w:val="0"/>
                    </w:rPr>
                  </w:pPr>
                  <w:r>
                    <w:rPr>
                      <w:rFonts w:hint="eastAsia"/>
                      <w:color w:val="auto"/>
                      <w:kern w:val="0"/>
                    </w:rPr>
                    <w:t>反铲挖掘机</w:t>
                  </w:r>
                </w:p>
              </w:tc>
              <w:tc>
                <w:tcPr>
                  <w:tcW w:w="263" w:type="pct"/>
                  <w:tcBorders>
                    <w:top w:val="single" w:color="auto" w:sz="4" w:space="0"/>
                    <w:left w:val="single" w:color="auto" w:sz="4" w:space="0"/>
                    <w:bottom w:val="single" w:color="auto" w:sz="4" w:space="0"/>
                    <w:right w:val="single" w:color="auto" w:sz="4" w:space="0"/>
                  </w:tcBorders>
                  <w:vAlign w:val="center"/>
                </w:tcPr>
                <w:p w14:paraId="25DE5B69">
                  <w:pPr>
                    <w:pStyle w:val="65"/>
                    <w:rPr>
                      <w:bCs/>
                      <w:color w:val="auto"/>
                    </w:rPr>
                  </w:pPr>
                  <w:r>
                    <w:rPr>
                      <w:bCs/>
                      <w:color w:val="auto"/>
                    </w:rPr>
                    <w:t>86</w:t>
                  </w:r>
                </w:p>
              </w:tc>
              <w:tc>
                <w:tcPr>
                  <w:tcW w:w="402" w:type="pct"/>
                  <w:tcBorders>
                    <w:top w:val="single" w:color="auto" w:sz="4" w:space="0"/>
                    <w:left w:val="single" w:color="auto" w:sz="4" w:space="0"/>
                    <w:bottom w:val="single" w:color="auto" w:sz="4" w:space="0"/>
                    <w:right w:val="single" w:color="auto" w:sz="4" w:space="0"/>
                  </w:tcBorders>
                  <w:vAlign w:val="center"/>
                </w:tcPr>
                <w:p w14:paraId="5E6593E6">
                  <w:pPr>
                    <w:pStyle w:val="65"/>
                    <w:rPr>
                      <w:bCs/>
                      <w:color w:val="auto"/>
                    </w:rPr>
                  </w:pPr>
                  <w:r>
                    <w:rPr>
                      <w:bCs/>
                      <w:color w:val="auto"/>
                    </w:rPr>
                    <w:t>72</w:t>
                  </w:r>
                </w:p>
              </w:tc>
              <w:tc>
                <w:tcPr>
                  <w:tcW w:w="403" w:type="pct"/>
                  <w:tcBorders>
                    <w:top w:val="single" w:color="auto" w:sz="4" w:space="0"/>
                    <w:left w:val="single" w:color="auto" w:sz="4" w:space="0"/>
                    <w:bottom w:val="single" w:color="auto" w:sz="4" w:space="0"/>
                    <w:right w:val="single" w:color="auto" w:sz="4" w:space="0"/>
                  </w:tcBorders>
                  <w:vAlign w:val="center"/>
                </w:tcPr>
                <w:p w14:paraId="79E7C6B4">
                  <w:pPr>
                    <w:pStyle w:val="65"/>
                    <w:rPr>
                      <w:bCs/>
                      <w:color w:val="auto"/>
                    </w:rPr>
                  </w:pPr>
                  <w:r>
                    <w:rPr>
                      <w:bCs/>
                      <w:color w:val="auto"/>
                    </w:rPr>
                    <w:t>66</w:t>
                  </w:r>
                </w:p>
              </w:tc>
              <w:tc>
                <w:tcPr>
                  <w:tcW w:w="403" w:type="pct"/>
                  <w:tcBorders>
                    <w:top w:val="single" w:color="auto" w:sz="4" w:space="0"/>
                    <w:left w:val="single" w:color="auto" w:sz="4" w:space="0"/>
                    <w:bottom w:val="single" w:color="auto" w:sz="4" w:space="0"/>
                    <w:right w:val="single" w:color="auto" w:sz="4" w:space="0"/>
                  </w:tcBorders>
                  <w:vAlign w:val="center"/>
                </w:tcPr>
                <w:p w14:paraId="4BBED3A9">
                  <w:pPr>
                    <w:pStyle w:val="65"/>
                    <w:rPr>
                      <w:bCs/>
                      <w:color w:val="auto"/>
                    </w:rPr>
                  </w:pPr>
                  <w:r>
                    <w:rPr>
                      <w:bCs/>
                      <w:color w:val="auto"/>
                    </w:rPr>
                    <w:t>62</w:t>
                  </w:r>
                </w:p>
              </w:tc>
              <w:tc>
                <w:tcPr>
                  <w:tcW w:w="403" w:type="pct"/>
                  <w:tcBorders>
                    <w:top w:val="single" w:color="auto" w:sz="4" w:space="0"/>
                    <w:left w:val="single" w:color="auto" w:sz="4" w:space="0"/>
                    <w:bottom w:val="single" w:color="auto" w:sz="4" w:space="0"/>
                    <w:right w:val="single" w:color="auto" w:sz="4" w:space="0"/>
                  </w:tcBorders>
                  <w:vAlign w:val="center"/>
                </w:tcPr>
                <w:p w14:paraId="72CAE65D">
                  <w:pPr>
                    <w:pStyle w:val="65"/>
                    <w:rPr>
                      <w:bCs/>
                      <w:color w:val="auto"/>
                    </w:rPr>
                  </w:pPr>
                  <w:r>
                    <w:rPr>
                      <w:bCs/>
                      <w:color w:val="auto"/>
                    </w:rPr>
                    <w:t>60</w:t>
                  </w:r>
                </w:p>
              </w:tc>
              <w:tc>
                <w:tcPr>
                  <w:tcW w:w="403" w:type="pct"/>
                  <w:tcBorders>
                    <w:top w:val="single" w:color="auto" w:sz="4" w:space="0"/>
                    <w:left w:val="single" w:color="auto" w:sz="4" w:space="0"/>
                    <w:bottom w:val="single" w:color="auto" w:sz="4" w:space="0"/>
                    <w:right w:val="single" w:color="auto" w:sz="4" w:space="0"/>
                  </w:tcBorders>
                  <w:vAlign w:val="center"/>
                </w:tcPr>
                <w:p w14:paraId="6CF4742B">
                  <w:pPr>
                    <w:pStyle w:val="65"/>
                    <w:rPr>
                      <w:bCs/>
                      <w:color w:val="auto"/>
                    </w:rPr>
                  </w:pPr>
                  <w:r>
                    <w:rPr>
                      <w:bCs/>
                      <w:color w:val="auto"/>
                    </w:rPr>
                    <w:t>56</w:t>
                  </w:r>
                </w:p>
              </w:tc>
              <w:tc>
                <w:tcPr>
                  <w:tcW w:w="403" w:type="pct"/>
                  <w:tcBorders>
                    <w:top w:val="single" w:color="auto" w:sz="4" w:space="0"/>
                    <w:left w:val="single" w:color="auto" w:sz="4" w:space="0"/>
                    <w:bottom w:val="single" w:color="auto" w:sz="4" w:space="0"/>
                    <w:right w:val="single" w:color="auto" w:sz="4" w:space="0"/>
                  </w:tcBorders>
                  <w:vAlign w:val="center"/>
                </w:tcPr>
                <w:p w14:paraId="79199585">
                  <w:pPr>
                    <w:pStyle w:val="65"/>
                    <w:rPr>
                      <w:bCs/>
                      <w:color w:val="auto"/>
                    </w:rPr>
                  </w:pPr>
                  <w:r>
                    <w:rPr>
                      <w:bCs/>
                      <w:color w:val="auto"/>
                    </w:rPr>
                    <w:t>52</w:t>
                  </w:r>
                </w:p>
              </w:tc>
              <w:tc>
                <w:tcPr>
                  <w:tcW w:w="403" w:type="pct"/>
                  <w:tcBorders>
                    <w:top w:val="single" w:color="auto" w:sz="4" w:space="0"/>
                    <w:left w:val="single" w:color="auto" w:sz="4" w:space="0"/>
                    <w:bottom w:val="single" w:color="auto" w:sz="4" w:space="0"/>
                    <w:right w:val="single" w:color="auto" w:sz="4" w:space="0"/>
                  </w:tcBorders>
                  <w:vAlign w:val="center"/>
                </w:tcPr>
                <w:p w14:paraId="658A11EA">
                  <w:pPr>
                    <w:pStyle w:val="65"/>
                    <w:rPr>
                      <w:bCs/>
                      <w:color w:val="auto"/>
                    </w:rPr>
                  </w:pPr>
                  <w:r>
                    <w:rPr>
                      <w:bCs/>
                      <w:color w:val="auto"/>
                    </w:rPr>
                    <w:t>50</w:t>
                  </w:r>
                </w:p>
              </w:tc>
              <w:tc>
                <w:tcPr>
                  <w:tcW w:w="456" w:type="pct"/>
                  <w:tcBorders>
                    <w:top w:val="single" w:color="auto" w:sz="4" w:space="0"/>
                    <w:left w:val="single" w:color="auto" w:sz="4" w:space="0"/>
                    <w:bottom w:val="single" w:color="auto" w:sz="4" w:space="0"/>
                    <w:right w:val="single" w:color="auto" w:sz="4" w:space="0"/>
                  </w:tcBorders>
                  <w:vAlign w:val="center"/>
                </w:tcPr>
                <w:p w14:paraId="7CDE2EEC">
                  <w:pPr>
                    <w:pStyle w:val="65"/>
                    <w:rPr>
                      <w:bCs/>
                      <w:color w:val="auto"/>
                    </w:rPr>
                  </w:pPr>
                  <w:r>
                    <w:rPr>
                      <w:bCs/>
                      <w:color w:val="auto"/>
                    </w:rPr>
                    <w:t>41</w:t>
                  </w:r>
                </w:p>
              </w:tc>
              <w:tc>
                <w:tcPr>
                  <w:tcW w:w="456" w:type="pct"/>
                  <w:tcBorders>
                    <w:top w:val="single" w:color="auto" w:sz="4" w:space="0"/>
                    <w:left w:val="single" w:color="auto" w:sz="4" w:space="0"/>
                    <w:bottom w:val="single" w:color="auto" w:sz="4" w:space="0"/>
                    <w:right w:val="single" w:color="auto" w:sz="4" w:space="0"/>
                  </w:tcBorders>
                  <w:vAlign w:val="center"/>
                </w:tcPr>
                <w:p w14:paraId="72BB09AB">
                  <w:pPr>
                    <w:pStyle w:val="65"/>
                    <w:rPr>
                      <w:bCs/>
                      <w:color w:val="auto"/>
                    </w:rPr>
                  </w:pPr>
                  <w:r>
                    <w:rPr>
                      <w:bCs/>
                      <w:color w:val="auto"/>
                    </w:rPr>
                    <w:t>35</w:t>
                  </w:r>
                </w:p>
              </w:tc>
              <w:tc>
                <w:tcPr>
                  <w:tcW w:w="456" w:type="pct"/>
                  <w:tcBorders>
                    <w:top w:val="single" w:color="auto" w:sz="4" w:space="0"/>
                    <w:left w:val="single" w:color="auto" w:sz="4" w:space="0"/>
                    <w:bottom w:val="single" w:color="auto" w:sz="4" w:space="0"/>
                    <w:right w:val="single" w:color="auto" w:sz="4" w:space="0"/>
                  </w:tcBorders>
                  <w:vAlign w:val="center"/>
                </w:tcPr>
                <w:p w14:paraId="0C6EE1BB">
                  <w:pPr>
                    <w:pStyle w:val="65"/>
                    <w:rPr>
                      <w:bCs/>
                      <w:color w:val="auto"/>
                    </w:rPr>
                  </w:pPr>
                  <w:r>
                    <w:rPr>
                      <w:bCs/>
                      <w:color w:val="auto"/>
                    </w:rPr>
                    <w:t>31</w:t>
                  </w:r>
                </w:p>
              </w:tc>
            </w:tr>
            <w:tr w14:paraId="32A4A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02F0E72A">
                  <w:pPr>
                    <w:pStyle w:val="65"/>
                    <w:rPr>
                      <w:color w:val="auto"/>
                      <w:kern w:val="0"/>
                    </w:rPr>
                  </w:pPr>
                  <w:r>
                    <w:rPr>
                      <w:rFonts w:hint="eastAsia"/>
                      <w:color w:val="auto"/>
                      <w:kern w:val="0"/>
                    </w:rPr>
                    <w:t>打桩机</w:t>
                  </w:r>
                </w:p>
              </w:tc>
              <w:tc>
                <w:tcPr>
                  <w:tcW w:w="263" w:type="pct"/>
                  <w:tcBorders>
                    <w:top w:val="single" w:color="auto" w:sz="4" w:space="0"/>
                    <w:left w:val="single" w:color="auto" w:sz="4" w:space="0"/>
                    <w:bottom w:val="single" w:color="auto" w:sz="4" w:space="0"/>
                    <w:right w:val="single" w:color="auto" w:sz="4" w:space="0"/>
                  </w:tcBorders>
                  <w:vAlign w:val="center"/>
                </w:tcPr>
                <w:p w14:paraId="6EE0EE60">
                  <w:pPr>
                    <w:pStyle w:val="65"/>
                    <w:rPr>
                      <w:bCs/>
                      <w:color w:val="auto"/>
                    </w:rPr>
                  </w:pPr>
                  <w:r>
                    <w:rPr>
                      <w:bCs/>
                      <w:color w:val="auto"/>
                    </w:rPr>
                    <w:t>100</w:t>
                  </w:r>
                </w:p>
              </w:tc>
              <w:tc>
                <w:tcPr>
                  <w:tcW w:w="402" w:type="pct"/>
                  <w:tcBorders>
                    <w:top w:val="single" w:color="auto" w:sz="4" w:space="0"/>
                    <w:left w:val="single" w:color="auto" w:sz="4" w:space="0"/>
                    <w:bottom w:val="single" w:color="auto" w:sz="4" w:space="0"/>
                    <w:right w:val="single" w:color="auto" w:sz="4" w:space="0"/>
                  </w:tcBorders>
                  <w:vAlign w:val="center"/>
                </w:tcPr>
                <w:p w14:paraId="4625DAF4">
                  <w:pPr>
                    <w:pStyle w:val="65"/>
                    <w:rPr>
                      <w:bCs/>
                      <w:color w:val="auto"/>
                    </w:rPr>
                  </w:pPr>
                  <w:r>
                    <w:rPr>
                      <w:bCs/>
                      <w:color w:val="auto"/>
                    </w:rPr>
                    <w:t>86</w:t>
                  </w:r>
                </w:p>
              </w:tc>
              <w:tc>
                <w:tcPr>
                  <w:tcW w:w="403" w:type="pct"/>
                  <w:tcBorders>
                    <w:top w:val="single" w:color="auto" w:sz="4" w:space="0"/>
                    <w:left w:val="single" w:color="auto" w:sz="4" w:space="0"/>
                    <w:bottom w:val="single" w:color="auto" w:sz="4" w:space="0"/>
                    <w:right w:val="single" w:color="auto" w:sz="4" w:space="0"/>
                  </w:tcBorders>
                  <w:vAlign w:val="center"/>
                </w:tcPr>
                <w:p w14:paraId="354D99C9">
                  <w:pPr>
                    <w:pStyle w:val="65"/>
                    <w:rPr>
                      <w:bCs/>
                      <w:color w:val="auto"/>
                    </w:rPr>
                  </w:pPr>
                  <w:r>
                    <w:rPr>
                      <w:bCs/>
                      <w:color w:val="auto"/>
                    </w:rPr>
                    <w:t>80</w:t>
                  </w:r>
                </w:p>
              </w:tc>
              <w:tc>
                <w:tcPr>
                  <w:tcW w:w="403" w:type="pct"/>
                  <w:tcBorders>
                    <w:top w:val="single" w:color="auto" w:sz="4" w:space="0"/>
                    <w:left w:val="single" w:color="auto" w:sz="4" w:space="0"/>
                    <w:bottom w:val="single" w:color="auto" w:sz="4" w:space="0"/>
                    <w:right w:val="single" w:color="auto" w:sz="4" w:space="0"/>
                  </w:tcBorders>
                  <w:vAlign w:val="center"/>
                </w:tcPr>
                <w:p w14:paraId="7D117102">
                  <w:pPr>
                    <w:pStyle w:val="65"/>
                    <w:rPr>
                      <w:bCs/>
                      <w:color w:val="auto"/>
                    </w:rPr>
                  </w:pPr>
                  <w:r>
                    <w:rPr>
                      <w:bCs/>
                      <w:color w:val="auto"/>
                    </w:rPr>
                    <w:t>76</w:t>
                  </w:r>
                </w:p>
              </w:tc>
              <w:tc>
                <w:tcPr>
                  <w:tcW w:w="403" w:type="pct"/>
                  <w:tcBorders>
                    <w:top w:val="single" w:color="auto" w:sz="4" w:space="0"/>
                    <w:left w:val="single" w:color="auto" w:sz="4" w:space="0"/>
                    <w:bottom w:val="single" w:color="auto" w:sz="4" w:space="0"/>
                    <w:right w:val="single" w:color="auto" w:sz="4" w:space="0"/>
                  </w:tcBorders>
                  <w:vAlign w:val="center"/>
                </w:tcPr>
                <w:p w14:paraId="21295463">
                  <w:pPr>
                    <w:pStyle w:val="65"/>
                    <w:rPr>
                      <w:bCs/>
                      <w:color w:val="auto"/>
                    </w:rPr>
                  </w:pPr>
                  <w:r>
                    <w:rPr>
                      <w:bCs/>
                      <w:color w:val="auto"/>
                    </w:rPr>
                    <w:t>74</w:t>
                  </w:r>
                </w:p>
              </w:tc>
              <w:tc>
                <w:tcPr>
                  <w:tcW w:w="403" w:type="pct"/>
                  <w:tcBorders>
                    <w:top w:val="single" w:color="auto" w:sz="4" w:space="0"/>
                    <w:left w:val="single" w:color="auto" w:sz="4" w:space="0"/>
                    <w:bottom w:val="single" w:color="auto" w:sz="4" w:space="0"/>
                    <w:right w:val="single" w:color="auto" w:sz="4" w:space="0"/>
                  </w:tcBorders>
                  <w:vAlign w:val="center"/>
                </w:tcPr>
                <w:p w14:paraId="49971AC7">
                  <w:pPr>
                    <w:pStyle w:val="65"/>
                    <w:rPr>
                      <w:bCs/>
                      <w:color w:val="auto"/>
                    </w:rPr>
                  </w:pPr>
                  <w:r>
                    <w:rPr>
                      <w:i/>
                      <w:iCs/>
                      <w:color w:val="auto"/>
                    </w:rPr>
                    <w:t>70</w:t>
                  </w:r>
                </w:p>
              </w:tc>
              <w:tc>
                <w:tcPr>
                  <w:tcW w:w="403" w:type="pct"/>
                  <w:tcBorders>
                    <w:top w:val="single" w:color="auto" w:sz="4" w:space="0"/>
                    <w:left w:val="single" w:color="auto" w:sz="4" w:space="0"/>
                    <w:bottom w:val="single" w:color="auto" w:sz="4" w:space="0"/>
                    <w:right w:val="single" w:color="auto" w:sz="4" w:space="0"/>
                  </w:tcBorders>
                  <w:vAlign w:val="center"/>
                </w:tcPr>
                <w:p w14:paraId="44EB22B4">
                  <w:pPr>
                    <w:pStyle w:val="65"/>
                    <w:rPr>
                      <w:bCs/>
                      <w:color w:val="auto"/>
                    </w:rPr>
                  </w:pPr>
                  <w:r>
                    <w:rPr>
                      <w:bCs/>
                      <w:color w:val="auto"/>
                    </w:rPr>
                    <w:t>66</w:t>
                  </w:r>
                </w:p>
              </w:tc>
              <w:tc>
                <w:tcPr>
                  <w:tcW w:w="403" w:type="pct"/>
                  <w:tcBorders>
                    <w:top w:val="single" w:color="auto" w:sz="4" w:space="0"/>
                    <w:left w:val="single" w:color="auto" w:sz="4" w:space="0"/>
                    <w:bottom w:val="single" w:color="auto" w:sz="4" w:space="0"/>
                    <w:right w:val="single" w:color="auto" w:sz="4" w:space="0"/>
                  </w:tcBorders>
                  <w:vAlign w:val="center"/>
                </w:tcPr>
                <w:p w14:paraId="0B9F2823">
                  <w:pPr>
                    <w:pStyle w:val="65"/>
                    <w:rPr>
                      <w:bCs/>
                      <w:color w:val="auto"/>
                    </w:rPr>
                  </w:pPr>
                  <w:r>
                    <w:rPr>
                      <w:bCs/>
                      <w:color w:val="auto"/>
                    </w:rPr>
                    <w:t>64</w:t>
                  </w:r>
                </w:p>
              </w:tc>
              <w:tc>
                <w:tcPr>
                  <w:tcW w:w="456" w:type="pct"/>
                  <w:tcBorders>
                    <w:top w:val="single" w:color="auto" w:sz="4" w:space="0"/>
                    <w:left w:val="single" w:color="auto" w:sz="4" w:space="0"/>
                    <w:bottom w:val="single" w:color="auto" w:sz="4" w:space="0"/>
                    <w:right w:val="single" w:color="auto" w:sz="4" w:space="0"/>
                  </w:tcBorders>
                  <w:vAlign w:val="center"/>
                </w:tcPr>
                <w:p w14:paraId="73D38AE6">
                  <w:pPr>
                    <w:pStyle w:val="65"/>
                    <w:rPr>
                      <w:i/>
                      <w:iCs/>
                      <w:color w:val="auto"/>
                    </w:rPr>
                  </w:pPr>
                  <w:r>
                    <w:rPr>
                      <w:i/>
                      <w:iCs/>
                      <w:color w:val="auto"/>
                    </w:rPr>
                    <w:t>55</w:t>
                  </w:r>
                </w:p>
              </w:tc>
              <w:tc>
                <w:tcPr>
                  <w:tcW w:w="456" w:type="pct"/>
                  <w:tcBorders>
                    <w:top w:val="single" w:color="auto" w:sz="4" w:space="0"/>
                    <w:left w:val="single" w:color="auto" w:sz="4" w:space="0"/>
                    <w:bottom w:val="single" w:color="auto" w:sz="4" w:space="0"/>
                    <w:right w:val="single" w:color="auto" w:sz="4" w:space="0"/>
                  </w:tcBorders>
                  <w:vAlign w:val="center"/>
                </w:tcPr>
                <w:p w14:paraId="15847EA3">
                  <w:pPr>
                    <w:pStyle w:val="65"/>
                    <w:rPr>
                      <w:bCs/>
                      <w:color w:val="auto"/>
                    </w:rPr>
                  </w:pPr>
                  <w:r>
                    <w:rPr>
                      <w:bCs/>
                      <w:color w:val="auto"/>
                    </w:rPr>
                    <w:t>49</w:t>
                  </w:r>
                </w:p>
              </w:tc>
              <w:tc>
                <w:tcPr>
                  <w:tcW w:w="456" w:type="pct"/>
                  <w:tcBorders>
                    <w:top w:val="single" w:color="auto" w:sz="4" w:space="0"/>
                    <w:left w:val="single" w:color="auto" w:sz="4" w:space="0"/>
                    <w:bottom w:val="single" w:color="auto" w:sz="4" w:space="0"/>
                    <w:right w:val="single" w:color="auto" w:sz="4" w:space="0"/>
                  </w:tcBorders>
                  <w:vAlign w:val="center"/>
                </w:tcPr>
                <w:p w14:paraId="16FAE80B">
                  <w:pPr>
                    <w:pStyle w:val="65"/>
                    <w:rPr>
                      <w:i/>
                      <w:iCs/>
                      <w:color w:val="auto"/>
                    </w:rPr>
                  </w:pPr>
                  <w:r>
                    <w:rPr>
                      <w:i/>
                      <w:iCs/>
                      <w:color w:val="auto"/>
                    </w:rPr>
                    <w:t>45</w:t>
                  </w:r>
                </w:p>
              </w:tc>
            </w:tr>
            <w:tr w14:paraId="0238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7126CCE0">
                  <w:pPr>
                    <w:pStyle w:val="65"/>
                    <w:rPr>
                      <w:color w:val="auto"/>
                      <w:kern w:val="0"/>
                    </w:rPr>
                  </w:pPr>
                  <w:r>
                    <w:rPr>
                      <w:rFonts w:hint="eastAsia"/>
                      <w:color w:val="auto"/>
                      <w:kern w:val="0"/>
                    </w:rPr>
                    <w:t>钻孔器</w:t>
                  </w:r>
                </w:p>
              </w:tc>
              <w:tc>
                <w:tcPr>
                  <w:tcW w:w="263" w:type="pct"/>
                  <w:tcBorders>
                    <w:top w:val="single" w:color="auto" w:sz="4" w:space="0"/>
                    <w:left w:val="single" w:color="auto" w:sz="4" w:space="0"/>
                    <w:bottom w:val="single" w:color="auto" w:sz="4" w:space="0"/>
                    <w:right w:val="single" w:color="auto" w:sz="4" w:space="0"/>
                  </w:tcBorders>
                  <w:vAlign w:val="center"/>
                </w:tcPr>
                <w:p w14:paraId="788EA8B4">
                  <w:pPr>
                    <w:pStyle w:val="65"/>
                    <w:rPr>
                      <w:bCs/>
                      <w:color w:val="auto"/>
                    </w:rPr>
                  </w:pPr>
                  <w:r>
                    <w:rPr>
                      <w:bCs/>
                      <w:color w:val="auto"/>
                    </w:rPr>
                    <w:t>82</w:t>
                  </w:r>
                </w:p>
              </w:tc>
              <w:tc>
                <w:tcPr>
                  <w:tcW w:w="402" w:type="pct"/>
                  <w:tcBorders>
                    <w:top w:val="single" w:color="auto" w:sz="4" w:space="0"/>
                    <w:left w:val="single" w:color="auto" w:sz="4" w:space="0"/>
                    <w:bottom w:val="single" w:color="auto" w:sz="4" w:space="0"/>
                    <w:right w:val="single" w:color="auto" w:sz="4" w:space="0"/>
                  </w:tcBorders>
                  <w:vAlign w:val="center"/>
                </w:tcPr>
                <w:p w14:paraId="13EB00FF">
                  <w:pPr>
                    <w:pStyle w:val="65"/>
                    <w:rPr>
                      <w:bCs/>
                      <w:color w:val="auto"/>
                    </w:rPr>
                  </w:pPr>
                  <w:r>
                    <w:rPr>
                      <w:bCs/>
                      <w:color w:val="auto"/>
                    </w:rPr>
                    <w:t>68</w:t>
                  </w:r>
                </w:p>
              </w:tc>
              <w:tc>
                <w:tcPr>
                  <w:tcW w:w="403" w:type="pct"/>
                  <w:tcBorders>
                    <w:top w:val="single" w:color="auto" w:sz="4" w:space="0"/>
                    <w:left w:val="single" w:color="auto" w:sz="4" w:space="0"/>
                    <w:bottom w:val="single" w:color="auto" w:sz="4" w:space="0"/>
                    <w:right w:val="single" w:color="auto" w:sz="4" w:space="0"/>
                  </w:tcBorders>
                  <w:vAlign w:val="center"/>
                </w:tcPr>
                <w:p w14:paraId="3991F700">
                  <w:pPr>
                    <w:pStyle w:val="65"/>
                    <w:rPr>
                      <w:bCs/>
                      <w:color w:val="auto"/>
                    </w:rPr>
                  </w:pPr>
                  <w:r>
                    <w:rPr>
                      <w:bCs/>
                      <w:color w:val="auto"/>
                    </w:rPr>
                    <w:t>62</w:t>
                  </w:r>
                </w:p>
              </w:tc>
              <w:tc>
                <w:tcPr>
                  <w:tcW w:w="403" w:type="pct"/>
                  <w:tcBorders>
                    <w:top w:val="single" w:color="auto" w:sz="4" w:space="0"/>
                    <w:left w:val="single" w:color="auto" w:sz="4" w:space="0"/>
                    <w:bottom w:val="single" w:color="auto" w:sz="4" w:space="0"/>
                    <w:right w:val="single" w:color="auto" w:sz="4" w:space="0"/>
                  </w:tcBorders>
                  <w:vAlign w:val="center"/>
                </w:tcPr>
                <w:p w14:paraId="2FBD95F7">
                  <w:pPr>
                    <w:pStyle w:val="65"/>
                    <w:rPr>
                      <w:bCs/>
                      <w:color w:val="auto"/>
                    </w:rPr>
                  </w:pPr>
                  <w:r>
                    <w:rPr>
                      <w:bCs/>
                      <w:color w:val="auto"/>
                    </w:rPr>
                    <w:t>58</w:t>
                  </w:r>
                </w:p>
              </w:tc>
              <w:tc>
                <w:tcPr>
                  <w:tcW w:w="403" w:type="pct"/>
                  <w:tcBorders>
                    <w:top w:val="single" w:color="auto" w:sz="4" w:space="0"/>
                    <w:left w:val="single" w:color="auto" w:sz="4" w:space="0"/>
                    <w:bottom w:val="single" w:color="auto" w:sz="4" w:space="0"/>
                    <w:right w:val="single" w:color="auto" w:sz="4" w:space="0"/>
                  </w:tcBorders>
                  <w:vAlign w:val="center"/>
                </w:tcPr>
                <w:p w14:paraId="172EEBD7">
                  <w:pPr>
                    <w:pStyle w:val="65"/>
                    <w:rPr>
                      <w:bCs/>
                      <w:color w:val="auto"/>
                    </w:rPr>
                  </w:pPr>
                  <w:r>
                    <w:rPr>
                      <w:bCs/>
                      <w:color w:val="auto"/>
                    </w:rPr>
                    <w:t>56</w:t>
                  </w:r>
                </w:p>
              </w:tc>
              <w:tc>
                <w:tcPr>
                  <w:tcW w:w="403" w:type="pct"/>
                  <w:tcBorders>
                    <w:top w:val="single" w:color="auto" w:sz="4" w:space="0"/>
                    <w:left w:val="single" w:color="auto" w:sz="4" w:space="0"/>
                    <w:bottom w:val="single" w:color="auto" w:sz="4" w:space="0"/>
                    <w:right w:val="single" w:color="auto" w:sz="4" w:space="0"/>
                  </w:tcBorders>
                  <w:vAlign w:val="center"/>
                </w:tcPr>
                <w:p w14:paraId="7E1A590A">
                  <w:pPr>
                    <w:pStyle w:val="65"/>
                    <w:rPr>
                      <w:bCs/>
                      <w:color w:val="auto"/>
                    </w:rPr>
                  </w:pPr>
                  <w:r>
                    <w:rPr>
                      <w:bCs/>
                      <w:color w:val="auto"/>
                    </w:rPr>
                    <w:t>52</w:t>
                  </w:r>
                </w:p>
              </w:tc>
              <w:tc>
                <w:tcPr>
                  <w:tcW w:w="403" w:type="pct"/>
                  <w:tcBorders>
                    <w:top w:val="single" w:color="auto" w:sz="4" w:space="0"/>
                    <w:left w:val="single" w:color="auto" w:sz="4" w:space="0"/>
                    <w:bottom w:val="single" w:color="auto" w:sz="4" w:space="0"/>
                    <w:right w:val="single" w:color="auto" w:sz="4" w:space="0"/>
                  </w:tcBorders>
                  <w:vAlign w:val="center"/>
                </w:tcPr>
                <w:p w14:paraId="53D6CED7">
                  <w:pPr>
                    <w:pStyle w:val="65"/>
                    <w:rPr>
                      <w:bCs/>
                      <w:color w:val="auto"/>
                    </w:rPr>
                  </w:pPr>
                  <w:r>
                    <w:rPr>
                      <w:bCs/>
                      <w:color w:val="auto"/>
                    </w:rPr>
                    <w:t>48</w:t>
                  </w:r>
                </w:p>
              </w:tc>
              <w:tc>
                <w:tcPr>
                  <w:tcW w:w="403" w:type="pct"/>
                  <w:tcBorders>
                    <w:top w:val="single" w:color="auto" w:sz="4" w:space="0"/>
                    <w:left w:val="single" w:color="auto" w:sz="4" w:space="0"/>
                    <w:bottom w:val="single" w:color="auto" w:sz="4" w:space="0"/>
                    <w:right w:val="single" w:color="auto" w:sz="4" w:space="0"/>
                  </w:tcBorders>
                  <w:vAlign w:val="center"/>
                </w:tcPr>
                <w:p w14:paraId="72C9F1D5">
                  <w:pPr>
                    <w:pStyle w:val="65"/>
                    <w:rPr>
                      <w:bCs/>
                      <w:color w:val="auto"/>
                    </w:rPr>
                  </w:pPr>
                  <w:r>
                    <w:rPr>
                      <w:bCs/>
                      <w:color w:val="auto"/>
                    </w:rPr>
                    <w:t>46</w:t>
                  </w:r>
                </w:p>
              </w:tc>
              <w:tc>
                <w:tcPr>
                  <w:tcW w:w="456" w:type="pct"/>
                  <w:tcBorders>
                    <w:top w:val="single" w:color="auto" w:sz="4" w:space="0"/>
                    <w:left w:val="single" w:color="auto" w:sz="4" w:space="0"/>
                    <w:bottom w:val="single" w:color="auto" w:sz="4" w:space="0"/>
                    <w:right w:val="single" w:color="auto" w:sz="4" w:space="0"/>
                  </w:tcBorders>
                  <w:vAlign w:val="center"/>
                </w:tcPr>
                <w:p w14:paraId="484F6F84">
                  <w:pPr>
                    <w:pStyle w:val="65"/>
                    <w:rPr>
                      <w:bCs/>
                      <w:color w:val="auto"/>
                    </w:rPr>
                  </w:pPr>
                  <w:r>
                    <w:rPr>
                      <w:bCs/>
                      <w:color w:val="auto"/>
                    </w:rPr>
                    <w:t>37</w:t>
                  </w:r>
                </w:p>
              </w:tc>
              <w:tc>
                <w:tcPr>
                  <w:tcW w:w="456" w:type="pct"/>
                  <w:tcBorders>
                    <w:top w:val="single" w:color="auto" w:sz="4" w:space="0"/>
                    <w:left w:val="single" w:color="auto" w:sz="4" w:space="0"/>
                    <w:bottom w:val="single" w:color="auto" w:sz="4" w:space="0"/>
                    <w:right w:val="single" w:color="auto" w:sz="4" w:space="0"/>
                  </w:tcBorders>
                  <w:vAlign w:val="center"/>
                </w:tcPr>
                <w:p w14:paraId="2A75ED9A">
                  <w:pPr>
                    <w:pStyle w:val="65"/>
                    <w:rPr>
                      <w:bCs/>
                      <w:color w:val="auto"/>
                    </w:rPr>
                  </w:pPr>
                  <w:r>
                    <w:rPr>
                      <w:bCs/>
                      <w:color w:val="auto"/>
                    </w:rPr>
                    <w:t>31</w:t>
                  </w:r>
                </w:p>
              </w:tc>
              <w:tc>
                <w:tcPr>
                  <w:tcW w:w="456" w:type="pct"/>
                  <w:tcBorders>
                    <w:top w:val="single" w:color="auto" w:sz="4" w:space="0"/>
                    <w:left w:val="single" w:color="auto" w:sz="4" w:space="0"/>
                    <w:bottom w:val="single" w:color="auto" w:sz="4" w:space="0"/>
                    <w:right w:val="single" w:color="auto" w:sz="4" w:space="0"/>
                  </w:tcBorders>
                  <w:vAlign w:val="center"/>
                </w:tcPr>
                <w:p w14:paraId="0928EDD6">
                  <w:pPr>
                    <w:pStyle w:val="65"/>
                    <w:rPr>
                      <w:bCs/>
                      <w:color w:val="auto"/>
                    </w:rPr>
                  </w:pPr>
                  <w:r>
                    <w:rPr>
                      <w:bCs/>
                      <w:color w:val="auto"/>
                    </w:rPr>
                    <w:t>27</w:t>
                  </w:r>
                </w:p>
              </w:tc>
            </w:tr>
            <w:tr w14:paraId="03B4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5C6C8819">
                  <w:pPr>
                    <w:pStyle w:val="65"/>
                    <w:rPr>
                      <w:color w:val="auto"/>
                      <w:kern w:val="0"/>
                    </w:rPr>
                  </w:pPr>
                  <w:r>
                    <w:rPr>
                      <w:rFonts w:hint="eastAsia"/>
                      <w:color w:val="auto"/>
                      <w:kern w:val="0"/>
                    </w:rPr>
                    <w:t>手风钻</w:t>
                  </w:r>
                </w:p>
              </w:tc>
              <w:tc>
                <w:tcPr>
                  <w:tcW w:w="263" w:type="pct"/>
                  <w:tcBorders>
                    <w:top w:val="single" w:color="auto" w:sz="4" w:space="0"/>
                    <w:left w:val="single" w:color="auto" w:sz="4" w:space="0"/>
                    <w:bottom w:val="single" w:color="auto" w:sz="4" w:space="0"/>
                    <w:right w:val="single" w:color="auto" w:sz="4" w:space="0"/>
                  </w:tcBorders>
                  <w:vAlign w:val="center"/>
                </w:tcPr>
                <w:p w14:paraId="4AAE1202">
                  <w:pPr>
                    <w:pStyle w:val="65"/>
                    <w:rPr>
                      <w:bCs/>
                      <w:color w:val="auto"/>
                    </w:rPr>
                  </w:pPr>
                  <w:r>
                    <w:rPr>
                      <w:bCs/>
                      <w:color w:val="auto"/>
                    </w:rPr>
                    <w:t>95</w:t>
                  </w:r>
                </w:p>
              </w:tc>
              <w:tc>
                <w:tcPr>
                  <w:tcW w:w="402" w:type="pct"/>
                  <w:tcBorders>
                    <w:top w:val="single" w:color="auto" w:sz="4" w:space="0"/>
                    <w:left w:val="single" w:color="auto" w:sz="4" w:space="0"/>
                    <w:bottom w:val="single" w:color="auto" w:sz="4" w:space="0"/>
                    <w:right w:val="single" w:color="auto" w:sz="4" w:space="0"/>
                  </w:tcBorders>
                  <w:vAlign w:val="center"/>
                </w:tcPr>
                <w:p w14:paraId="12F5A8ED">
                  <w:pPr>
                    <w:pStyle w:val="65"/>
                    <w:rPr>
                      <w:bCs/>
                      <w:color w:val="auto"/>
                    </w:rPr>
                  </w:pPr>
                  <w:r>
                    <w:rPr>
                      <w:bCs/>
                      <w:color w:val="auto"/>
                    </w:rPr>
                    <w:t>81</w:t>
                  </w:r>
                </w:p>
              </w:tc>
              <w:tc>
                <w:tcPr>
                  <w:tcW w:w="403" w:type="pct"/>
                  <w:tcBorders>
                    <w:top w:val="single" w:color="auto" w:sz="4" w:space="0"/>
                    <w:left w:val="single" w:color="auto" w:sz="4" w:space="0"/>
                    <w:bottom w:val="single" w:color="auto" w:sz="4" w:space="0"/>
                    <w:right w:val="single" w:color="auto" w:sz="4" w:space="0"/>
                  </w:tcBorders>
                  <w:vAlign w:val="center"/>
                </w:tcPr>
                <w:p w14:paraId="755E4989">
                  <w:pPr>
                    <w:pStyle w:val="65"/>
                    <w:rPr>
                      <w:bCs/>
                      <w:color w:val="auto"/>
                    </w:rPr>
                  </w:pPr>
                  <w:r>
                    <w:rPr>
                      <w:bCs/>
                      <w:color w:val="auto"/>
                    </w:rPr>
                    <w:t>75</w:t>
                  </w:r>
                </w:p>
              </w:tc>
              <w:tc>
                <w:tcPr>
                  <w:tcW w:w="403" w:type="pct"/>
                  <w:tcBorders>
                    <w:top w:val="single" w:color="auto" w:sz="4" w:space="0"/>
                    <w:left w:val="single" w:color="auto" w:sz="4" w:space="0"/>
                    <w:bottom w:val="single" w:color="auto" w:sz="4" w:space="0"/>
                    <w:right w:val="single" w:color="auto" w:sz="4" w:space="0"/>
                  </w:tcBorders>
                  <w:vAlign w:val="center"/>
                </w:tcPr>
                <w:p w14:paraId="3D380AE0">
                  <w:pPr>
                    <w:pStyle w:val="65"/>
                    <w:rPr>
                      <w:bCs/>
                      <w:color w:val="auto"/>
                    </w:rPr>
                  </w:pPr>
                  <w:r>
                    <w:rPr>
                      <w:bCs/>
                      <w:color w:val="auto"/>
                    </w:rPr>
                    <w:t>71</w:t>
                  </w:r>
                </w:p>
              </w:tc>
              <w:tc>
                <w:tcPr>
                  <w:tcW w:w="403" w:type="pct"/>
                  <w:tcBorders>
                    <w:top w:val="single" w:color="auto" w:sz="4" w:space="0"/>
                    <w:left w:val="single" w:color="auto" w:sz="4" w:space="0"/>
                    <w:bottom w:val="single" w:color="auto" w:sz="4" w:space="0"/>
                    <w:right w:val="single" w:color="auto" w:sz="4" w:space="0"/>
                  </w:tcBorders>
                  <w:vAlign w:val="center"/>
                </w:tcPr>
                <w:p w14:paraId="2A0601D4">
                  <w:pPr>
                    <w:pStyle w:val="65"/>
                    <w:rPr>
                      <w:bCs/>
                      <w:color w:val="auto"/>
                    </w:rPr>
                  </w:pPr>
                  <w:r>
                    <w:rPr>
                      <w:bCs/>
                      <w:color w:val="auto"/>
                    </w:rPr>
                    <w:t>69</w:t>
                  </w:r>
                </w:p>
              </w:tc>
              <w:tc>
                <w:tcPr>
                  <w:tcW w:w="403" w:type="pct"/>
                  <w:tcBorders>
                    <w:top w:val="single" w:color="auto" w:sz="4" w:space="0"/>
                    <w:left w:val="single" w:color="auto" w:sz="4" w:space="0"/>
                    <w:bottom w:val="single" w:color="auto" w:sz="4" w:space="0"/>
                    <w:right w:val="single" w:color="auto" w:sz="4" w:space="0"/>
                  </w:tcBorders>
                  <w:vAlign w:val="center"/>
                </w:tcPr>
                <w:p w14:paraId="4380DC4F">
                  <w:pPr>
                    <w:pStyle w:val="65"/>
                    <w:rPr>
                      <w:bCs/>
                      <w:color w:val="auto"/>
                    </w:rPr>
                  </w:pPr>
                  <w:r>
                    <w:rPr>
                      <w:bCs/>
                      <w:color w:val="auto"/>
                    </w:rPr>
                    <w:t>65</w:t>
                  </w:r>
                </w:p>
              </w:tc>
              <w:tc>
                <w:tcPr>
                  <w:tcW w:w="403" w:type="pct"/>
                  <w:tcBorders>
                    <w:top w:val="single" w:color="auto" w:sz="4" w:space="0"/>
                    <w:left w:val="single" w:color="auto" w:sz="4" w:space="0"/>
                    <w:bottom w:val="single" w:color="auto" w:sz="4" w:space="0"/>
                    <w:right w:val="single" w:color="auto" w:sz="4" w:space="0"/>
                  </w:tcBorders>
                  <w:vAlign w:val="center"/>
                </w:tcPr>
                <w:p w14:paraId="4190A8AD">
                  <w:pPr>
                    <w:pStyle w:val="65"/>
                    <w:rPr>
                      <w:bCs/>
                      <w:color w:val="auto"/>
                    </w:rPr>
                  </w:pPr>
                  <w:r>
                    <w:rPr>
                      <w:bCs/>
                      <w:color w:val="auto"/>
                    </w:rPr>
                    <w:t>61</w:t>
                  </w:r>
                </w:p>
              </w:tc>
              <w:tc>
                <w:tcPr>
                  <w:tcW w:w="403" w:type="pct"/>
                  <w:tcBorders>
                    <w:top w:val="single" w:color="auto" w:sz="4" w:space="0"/>
                    <w:left w:val="single" w:color="auto" w:sz="4" w:space="0"/>
                    <w:bottom w:val="single" w:color="auto" w:sz="4" w:space="0"/>
                    <w:right w:val="single" w:color="auto" w:sz="4" w:space="0"/>
                  </w:tcBorders>
                  <w:vAlign w:val="center"/>
                </w:tcPr>
                <w:p w14:paraId="65A3D6DA">
                  <w:pPr>
                    <w:pStyle w:val="65"/>
                    <w:rPr>
                      <w:bCs/>
                      <w:color w:val="auto"/>
                    </w:rPr>
                  </w:pPr>
                  <w:r>
                    <w:rPr>
                      <w:bCs/>
                      <w:color w:val="auto"/>
                    </w:rPr>
                    <w:t>59</w:t>
                  </w:r>
                </w:p>
              </w:tc>
              <w:tc>
                <w:tcPr>
                  <w:tcW w:w="456" w:type="pct"/>
                  <w:tcBorders>
                    <w:top w:val="single" w:color="auto" w:sz="4" w:space="0"/>
                    <w:left w:val="single" w:color="auto" w:sz="4" w:space="0"/>
                    <w:bottom w:val="single" w:color="auto" w:sz="4" w:space="0"/>
                    <w:right w:val="single" w:color="auto" w:sz="4" w:space="0"/>
                  </w:tcBorders>
                  <w:vAlign w:val="center"/>
                </w:tcPr>
                <w:p w14:paraId="59765983">
                  <w:pPr>
                    <w:pStyle w:val="65"/>
                    <w:rPr>
                      <w:bCs/>
                      <w:color w:val="auto"/>
                    </w:rPr>
                  </w:pPr>
                  <w:r>
                    <w:rPr>
                      <w:bCs/>
                      <w:color w:val="auto"/>
                    </w:rPr>
                    <w:t>50</w:t>
                  </w:r>
                </w:p>
              </w:tc>
              <w:tc>
                <w:tcPr>
                  <w:tcW w:w="456" w:type="pct"/>
                  <w:tcBorders>
                    <w:top w:val="single" w:color="auto" w:sz="4" w:space="0"/>
                    <w:left w:val="single" w:color="auto" w:sz="4" w:space="0"/>
                    <w:bottom w:val="single" w:color="auto" w:sz="4" w:space="0"/>
                    <w:right w:val="single" w:color="auto" w:sz="4" w:space="0"/>
                  </w:tcBorders>
                  <w:vAlign w:val="center"/>
                </w:tcPr>
                <w:p w14:paraId="2C54DB25">
                  <w:pPr>
                    <w:pStyle w:val="65"/>
                    <w:rPr>
                      <w:bCs/>
                      <w:color w:val="auto"/>
                    </w:rPr>
                  </w:pPr>
                  <w:r>
                    <w:rPr>
                      <w:bCs/>
                      <w:color w:val="auto"/>
                    </w:rPr>
                    <w:t>44</w:t>
                  </w:r>
                </w:p>
              </w:tc>
              <w:tc>
                <w:tcPr>
                  <w:tcW w:w="456" w:type="pct"/>
                  <w:tcBorders>
                    <w:top w:val="single" w:color="auto" w:sz="4" w:space="0"/>
                    <w:left w:val="single" w:color="auto" w:sz="4" w:space="0"/>
                    <w:bottom w:val="single" w:color="auto" w:sz="4" w:space="0"/>
                    <w:right w:val="single" w:color="auto" w:sz="4" w:space="0"/>
                  </w:tcBorders>
                  <w:vAlign w:val="center"/>
                </w:tcPr>
                <w:p w14:paraId="4E67EB23">
                  <w:pPr>
                    <w:pStyle w:val="65"/>
                    <w:rPr>
                      <w:bCs/>
                      <w:color w:val="auto"/>
                    </w:rPr>
                  </w:pPr>
                  <w:r>
                    <w:rPr>
                      <w:bCs/>
                      <w:color w:val="auto"/>
                    </w:rPr>
                    <w:t>40</w:t>
                  </w:r>
                </w:p>
              </w:tc>
            </w:tr>
            <w:tr w14:paraId="3E9A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40F60ABF">
                  <w:pPr>
                    <w:pStyle w:val="65"/>
                    <w:rPr>
                      <w:color w:val="auto"/>
                      <w:kern w:val="0"/>
                    </w:rPr>
                  </w:pPr>
                  <w:r>
                    <w:rPr>
                      <w:rFonts w:hint="eastAsia"/>
                      <w:color w:val="auto"/>
                      <w:kern w:val="0"/>
                    </w:rPr>
                    <w:t>振动打夯机</w:t>
                  </w:r>
                </w:p>
              </w:tc>
              <w:tc>
                <w:tcPr>
                  <w:tcW w:w="263" w:type="pct"/>
                  <w:tcBorders>
                    <w:top w:val="single" w:color="auto" w:sz="4" w:space="0"/>
                    <w:left w:val="single" w:color="auto" w:sz="4" w:space="0"/>
                    <w:bottom w:val="single" w:color="auto" w:sz="4" w:space="0"/>
                    <w:right w:val="single" w:color="auto" w:sz="4" w:space="0"/>
                  </w:tcBorders>
                  <w:vAlign w:val="center"/>
                </w:tcPr>
                <w:p w14:paraId="3A070845">
                  <w:pPr>
                    <w:pStyle w:val="65"/>
                    <w:rPr>
                      <w:bCs/>
                      <w:color w:val="auto"/>
                    </w:rPr>
                  </w:pPr>
                  <w:r>
                    <w:rPr>
                      <w:bCs/>
                      <w:color w:val="auto"/>
                    </w:rPr>
                    <w:t>75</w:t>
                  </w:r>
                </w:p>
              </w:tc>
              <w:tc>
                <w:tcPr>
                  <w:tcW w:w="402" w:type="pct"/>
                  <w:tcBorders>
                    <w:top w:val="single" w:color="auto" w:sz="4" w:space="0"/>
                    <w:left w:val="single" w:color="auto" w:sz="4" w:space="0"/>
                    <w:bottom w:val="single" w:color="auto" w:sz="4" w:space="0"/>
                    <w:right w:val="single" w:color="auto" w:sz="4" w:space="0"/>
                  </w:tcBorders>
                  <w:vAlign w:val="center"/>
                </w:tcPr>
                <w:p w14:paraId="3AD51276">
                  <w:pPr>
                    <w:pStyle w:val="65"/>
                    <w:rPr>
                      <w:bCs/>
                      <w:color w:val="auto"/>
                    </w:rPr>
                  </w:pPr>
                  <w:r>
                    <w:rPr>
                      <w:bCs/>
                      <w:color w:val="auto"/>
                    </w:rPr>
                    <w:t>61</w:t>
                  </w:r>
                </w:p>
              </w:tc>
              <w:tc>
                <w:tcPr>
                  <w:tcW w:w="403" w:type="pct"/>
                  <w:tcBorders>
                    <w:top w:val="single" w:color="auto" w:sz="4" w:space="0"/>
                    <w:left w:val="single" w:color="auto" w:sz="4" w:space="0"/>
                    <w:bottom w:val="single" w:color="auto" w:sz="4" w:space="0"/>
                    <w:right w:val="single" w:color="auto" w:sz="4" w:space="0"/>
                  </w:tcBorders>
                  <w:vAlign w:val="center"/>
                </w:tcPr>
                <w:p w14:paraId="1B321914">
                  <w:pPr>
                    <w:pStyle w:val="65"/>
                    <w:rPr>
                      <w:bCs/>
                      <w:color w:val="auto"/>
                    </w:rPr>
                  </w:pPr>
                  <w:r>
                    <w:rPr>
                      <w:bCs/>
                      <w:color w:val="auto"/>
                    </w:rPr>
                    <w:t>55</w:t>
                  </w:r>
                </w:p>
              </w:tc>
              <w:tc>
                <w:tcPr>
                  <w:tcW w:w="403" w:type="pct"/>
                  <w:tcBorders>
                    <w:top w:val="single" w:color="auto" w:sz="4" w:space="0"/>
                    <w:left w:val="single" w:color="auto" w:sz="4" w:space="0"/>
                    <w:bottom w:val="single" w:color="auto" w:sz="4" w:space="0"/>
                    <w:right w:val="single" w:color="auto" w:sz="4" w:space="0"/>
                  </w:tcBorders>
                  <w:vAlign w:val="center"/>
                </w:tcPr>
                <w:p w14:paraId="6BF8D06E">
                  <w:pPr>
                    <w:pStyle w:val="65"/>
                    <w:rPr>
                      <w:bCs/>
                      <w:color w:val="auto"/>
                    </w:rPr>
                  </w:pPr>
                  <w:r>
                    <w:rPr>
                      <w:bCs/>
                      <w:color w:val="auto"/>
                    </w:rPr>
                    <w:t>51</w:t>
                  </w:r>
                </w:p>
              </w:tc>
              <w:tc>
                <w:tcPr>
                  <w:tcW w:w="403" w:type="pct"/>
                  <w:tcBorders>
                    <w:top w:val="single" w:color="auto" w:sz="4" w:space="0"/>
                    <w:left w:val="single" w:color="auto" w:sz="4" w:space="0"/>
                    <w:bottom w:val="single" w:color="auto" w:sz="4" w:space="0"/>
                    <w:right w:val="single" w:color="auto" w:sz="4" w:space="0"/>
                  </w:tcBorders>
                  <w:vAlign w:val="center"/>
                </w:tcPr>
                <w:p w14:paraId="436106B2">
                  <w:pPr>
                    <w:pStyle w:val="65"/>
                    <w:rPr>
                      <w:bCs/>
                      <w:color w:val="auto"/>
                    </w:rPr>
                  </w:pPr>
                  <w:r>
                    <w:rPr>
                      <w:bCs/>
                      <w:color w:val="auto"/>
                    </w:rPr>
                    <w:t>49</w:t>
                  </w:r>
                </w:p>
              </w:tc>
              <w:tc>
                <w:tcPr>
                  <w:tcW w:w="403" w:type="pct"/>
                  <w:tcBorders>
                    <w:top w:val="single" w:color="auto" w:sz="4" w:space="0"/>
                    <w:left w:val="single" w:color="auto" w:sz="4" w:space="0"/>
                    <w:bottom w:val="single" w:color="auto" w:sz="4" w:space="0"/>
                    <w:right w:val="single" w:color="auto" w:sz="4" w:space="0"/>
                  </w:tcBorders>
                  <w:vAlign w:val="center"/>
                </w:tcPr>
                <w:p w14:paraId="7C4AA284">
                  <w:pPr>
                    <w:pStyle w:val="65"/>
                    <w:rPr>
                      <w:bCs/>
                      <w:color w:val="auto"/>
                    </w:rPr>
                  </w:pPr>
                  <w:r>
                    <w:rPr>
                      <w:bCs/>
                      <w:color w:val="auto"/>
                    </w:rPr>
                    <w:t>45</w:t>
                  </w:r>
                </w:p>
              </w:tc>
              <w:tc>
                <w:tcPr>
                  <w:tcW w:w="403" w:type="pct"/>
                  <w:tcBorders>
                    <w:top w:val="single" w:color="auto" w:sz="4" w:space="0"/>
                    <w:left w:val="single" w:color="auto" w:sz="4" w:space="0"/>
                    <w:bottom w:val="single" w:color="auto" w:sz="4" w:space="0"/>
                    <w:right w:val="single" w:color="auto" w:sz="4" w:space="0"/>
                  </w:tcBorders>
                  <w:vAlign w:val="center"/>
                </w:tcPr>
                <w:p w14:paraId="5649A993">
                  <w:pPr>
                    <w:pStyle w:val="65"/>
                    <w:rPr>
                      <w:bCs/>
                      <w:color w:val="auto"/>
                    </w:rPr>
                  </w:pPr>
                  <w:r>
                    <w:rPr>
                      <w:bCs/>
                      <w:color w:val="auto"/>
                    </w:rPr>
                    <w:t>41</w:t>
                  </w:r>
                </w:p>
              </w:tc>
              <w:tc>
                <w:tcPr>
                  <w:tcW w:w="403" w:type="pct"/>
                  <w:tcBorders>
                    <w:top w:val="single" w:color="auto" w:sz="4" w:space="0"/>
                    <w:left w:val="single" w:color="auto" w:sz="4" w:space="0"/>
                    <w:bottom w:val="single" w:color="auto" w:sz="4" w:space="0"/>
                    <w:right w:val="single" w:color="auto" w:sz="4" w:space="0"/>
                  </w:tcBorders>
                  <w:vAlign w:val="center"/>
                </w:tcPr>
                <w:p w14:paraId="62FB3D8C">
                  <w:pPr>
                    <w:pStyle w:val="65"/>
                    <w:rPr>
                      <w:bCs/>
                      <w:color w:val="auto"/>
                    </w:rPr>
                  </w:pPr>
                  <w:r>
                    <w:rPr>
                      <w:bCs/>
                      <w:color w:val="auto"/>
                    </w:rPr>
                    <w:t>39</w:t>
                  </w:r>
                </w:p>
              </w:tc>
              <w:tc>
                <w:tcPr>
                  <w:tcW w:w="456" w:type="pct"/>
                  <w:tcBorders>
                    <w:top w:val="single" w:color="auto" w:sz="4" w:space="0"/>
                    <w:left w:val="single" w:color="auto" w:sz="4" w:space="0"/>
                    <w:bottom w:val="single" w:color="auto" w:sz="4" w:space="0"/>
                    <w:right w:val="single" w:color="auto" w:sz="4" w:space="0"/>
                  </w:tcBorders>
                  <w:vAlign w:val="center"/>
                </w:tcPr>
                <w:p w14:paraId="5B751932">
                  <w:pPr>
                    <w:pStyle w:val="65"/>
                    <w:rPr>
                      <w:bCs/>
                      <w:color w:val="auto"/>
                    </w:rPr>
                  </w:pPr>
                  <w:r>
                    <w:rPr>
                      <w:bCs/>
                      <w:color w:val="auto"/>
                    </w:rPr>
                    <w:t>30</w:t>
                  </w:r>
                </w:p>
              </w:tc>
              <w:tc>
                <w:tcPr>
                  <w:tcW w:w="456" w:type="pct"/>
                  <w:tcBorders>
                    <w:top w:val="single" w:color="auto" w:sz="4" w:space="0"/>
                    <w:left w:val="single" w:color="auto" w:sz="4" w:space="0"/>
                    <w:bottom w:val="single" w:color="auto" w:sz="4" w:space="0"/>
                    <w:right w:val="single" w:color="auto" w:sz="4" w:space="0"/>
                  </w:tcBorders>
                  <w:vAlign w:val="center"/>
                </w:tcPr>
                <w:p w14:paraId="36547E3D">
                  <w:pPr>
                    <w:pStyle w:val="65"/>
                    <w:rPr>
                      <w:bCs/>
                      <w:color w:val="auto"/>
                    </w:rPr>
                  </w:pPr>
                  <w:r>
                    <w:rPr>
                      <w:bCs/>
                      <w:color w:val="auto"/>
                    </w:rPr>
                    <w:t>24</w:t>
                  </w:r>
                </w:p>
              </w:tc>
              <w:tc>
                <w:tcPr>
                  <w:tcW w:w="456" w:type="pct"/>
                  <w:tcBorders>
                    <w:top w:val="single" w:color="auto" w:sz="4" w:space="0"/>
                    <w:left w:val="single" w:color="auto" w:sz="4" w:space="0"/>
                    <w:bottom w:val="single" w:color="auto" w:sz="4" w:space="0"/>
                    <w:right w:val="single" w:color="auto" w:sz="4" w:space="0"/>
                  </w:tcBorders>
                  <w:vAlign w:val="center"/>
                </w:tcPr>
                <w:p w14:paraId="627BB34A">
                  <w:pPr>
                    <w:pStyle w:val="65"/>
                    <w:rPr>
                      <w:bCs/>
                      <w:color w:val="auto"/>
                    </w:rPr>
                  </w:pPr>
                  <w:r>
                    <w:rPr>
                      <w:bCs/>
                      <w:color w:val="auto"/>
                    </w:rPr>
                    <w:t>20</w:t>
                  </w:r>
                </w:p>
              </w:tc>
            </w:tr>
            <w:tr w14:paraId="4412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355F3342">
                  <w:pPr>
                    <w:pStyle w:val="65"/>
                    <w:rPr>
                      <w:color w:val="auto"/>
                      <w:kern w:val="0"/>
                    </w:rPr>
                  </w:pPr>
                  <w:r>
                    <w:rPr>
                      <w:rFonts w:hint="eastAsia"/>
                      <w:color w:val="auto"/>
                      <w:kern w:val="0"/>
                    </w:rPr>
                    <w:t>空压机</w:t>
                  </w:r>
                </w:p>
              </w:tc>
              <w:tc>
                <w:tcPr>
                  <w:tcW w:w="263" w:type="pct"/>
                  <w:tcBorders>
                    <w:top w:val="single" w:color="auto" w:sz="4" w:space="0"/>
                    <w:left w:val="single" w:color="auto" w:sz="4" w:space="0"/>
                    <w:bottom w:val="single" w:color="auto" w:sz="4" w:space="0"/>
                    <w:right w:val="single" w:color="auto" w:sz="4" w:space="0"/>
                  </w:tcBorders>
                  <w:vAlign w:val="center"/>
                </w:tcPr>
                <w:p w14:paraId="203E3263">
                  <w:pPr>
                    <w:pStyle w:val="65"/>
                    <w:rPr>
                      <w:bCs/>
                      <w:color w:val="auto"/>
                    </w:rPr>
                  </w:pPr>
                  <w:r>
                    <w:rPr>
                      <w:bCs/>
                      <w:color w:val="auto"/>
                    </w:rPr>
                    <w:t>96</w:t>
                  </w:r>
                </w:p>
              </w:tc>
              <w:tc>
                <w:tcPr>
                  <w:tcW w:w="402" w:type="pct"/>
                  <w:tcBorders>
                    <w:top w:val="single" w:color="auto" w:sz="4" w:space="0"/>
                    <w:left w:val="single" w:color="auto" w:sz="4" w:space="0"/>
                    <w:bottom w:val="single" w:color="auto" w:sz="4" w:space="0"/>
                    <w:right w:val="single" w:color="auto" w:sz="4" w:space="0"/>
                  </w:tcBorders>
                  <w:vAlign w:val="center"/>
                </w:tcPr>
                <w:p w14:paraId="0D1FB76A">
                  <w:pPr>
                    <w:pStyle w:val="65"/>
                    <w:rPr>
                      <w:bCs/>
                      <w:color w:val="auto"/>
                    </w:rPr>
                  </w:pPr>
                  <w:r>
                    <w:rPr>
                      <w:bCs/>
                      <w:color w:val="auto"/>
                    </w:rPr>
                    <w:t>82</w:t>
                  </w:r>
                </w:p>
              </w:tc>
              <w:tc>
                <w:tcPr>
                  <w:tcW w:w="403" w:type="pct"/>
                  <w:tcBorders>
                    <w:top w:val="single" w:color="auto" w:sz="4" w:space="0"/>
                    <w:left w:val="single" w:color="auto" w:sz="4" w:space="0"/>
                    <w:bottom w:val="single" w:color="auto" w:sz="4" w:space="0"/>
                    <w:right w:val="single" w:color="auto" w:sz="4" w:space="0"/>
                  </w:tcBorders>
                  <w:vAlign w:val="center"/>
                </w:tcPr>
                <w:p w14:paraId="14CC20DF">
                  <w:pPr>
                    <w:pStyle w:val="65"/>
                    <w:rPr>
                      <w:bCs/>
                      <w:color w:val="auto"/>
                    </w:rPr>
                  </w:pPr>
                  <w:r>
                    <w:rPr>
                      <w:bCs/>
                      <w:color w:val="auto"/>
                    </w:rPr>
                    <w:t>76</w:t>
                  </w:r>
                </w:p>
              </w:tc>
              <w:tc>
                <w:tcPr>
                  <w:tcW w:w="403" w:type="pct"/>
                  <w:tcBorders>
                    <w:top w:val="single" w:color="auto" w:sz="4" w:space="0"/>
                    <w:left w:val="single" w:color="auto" w:sz="4" w:space="0"/>
                    <w:bottom w:val="single" w:color="auto" w:sz="4" w:space="0"/>
                    <w:right w:val="single" w:color="auto" w:sz="4" w:space="0"/>
                  </w:tcBorders>
                  <w:vAlign w:val="center"/>
                </w:tcPr>
                <w:p w14:paraId="7615C9CC">
                  <w:pPr>
                    <w:pStyle w:val="65"/>
                    <w:rPr>
                      <w:bCs/>
                      <w:color w:val="auto"/>
                    </w:rPr>
                  </w:pPr>
                  <w:r>
                    <w:rPr>
                      <w:bCs/>
                      <w:color w:val="auto"/>
                    </w:rPr>
                    <w:t>72</w:t>
                  </w:r>
                </w:p>
              </w:tc>
              <w:tc>
                <w:tcPr>
                  <w:tcW w:w="403" w:type="pct"/>
                  <w:tcBorders>
                    <w:top w:val="single" w:color="auto" w:sz="4" w:space="0"/>
                    <w:left w:val="single" w:color="auto" w:sz="4" w:space="0"/>
                    <w:bottom w:val="single" w:color="auto" w:sz="4" w:space="0"/>
                    <w:right w:val="single" w:color="auto" w:sz="4" w:space="0"/>
                  </w:tcBorders>
                  <w:vAlign w:val="center"/>
                </w:tcPr>
                <w:p w14:paraId="3CEB9F8E">
                  <w:pPr>
                    <w:pStyle w:val="65"/>
                    <w:rPr>
                      <w:bCs/>
                      <w:color w:val="auto"/>
                    </w:rPr>
                  </w:pPr>
                  <w:r>
                    <w:rPr>
                      <w:bCs/>
                      <w:color w:val="auto"/>
                    </w:rPr>
                    <w:t>70</w:t>
                  </w:r>
                </w:p>
              </w:tc>
              <w:tc>
                <w:tcPr>
                  <w:tcW w:w="403" w:type="pct"/>
                  <w:tcBorders>
                    <w:top w:val="single" w:color="auto" w:sz="4" w:space="0"/>
                    <w:left w:val="single" w:color="auto" w:sz="4" w:space="0"/>
                    <w:bottom w:val="single" w:color="auto" w:sz="4" w:space="0"/>
                    <w:right w:val="single" w:color="auto" w:sz="4" w:space="0"/>
                  </w:tcBorders>
                  <w:vAlign w:val="center"/>
                </w:tcPr>
                <w:p w14:paraId="3654DB96">
                  <w:pPr>
                    <w:pStyle w:val="65"/>
                    <w:rPr>
                      <w:bCs/>
                      <w:color w:val="auto"/>
                    </w:rPr>
                  </w:pPr>
                  <w:r>
                    <w:rPr>
                      <w:bCs/>
                      <w:color w:val="auto"/>
                    </w:rPr>
                    <w:t>66</w:t>
                  </w:r>
                </w:p>
              </w:tc>
              <w:tc>
                <w:tcPr>
                  <w:tcW w:w="403" w:type="pct"/>
                  <w:tcBorders>
                    <w:top w:val="single" w:color="auto" w:sz="4" w:space="0"/>
                    <w:left w:val="single" w:color="auto" w:sz="4" w:space="0"/>
                    <w:bottom w:val="single" w:color="auto" w:sz="4" w:space="0"/>
                    <w:right w:val="single" w:color="auto" w:sz="4" w:space="0"/>
                  </w:tcBorders>
                  <w:vAlign w:val="center"/>
                </w:tcPr>
                <w:p w14:paraId="7078CA87">
                  <w:pPr>
                    <w:pStyle w:val="65"/>
                    <w:rPr>
                      <w:bCs/>
                      <w:color w:val="auto"/>
                    </w:rPr>
                  </w:pPr>
                  <w:r>
                    <w:rPr>
                      <w:bCs/>
                      <w:color w:val="auto"/>
                    </w:rPr>
                    <w:t>62</w:t>
                  </w:r>
                </w:p>
              </w:tc>
              <w:tc>
                <w:tcPr>
                  <w:tcW w:w="403" w:type="pct"/>
                  <w:tcBorders>
                    <w:top w:val="single" w:color="auto" w:sz="4" w:space="0"/>
                    <w:left w:val="single" w:color="auto" w:sz="4" w:space="0"/>
                    <w:bottom w:val="single" w:color="auto" w:sz="4" w:space="0"/>
                    <w:right w:val="single" w:color="auto" w:sz="4" w:space="0"/>
                  </w:tcBorders>
                  <w:vAlign w:val="center"/>
                </w:tcPr>
                <w:p w14:paraId="64FE905B">
                  <w:pPr>
                    <w:pStyle w:val="65"/>
                    <w:rPr>
                      <w:bCs/>
                      <w:color w:val="auto"/>
                    </w:rPr>
                  </w:pPr>
                  <w:r>
                    <w:rPr>
                      <w:bCs/>
                      <w:color w:val="auto"/>
                    </w:rPr>
                    <w:t>60</w:t>
                  </w:r>
                </w:p>
              </w:tc>
              <w:tc>
                <w:tcPr>
                  <w:tcW w:w="456" w:type="pct"/>
                  <w:tcBorders>
                    <w:top w:val="single" w:color="auto" w:sz="4" w:space="0"/>
                    <w:left w:val="single" w:color="auto" w:sz="4" w:space="0"/>
                    <w:bottom w:val="single" w:color="auto" w:sz="4" w:space="0"/>
                    <w:right w:val="single" w:color="auto" w:sz="4" w:space="0"/>
                  </w:tcBorders>
                  <w:vAlign w:val="center"/>
                </w:tcPr>
                <w:p w14:paraId="14F4E1E1">
                  <w:pPr>
                    <w:pStyle w:val="65"/>
                    <w:rPr>
                      <w:bCs/>
                      <w:color w:val="auto"/>
                    </w:rPr>
                  </w:pPr>
                  <w:r>
                    <w:rPr>
                      <w:bCs/>
                      <w:color w:val="auto"/>
                    </w:rPr>
                    <w:t>51</w:t>
                  </w:r>
                </w:p>
              </w:tc>
              <w:tc>
                <w:tcPr>
                  <w:tcW w:w="456" w:type="pct"/>
                  <w:tcBorders>
                    <w:top w:val="single" w:color="auto" w:sz="4" w:space="0"/>
                    <w:left w:val="single" w:color="auto" w:sz="4" w:space="0"/>
                    <w:bottom w:val="single" w:color="auto" w:sz="4" w:space="0"/>
                    <w:right w:val="single" w:color="auto" w:sz="4" w:space="0"/>
                  </w:tcBorders>
                  <w:vAlign w:val="center"/>
                </w:tcPr>
                <w:p w14:paraId="118A4105">
                  <w:pPr>
                    <w:pStyle w:val="65"/>
                    <w:rPr>
                      <w:bCs/>
                      <w:color w:val="auto"/>
                    </w:rPr>
                  </w:pPr>
                  <w:r>
                    <w:rPr>
                      <w:bCs/>
                      <w:color w:val="auto"/>
                    </w:rPr>
                    <w:t>45</w:t>
                  </w:r>
                </w:p>
              </w:tc>
              <w:tc>
                <w:tcPr>
                  <w:tcW w:w="456" w:type="pct"/>
                  <w:tcBorders>
                    <w:top w:val="single" w:color="auto" w:sz="4" w:space="0"/>
                    <w:left w:val="single" w:color="auto" w:sz="4" w:space="0"/>
                    <w:bottom w:val="single" w:color="auto" w:sz="4" w:space="0"/>
                    <w:right w:val="single" w:color="auto" w:sz="4" w:space="0"/>
                  </w:tcBorders>
                  <w:vAlign w:val="center"/>
                </w:tcPr>
                <w:p w14:paraId="7FED0CD8">
                  <w:pPr>
                    <w:pStyle w:val="65"/>
                    <w:rPr>
                      <w:bCs/>
                      <w:color w:val="auto"/>
                    </w:rPr>
                  </w:pPr>
                  <w:r>
                    <w:rPr>
                      <w:bCs/>
                      <w:color w:val="auto"/>
                    </w:rPr>
                    <w:t>41</w:t>
                  </w:r>
                </w:p>
              </w:tc>
            </w:tr>
            <w:tr w14:paraId="3348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1A4BAFCB">
                  <w:pPr>
                    <w:pStyle w:val="65"/>
                    <w:rPr>
                      <w:color w:val="auto"/>
                      <w:kern w:val="0"/>
                    </w:rPr>
                  </w:pPr>
                  <w:r>
                    <w:rPr>
                      <w:rFonts w:hint="eastAsia"/>
                      <w:color w:val="auto"/>
                      <w:kern w:val="0"/>
                    </w:rPr>
                    <w:t>混凝土插入式振动器</w:t>
                  </w:r>
                </w:p>
              </w:tc>
              <w:tc>
                <w:tcPr>
                  <w:tcW w:w="263" w:type="pct"/>
                  <w:tcBorders>
                    <w:top w:val="single" w:color="auto" w:sz="4" w:space="0"/>
                    <w:left w:val="single" w:color="auto" w:sz="4" w:space="0"/>
                    <w:bottom w:val="single" w:color="auto" w:sz="4" w:space="0"/>
                    <w:right w:val="single" w:color="auto" w:sz="4" w:space="0"/>
                  </w:tcBorders>
                  <w:vAlign w:val="center"/>
                </w:tcPr>
                <w:p w14:paraId="64A3BBBC">
                  <w:pPr>
                    <w:pStyle w:val="65"/>
                    <w:rPr>
                      <w:bCs/>
                      <w:color w:val="auto"/>
                    </w:rPr>
                  </w:pPr>
                  <w:r>
                    <w:rPr>
                      <w:bCs/>
                      <w:color w:val="auto"/>
                    </w:rPr>
                    <w:t>83</w:t>
                  </w:r>
                </w:p>
              </w:tc>
              <w:tc>
                <w:tcPr>
                  <w:tcW w:w="402" w:type="pct"/>
                  <w:tcBorders>
                    <w:top w:val="single" w:color="auto" w:sz="4" w:space="0"/>
                    <w:left w:val="single" w:color="auto" w:sz="4" w:space="0"/>
                    <w:bottom w:val="single" w:color="auto" w:sz="4" w:space="0"/>
                    <w:right w:val="single" w:color="auto" w:sz="4" w:space="0"/>
                  </w:tcBorders>
                  <w:vAlign w:val="center"/>
                </w:tcPr>
                <w:p w14:paraId="786615F4">
                  <w:pPr>
                    <w:pStyle w:val="65"/>
                    <w:rPr>
                      <w:bCs/>
                      <w:color w:val="auto"/>
                    </w:rPr>
                  </w:pPr>
                  <w:r>
                    <w:rPr>
                      <w:bCs/>
                      <w:color w:val="auto"/>
                    </w:rPr>
                    <w:t>69</w:t>
                  </w:r>
                </w:p>
              </w:tc>
              <w:tc>
                <w:tcPr>
                  <w:tcW w:w="403" w:type="pct"/>
                  <w:tcBorders>
                    <w:top w:val="single" w:color="auto" w:sz="4" w:space="0"/>
                    <w:left w:val="single" w:color="auto" w:sz="4" w:space="0"/>
                    <w:bottom w:val="single" w:color="auto" w:sz="4" w:space="0"/>
                    <w:right w:val="single" w:color="auto" w:sz="4" w:space="0"/>
                  </w:tcBorders>
                  <w:vAlign w:val="center"/>
                </w:tcPr>
                <w:p w14:paraId="7F6518BD">
                  <w:pPr>
                    <w:pStyle w:val="65"/>
                    <w:rPr>
                      <w:bCs/>
                      <w:color w:val="auto"/>
                    </w:rPr>
                  </w:pPr>
                  <w:r>
                    <w:rPr>
                      <w:bCs/>
                      <w:color w:val="auto"/>
                    </w:rPr>
                    <w:t>63</w:t>
                  </w:r>
                </w:p>
              </w:tc>
              <w:tc>
                <w:tcPr>
                  <w:tcW w:w="403" w:type="pct"/>
                  <w:tcBorders>
                    <w:top w:val="single" w:color="auto" w:sz="4" w:space="0"/>
                    <w:left w:val="single" w:color="auto" w:sz="4" w:space="0"/>
                    <w:bottom w:val="single" w:color="auto" w:sz="4" w:space="0"/>
                    <w:right w:val="single" w:color="auto" w:sz="4" w:space="0"/>
                  </w:tcBorders>
                  <w:vAlign w:val="center"/>
                </w:tcPr>
                <w:p w14:paraId="64730876">
                  <w:pPr>
                    <w:pStyle w:val="65"/>
                    <w:rPr>
                      <w:bCs/>
                      <w:color w:val="auto"/>
                    </w:rPr>
                  </w:pPr>
                  <w:r>
                    <w:rPr>
                      <w:bCs/>
                      <w:color w:val="auto"/>
                    </w:rPr>
                    <w:t>59</w:t>
                  </w:r>
                </w:p>
              </w:tc>
              <w:tc>
                <w:tcPr>
                  <w:tcW w:w="403" w:type="pct"/>
                  <w:tcBorders>
                    <w:top w:val="single" w:color="auto" w:sz="4" w:space="0"/>
                    <w:left w:val="single" w:color="auto" w:sz="4" w:space="0"/>
                    <w:bottom w:val="single" w:color="auto" w:sz="4" w:space="0"/>
                    <w:right w:val="single" w:color="auto" w:sz="4" w:space="0"/>
                  </w:tcBorders>
                  <w:vAlign w:val="center"/>
                </w:tcPr>
                <w:p w14:paraId="2C18962C">
                  <w:pPr>
                    <w:pStyle w:val="65"/>
                    <w:rPr>
                      <w:bCs/>
                      <w:color w:val="auto"/>
                    </w:rPr>
                  </w:pPr>
                  <w:r>
                    <w:rPr>
                      <w:bCs/>
                      <w:color w:val="auto"/>
                    </w:rPr>
                    <w:t>57</w:t>
                  </w:r>
                </w:p>
              </w:tc>
              <w:tc>
                <w:tcPr>
                  <w:tcW w:w="403" w:type="pct"/>
                  <w:tcBorders>
                    <w:top w:val="single" w:color="auto" w:sz="4" w:space="0"/>
                    <w:left w:val="single" w:color="auto" w:sz="4" w:space="0"/>
                    <w:bottom w:val="single" w:color="auto" w:sz="4" w:space="0"/>
                    <w:right w:val="single" w:color="auto" w:sz="4" w:space="0"/>
                  </w:tcBorders>
                  <w:vAlign w:val="center"/>
                </w:tcPr>
                <w:p w14:paraId="4645E0C3">
                  <w:pPr>
                    <w:pStyle w:val="65"/>
                    <w:rPr>
                      <w:bCs/>
                      <w:color w:val="auto"/>
                    </w:rPr>
                  </w:pPr>
                  <w:r>
                    <w:rPr>
                      <w:bCs/>
                      <w:color w:val="auto"/>
                    </w:rPr>
                    <w:t>53</w:t>
                  </w:r>
                </w:p>
              </w:tc>
              <w:tc>
                <w:tcPr>
                  <w:tcW w:w="403" w:type="pct"/>
                  <w:tcBorders>
                    <w:top w:val="single" w:color="auto" w:sz="4" w:space="0"/>
                    <w:left w:val="single" w:color="auto" w:sz="4" w:space="0"/>
                    <w:bottom w:val="single" w:color="auto" w:sz="4" w:space="0"/>
                    <w:right w:val="single" w:color="auto" w:sz="4" w:space="0"/>
                  </w:tcBorders>
                  <w:vAlign w:val="center"/>
                </w:tcPr>
                <w:p w14:paraId="01CC7D53">
                  <w:pPr>
                    <w:pStyle w:val="65"/>
                    <w:rPr>
                      <w:bCs/>
                      <w:color w:val="auto"/>
                    </w:rPr>
                  </w:pPr>
                  <w:r>
                    <w:rPr>
                      <w:bCs/>
                      <w:color w:val="auto"/>
                    </w:rPr>
                    <w:t>49</w:t>
                  </w:r>
                </w:p>
              </w:tc>
              <w:tc>
                <w:tcPr>
                  <w:tcW w:w="403" w:type="pct"/>
                  <w:tcBorders>
                    <w:top w:val="single" w:color="auto" w:sz="4" w:space="0"/>
                    <w:left w:val="single" w:color="auto" w:sz="4" w:space="0"/>
                    <w:bottom w:val="single" w:color="auto" w:sz="4" w:space="0"/>
                    <w:right w:val="single" w:color="auto" w:sz="4" w:space="0"/>
                  </w:tcBorders>
                  <w:vAlign w:val="center"/>
                </w:tcPr>
                <w:p w14:paraId="1CF07C85">
                  <w:pPr>
                    <w:pStyle w:val="65"/>
                    <w:rPr>
                      <w:bCs/>
                      <w:color w:val="auto"/>
                    </w:rPr>
                  </w:pPr>
                  <w:r>
                    <w:rPr>
                      <w:bCs/>
                      <w:color w:val="auto"/>
                    </w:rPr>
                    <w:t>47</w:t>
                  </w:r>
                </w:p>
              </w:tc>
              <w:tc>
                <w:tcPr>
                  <w:tcW w:w="456" w:type="pct"/>
                  <w:tcBorders>
                    <w:top w:val="single" w:color="auto" w:sz="4" w:space="0"/>
                    <w:left w:val="single" w:color="auto" w:sz="4" w:space="0"/>
                    <w:bottom w:val="single" w:color="auto" w:sz="4" w:space="0"/>
                    <w:right w:val="single" w:color="auto" w:sz="4" w:space="0"/>
                  </w:tcBorders>
                  <w:vAlign w:val="center"/>
                </w:tcPr>
                <w:p w14:paraId="50E5C9F8">
                  <w:pPr>
                    <w:pStyle w:val="65"/>
                    <w:rPr>
                      <w:bCs/>
                      <w:color w:val="auto"/>
                    </w:rPr>
                  </w:pPr>
                  <w:r>
                    <w:rPr>
                      <w:bCs/>
                      <w:color w:val="auto"/>
                    </w:rPr>
                    <w:t>38</w:t>
                  </w:r>
                </w:p>
              </w:tc>
              <w:tc>
                <w:tcPr>
                  <w:tcW w:w="456" w:type="pct"/>
                  <w:tcBorders>
                    <w:top w:val="single" w:color="auto" w:sz="4" w:space="0"/>
                    <w:left w:val="single" w:color="auto" w:sz="4" w:space="0"/>
                    <w:bottom w:val="single" w:color="auto" w:sz="4" w:space="0"/>
                    <w:right w:val="single" w:color="auto" w:sz="4" w:space="0"/>
                  </w:tcBorders>
                  <w:vAlign w:val="center"/>
                </w:tcPr>
                <w:p w14:paraId="1A81FCCC">
                  <w:pPr>
                    <w:pStyle w:val="65"/>
                    <w:rPr>
                      <w:bCs/>
                      <w:color w:val="auto"/>
                    </w:rPr>
                  </w:pPr>
                  <w:r>
                    <w:rPr>
                      <w:bCs/>
                      <w:color w:val="auto"/>
                    </w:rPr>
                    <w:t>32</w:t>
                  </w:r>
                </w:p>
              </w:tc>
              <w:tc>
                <w:tcPr>
                  <w:tcW w:w="456" w:type="pct"/>
                  <w:tcBorders>
                    <w:top w:val="single" w:color="auto" w:sz="4" w:space="0"/>
                    <w:left w:val="single" w:color="auto" w:sz="4" w:space="0"/>
                    <w:bottom w:val="single" w:color="auto" w:sz="4" w:space="0"/>
                    <w:right w:val="single" w:color="auto" w:sz="4" w:space="0"/>
                  </w:tcBorders>
                  <w:vAlign w:val="center"/>
                </w:tcPr>
                <w:p w14:paraId="07CBDF73">
                  <w:pPr>
                    <w:pStyle w:val="65"/>
                    <w:rPr>
                      <w:bCs/>
                      <w:color w:val="auto"/>
                    </w:rPr>
                  </w:pPr>
                  <w:r>
                    <w:rPr>
                      <w:bCs/>
                      <w:color w:val="auto"/>
                    </w:rPr>
                    <w:t>28</w:t>
                  </w:r>
                </w:p>
              </w:tc>
            </w:tr>
            <w:tr w14:paraId="7186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6C645F6B">
                  <w:pPr>
                    <w:pStyle w:val="65"/>
                    <w:rPr>
                      <w:color w:val="auto"/>
                      <w:kern w:val="0"/>
                    </w:rPr>
                  </w:pPr>
                  <w:r>
                    <w:rPr>
                      <w:rFonts w:hint="eastAsia"/>
                      <w:color w:val="auto"/>
                      <w:kern w:val="0"/>
                    </w:rPr>
                    <w:t>电锯</w:t>
                  </w:r>
                </w:p>
              </w:tc>
              <w:tc>
                <w:tcPr>
                  <w:tcW w:w="263" w:type="pct"/>
                  <w:tcBorders>
                    <w:top w:val="single" w:color="auto" w:sz="4" w:space="0"/>
                    <w:left w:val="single" w:color="auto" w:sz="4" w:space="0"/>
                    <w:bottom w:val="single" w:color="auto" w:sz="4" w:space="0"/>
                    <w:right w:val="single" w:color="auto" w:sz="4" w:space="0"/>
                  </w:tcBorders>
                  <w:vAlign w:val="center"/>
                </w:tcPr>
                <w:p w14:paraId="61AD790A">
                  <w:pPr>
                    <w:pStyle w:val="65"/>
                    <w:rPr>
                      <w:bCs/>
                      <w:color w:val="auto"/>
                    </w:rPr>
                  </w:pPr>
                  <w:r>
                    <w:rPr>
                      <w:bCs/>
                      <w:color w:val="auto"/>
                    </w:rPr>
                    <w:t>100</w:t>
                  </w:r>
                </w:p>
              </w:tc>
              <w:tc>
                <w:tcPr>
                  <w:tcW w:w="402" w:type="pct"/>
                  <w:tcBorders>
                    <w:top w:val="single" w:color="auto" w:sz="4" w:space="0"/>
                    <w:left w:val="single" w:color="auto" w:sz="4" w:space="0"/>
                    <w:bottom w:val="single" w:color="auto" w:sz="4" w:space="0"/>
                    <w:right w:val="single" w:color="auto" w:sz="4" w:space="0"/>
                  </w:tcBorders>
                  <w:vAlign w:val="center"/>
                </w:tcPr>
                <w:p w14:paraId="5709677F">
                  <w:pPr>
                    <w:pStyle w:val="65"/>
                    <w:rPr>
                      <w:bCs/>
                      <w:color w:val="auto"/>
                    </w:rPr>
                  </w:pPr>
                  <w:r>
                    <w:rPr>
                      <w:bCs/>
                      <w:color w:val="auto"/>
                    </w:rPr>
                    <w:t>86</w:t>
                  </w:r>
                </w:p>
              </w:tc>
              <w:tc>
                <w:tcPr>
                  <w:tcW w:w="403" w:type="pct"/>
                  <w:tcBorders>
                    <w:top w:val="single" w:color="auto" w:sz="4" w:space="0"/>
                    <w:left w:val="single" w:color="auto" w:sz="4" w:space="0"/>
                    <w:bottom w:val="single" w:color="auto" w:sz="4" w:space="0"/>
                    <w:right w:val="single" w:color="auto" w:sz="4" w:space="0"/>
                  </w:tcBorders>
                  <w:vAlign w:val="center"/>
                </w:tcPr>
                <w:p w14:paraId="1ED45E70">
                  <w:pPr>
                    <w:pStyle w:val="65"/>
                    <w:rPr>
                      <w:bCs/>
                      <w:color w:val="auto"/>
                    </w:rPr>
                  </w:pPr>
                  <w:r>
                    <w:rPr>
                      <w:bCs/>
                      <w:color w:val="auto"/>
                    </w:rPr>
                    <w:t>80</w:t>
                  </w:r>
                </w:p>
              </w:tc>
              <w:tc>
                <w:tcPr>
                  <w:tcW w:w="403" w:type="pct"/>
                  <w:tcBorders>
                    <w:top w:val="single" w:color="auto" w:sz="4" w:space="0"/>
                    <w:left w:val="single" w:color="auto" w:sz="4" w:space="0"/>
                    <w:bottom w:val="single" w:color="auto" w:sz="4" w:space="0"/>
                    <w:right w:val="single" w:color="auto" w:sz="4" w:space="0"/>
                  </w:tcBorders>
                  <w:vAlign w:val="center"/>
                </w:tcPr>
                <w:p w14:paraId="5437A65C">
                  <w:pPr>
                    <w:pStyle w:val="65"/>
                    <w:rPr>
                      <w:bCs/>
                      <w:color w:val="auto"/>
                    </w:rPr>
                  </w:pPr>
                  <w:r>
                    <w:rPr>
                      <w:bCs/>
                      <w:color w:val="auto"/>
                    </w:rPr>
                    <w:t>76</w:t>
                  </w:r>
                </w:p>
              </w:tc>
              <w:tc>
                <w:tcPr>
                  <w:tcW w:w="403" w:type="pct"/>
                  <w:tcBorders>
                    <w:top w:val="single" w:color="auto" w:sz="4" w:space="0"/>
                    <w:left w:val="single" w:color="auto" w:sz="4" w:space="0"/>
                    <w:bottom w:val="single" w:color="auto" w:sz="4" w:space="0"/>
                    <w:right w:val="single" w:color="auto" w:sz="4" w:space="0"/>
                  </w:tcBorders>
                  <w:vAlign w:val="center"/>
                </w:tcPr>
                <w:p w14:paraId="75F5EFAF">
                  <w:pPr>
                    <w:pStyle w:val="65"/>
                    <w:rPr>
                      <w:bCs/>
                      <w:color w:val="auto"/>
                    </w:rPr>
                  </w:pPr>
                  <w:r>
                    <w:rPr>
                      <w:bCs/>
                      <w:color w:val="auto"/>
                    </w:rPr>
                    <w:t>74</w:t>
                  </w:r>
                </w:p>
              </w:tc>
              <w:tc>
                <w:tcPr>
                  <w:tcW w:w="403" w:type="pct"/>
                  <w:tcBorders>
                    <w:top w:val="single" w:color="auto" w:sz="4" w:space="0"/>
                    <w:left w:val="single" w:color="auto" w:sz="4" w:space="0"/>
                    <w:bottom w:val="single" w:color="auto" w:sz="4" w:space="0"/>
                    <w:right w:val="single" w:color="auto" w:sz="4" w:space="0"/>
                  </w:tcBorders>
                  <w:vAlign w:val="center"/>
                </w:tcPr>
                <w:p w14:paraId="76F90BB9">
                  <w:pPr>
                    <w:pStyle w:val="65"/>
                    <w:rPr>
                      <w:bCs/>
                      <w:color w:val="auto"/>
                    </w:rPr>
                  </w:pPr>
                  <w:r>
                    <w:rPr>
                      <w:i/>
                      <w:iCs/>
                      <w:color w:val="auto"/>
                    </w:rPr>
                    <w:t>70</w:t>
                  </w:r>
                </w:p>
              </w:tc>
              <w:tc>
                <w:tcPr>
                  <w:tcW w:w="403" w:type="pct"/>
                  <w:tcBorders>
                    <w:top w:val="single" w:color="auto" w:sz="4" w:space="0"/>
                    <w:left w:val="single" w:color="auto" w:sz="4" w:space="0"/>
                    <w:bottom w:val="single" w:color="auto" w:sz="4" w:space="0"/>
                    <w:right w:val="single" w:color="auto" w:sz="4" w:space="0"/>
                  </w:tcBorders>
                  <w:vAlign w:val="center"/>
                </w:tcPr>
                <w:p w14:paraId="4B43C1DA">
                  <w:pPr>
                    <w:pStyle w:val="65"/>
                    <w:rPr>
                      <w:bCs/>
                      <w:color w:val="auto"/>
                    </w:rPr>
                  </w:pPr>
                  <w:r>
                    <w:rPr>
                      <w:bCs/>
                      <w:color w:val="auto"/>
                    </w:rPr>
                    <w:t>66</w:t>
                  </w:r>
                </w:p>
              </w:tc>
              <w:tc>
                <w:tcPr>
                  <w:tcW w:w="403" w:type="pct"/>
                  <w:tcBorders>
                    <w:top w:val="single" w:color="auto" w:sz="4" w:space="0"/>
                    <w:left w:val="single" w:color="auto" w:sz="4" w:space="0"/>
                    <w:bottom w:val="single" w:color="auto" w:sz="4" w:space="0"/>
                    <w:right w:val="single" w:color="auto" w:sz="4" w:space="0"/>
                  </w:tcBorders>
                  <w:vAlign w:val="center"/>
                </w:tcPr>
                <w:p w14:paraId="0170959A">
                  <w:pPr>
                    <w:pStyle w:val="65"/>
                    <w:rPr>
                      <w:bCs/>
                      <w:color w:val="auto"/>
                    </w:rPr>
                  </w:pPr>
                  <w:r>
                    <w:rPr>
                      <w:bCs/>
                      <w:color w:val="auto"/>
                    </w:rPr>
                    <w:t>64</w:t>
                  </w:r>
                </w:p>
              </w:tc>
              <w:tc>
                <w:tcPr>
                  <w:tcW w:w="456" w:type="pct"/>
                  <w:tcBorders>
                    <w:top w:val="single" w:color="auto" w:sz="4" w:space="0"/>
                    <w:left w:val="single" w:color="auto" w:sz="4" w:space="0"/>
                    <w:bottom w:val="single" w:color="auto" w:sz="4" w:space="0"/>
                    <w:right w:val="single" w:color="auto" w:sz="4" w:space="0"/>
                  </w:tcBorders>
                  <w:vAlign w:val="center"/>
                </w:tcPr>
                <w:p w14:paraId="5727DA69">
                  <w:pPr>
                    <w:pStyle w:val="65"/>
                    <w:rPr>
                      <w:i/>
                      <w:iCs/>
                      <w:color w:val="auto"/>
                    </w:rPr>
                  </w:pPr>
                  <w:r>
                    <w:rPr>
                      <w:i/>
                      <w:iCs/>
                      <w:color w:val="auto"/>
                    </w:rPr>
                    <w:t>55</w:t>
                  </w:r>
                </w:p>
              </w:tc>
              <w:tc>
                <w:tcPr>
                  <w:tcW w:w="456" w:type="pct"/>
                  <w:tcBorders>
                    <w:top w:val="single" w:color="auto" w:sz="4" w:space="0"/>
                    <w:left w:val="single" w:color="auto" w:sz="4" w:space="0"/>
                    <w:bottom w:val="single" w:color="auto" w:sz="4" w:space="0"/>
                    <w:right w:val="single" w:color="auto" w:sz="4" w:space="0"/>
                  </w:tcBorders>
                  <w:vAlign w:val="center"/>
                </w:tcPr>
                <w:p w14:paraId="2EF2C118">
                  <w:pPr>
                    <w:pStyle w:val="65"/>
                    <w:rPr>
                      <w:bCs/>
                      <w:color w:val="auto"/>
                    </w:rPr>
                  </w:pPr>
                  <w:r>
                    <w:rPr>
                      <w:bCs/>
                      <w:color w:val="auto"/>
                    </w:rPr>
                    <w:t>49</w:t>
                  </w:r>
                </w:p>
              </w:tc>
              <w:tc>
                <w:tcPr>
                  <w:tcW w:w="456" w:type="pct"/>
                  <w:tcBorders>
                    <w:top w:val="single" w:color="auto" w:sz="4" w:space="0"/>
                    <w:left w:val="single" w:color="auto" w:sz="4" w:space="0"/>
                    <w:bottom w:val="single" w:color="auto" w:sz="4" w:space="0"/>
                    <w:right w:val="single" w:color="auto" w:sz="4" w:space="0"/>
                  </w:tcBorders>
                  <w:vAlign w:val="center"/>
                </w:tcPr>
                <w:p w14:paraId="31E67795">
                  <w:pPr>
                    <w:pStyle w:val="65"/>
                    <w:rPr>
                      <w:i/>
                      <w:iCs/>
                      <w:color w:val="auto"/>
                    </w:rPr>
                  </w:pPr>
                  <w:r>
                    <w:rPr>
                      <w:i/>
                      <w:iCs/>
                      <w:color w:val="auto"/>
                    </w:rPr>
                    <w:t>45</w:t>
                  </w:r>
                </w:p>
              </w:tc>
            </w:tr>
            <w:tr w14:paraId="294D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4A847A23">
                  <w:pPr>
                    <w:pStyle w:val="65"/>
                    <w:rPr>
                      <w:color w:val="auto"/>
                      <w:kern w:val="0"/>
                    </w:rPr>
                  </w:pPr>
                  <w:r>
                    <w:rPr>
                      <w:rFonts w:hint="eastAsia"/>
                      <w:color w:val="auto"/>
                      <w:kern w:val="0"/>
                    </w:rPr>
                    <w:t>液压升降小车</w:t>
                  </w:r>
                </w:p>
              </w:tc>
              <w:tc>
                <w:tcPr>
                  <w:tcW w:w="263" w:type="pct"/>
                  <w:tcBorders>
                    <w:top w:val="single" w:color="auto" w:sz="4" w:space="0"/>
                    <w:left w:val="single" w:color="auto" w:sz="4" w:space="0"/>
                    <w:bottom w:val="single" w:color="auto" w:sz="4" w:space="0"/>
                    <w:right w:val="single" w:color="auto" w:sz="4" w:space="0"/>
                  </w:tcBorders>
                  <w:vAlign w:val="center"/>
                </w:tcPr>
                <w:p w14:paraId="574E8095">
                  <w:pPr>
                    <w:pStyle w:val="65"/>
                    <w:rPr>
                      <w:bCs/>
                      <w:color w:val="auto"/>
                    </w:rPr>
                  </w:pPr>
                  <w:r>
                    <w:rPr>
                      <w:bCs/>
                      <w:color w:val="auto"/>
                    </w:rPr>
                    <w:t>75</w:t>
                  </w:r>
                </w:p>
              </w:tc>
              <w:tc>
                <w:tcPr>
                  <w:tcW w:w="402" w:type="pct"/>
                  <w:tcBorders>
                    <w:top w:val="single" w:color="auto" w:sz="4" w:space="0"/>
                    <w:left w:val="single" w:color="auto" w:sz="4" w:space="0"/>
                    <w:bottom w:val="single" w:color="auto" w:sz="4" w:space="0"/>
                    <w:right w:val="single" w:color="auto" w:sz="4" w:space="0"/>
                  </w:tcBorders>
                  <w:vAlign w:val="center"/>
                </w:tcPr>
                <w:p w14:paraId="79A7B53C">
                  <w:pPr>
                    <w:pStyle w:val="65"/>
                    <w:rPr>
                      <w:bCs/>
                      <w:color w:val="auto"/>
                    </w:rPr>
                  </w:pPr>
                  <w:r>
                    <w:rPr>
                      <w:bCs/>
                      <w:color w:val="auto"/>
                    </w:rPr>
                    <w:t>61</w:t>
                  </w:r>
                </w:p>
              </w:tc>
              <w:tc>
                <w:tcPr>
                  <w:tcW w:w="403" w:type="pct"/>
                  <w:tcBorders>
                    <w:top w:val="single" w:color="auto" w:sz="4" w:space="0"/>
                    <w:left w:val="single" w:color="auto" w:sz="4" w:space="0"/>
                    <w:bottom w:val="single" w:color="auto" w:sz="4" w:space="0"/>
                    <w:right w:val="single" w:color="auto" w:sz="4" w:space="0"/>
                  </w:tcBorders>
                  <w:vAlign w:val="center"/>
                </w:tcPr>
                <w:p w14:paraId="31E0A839">
                  <w:pPr>
                    <w:pStyle w:val="65"/>
                    <w:rPr>
                      <w:bCs/>
                      <w:color w:val="auto"/>
                    </w:rPr>
                  </w:pPr>
                  <w:r>
                    <w:rPr>
                      <w:bCs/>
                      <w:color w:val="auto"/>
                    </w:rPr>
                    <w:t>55</w:t>
                  </w:r>
                </w:p>
              </w:tc>
              <w:tc>
                <w:tcPr>
                  <w:tcW w:w="403" w:type="pct"/>
                  <w:tcBorders>
                    <w:top w:val="single" w:color="auto" w:sz="4" w:space="0"/>
                    <w:left w:val="single" w:color="auto" w:sz="4" w:space="0"/>
                    <w:bottom w:val="single" w:color="auto" w:sz="4" w:space="0"/>
                    <w:right w:val="single" w:color="auto" w:sz="4" w:space="0"/>
                  </w:tcBorders>
                  <w:vAlign w:val="center"/>
                </w:tcPr>
                <w:p w14:paraId="12A25C11">
                  <w:pPr>
                    <w:pStyle w:val="65"/>
                    <w:rPr>
                      <w:bCs/>
                      <w:color w:val="auto"/>
                    </w:rPr>
                  </w:pPr>
                  <w:r>
                    <w:rPr>
                      <w:bCs/>
                      <w:color w:val="auto"/>
                    </w:rPr>
                    <w:t>51</w:t>
                  </w:r>
                </w:p>
              </w:tc>
              <w:tc>
                <w:tcPr>
                  <w:tcW w:w="403" w:type="pct"/>
                  <w:tcBorders>
                    <w:top w:val="single" w:color="auto" w:sz="4" w:space="0"/>
                    <w:left w:val="single" w:color="auto" w:sz="4" w:space="0"/>
                    <w:bottom w:val="single" w:color="auto" w:sz="4" w:space="0"/>
                    <w:right w:val="single" w:color="auto" w:sz="4" w:space="0"/>
                  </w:tcBorders>
                  <w:vAlign w:val="center"/>
                </w:tcPr>
                <w:p w14:paraId="79B2A4FB">
                  <w:pPr>
                    <w:pStyle w:val="65"/>
                    <w:rPr>
                      <w:bCs/>
                      <w:color w:val="auto"/>
                    </w:rPr>
                  </w:pPr>
                  <w:r>
                    <w:rPr>
                      <w:bCs/>
                      <w:color w:val="auto"/>
                    </w:rPr>
                    <w:t>49</w:t>
                  </w:r>
                </w:p>
              </w:tc>
              <w:tc>
                <w:tcPr>
                  <w:tcW w:w="403" w:type="pct"/>
                  <w:tcBorders>
                    <w:top w:val="single" w:color="auto" w:sz="4" w:space="0"/>
                    <w:left w:val="single" w:color="auto" w:sz="4" w:space="0"/>
                    <w:bottom w:val="single" w:color="auto" w:sz="4" w:space="0"/>
                    <w:right w:val="single" w:color="auto" w:sz="4" w:space="0"/>
                  </w:tcBorders>
                  <w:vAlign w:val="center"/>
                </w:tcPr>
                <w:p w14:paraId="557022D9">
                  <w:pPr>
                    <w:pStyle w:val="65"/>
                    <w:rPr>
                      <w:bCs/>
                      <w:color w:val="auto"/>
                    </w:rPr>
                  </w:pPr>
                  <w:r>
                    <w:rPr>
                      <w:bCs/>
                      <w:color w:val="auto"/>
                    </w:rPr>
                    <w:t>45</w:t>
                  </w:r>
                </w:p>
              </w:tc>
              <w:tc>
                <w:tcPr>
                  <w:tcW w:w="403" w:type="pct"/>
                  <w:tcBorders>
                    <w:top w:val="single" w:color="auto" w:sz="4" w:space="0"/>
                    <w:left w:val="single" w:color="auto" w:sz="4" w:space="0"/>
                    <w:bottom w:val="single" w:color="auto" w:sz="4" w:space="0"/>
                    <w:right w:val="single" w:color="auto" w:sz="4" w:space="0"/>
                  </w:tcBorders>
                  <w:vAlign w:val="center"/>
                </w:tcPr>
                <w:p w14:paraId="49F5CDCD">
                  <w:pPr>
                    <w:pStyle w:val="65"/>
                    <w:rPr>
                      <w:bCs/>
                      <w:color w:val="auto"/>
                    </w:rPr>
                  </w:pPr>
                  <w:r>
                    <w:rPr>
                      <w:bCs/>
                      <w:color w:val="auto"/>
                    </w:rPr>
                    <w:t>41</w:t>
                  </w:r>
                </w:p>
              </w:tc>
              <w:tc>
                <w:tcPr>
                  <w:tcW w:w="403" w:type="pct"/>
                  <w:tcBorders>
                    <w:top w:val="single" w:color="auto" w:sz="4" w:space="0"/>
                    <w:left w:val="single" w:color="auto" w:sz="4" w:space="0"/>
                    <w:bottom w:val="single" w:color="auto" w:sz="4" w:space="0"/>
                    <w:right w:val="single" w:color="auto" w:sz="4" w:space="0"/>
                  </w:tcBorders>
                  <w:vAlign w:val="center"/>
                </w:tcPr>
                <w:p w14:paraId="75E50BAF">
                  <w:pPr>
                    <w:pStyle w:val="65"/>
                    <w:rPr>
                      <w:bCs/>
                      <w:color w:val="auto"/>
                    </w:rPr>
                  </w:pPr>
                  <w:r>
                    <w:rPr>
                      <w:bCs/>
                      <w:color w:val="auto"/>
                    </w:rPr>
                    <w:t>39</w:t>
                  </w:r>
                </w:p>
              </w:tc>
              <w:tc>
                <w:tcPr>
                  <w:tcW w:w="456" w:type="pct"/>
                  <w:tcBorders>
                    <w:top w:val="single" w:color="auto" w:sz="4" w:space="0"/>
                    <w:left w:val="single" w:color="auto" w:sz="4" w:space="0"/>
                    <w:bottom w:val="single" w:color="auto" w:sz="4" w:space="0"/>
                    <w:right w:val="single" w:color="auto" w:sz="4" w:space="0"/>
                  </w:tcBorders>
                  <w:vAlign w:val="center"/>
                </w:tcPr>
                <w:p w14:paraId="6EFE2D16">
                  <w:pPr>
                    <w:pStyle w:val="65"/>
                    <w:rPr>
                      <w:bCs/>
                      <w:color w:val="auto"/>
                    </w:rPr>
                  </w:pPr>
                  <w:r>
                    <w:rPr>
                      <w:bCs/>
                      <w:color w:val="auto"/>
                    </w:rPr>
                    <w:t>30</w:t>
                  </w:r>
                </w:p>
              </w:tc>
              <w:tc>
                <w:tcPr>
                  <w:tcW w:w="456" w:type="pct"/>
                  <w:tcBorders>
                    <w:top w:val="single" w:color="auto" w:sz="4" w:space="0"/>
                    <w:left w:val="single" w:color="auto" w:sz="4" w:space="0"/>
                    <w:bottom w:val="single" w:color="auto" w:sz="4" w:space="0"/>
                    <w:right w:val="single" w:color="auto" w:sz="4" w:space="0"/>
                  </w:tcBorders>
                  <w:vAlign w:val="center"/>
                </w:tcPr>
                <w:p w14:paraId="28149037">
                  <w:pPr>
                    <w:pStyle w:val="65"/>
                    <w:rPr>
                      <w:bCs/>
                      <w:color w:val="auto"/>
                    </w:rPr>
                  </w:pPr>
                  <w:r>
                    <w:rPr>
                      <w:bCs/>
                      <w:color w:val="auto"/>
                    </w:rPr>
                    <w:t>24</w:t>
                  </w:r>
                </w:p>
              </w:tc>
              <w:tc>
                <w:tcPr>
                  <w:tcW w:w="456" w:type="pct"/>
                  <w:tcBorders>
                    <w:top w:val="single" w:color="auto" w:sz="4" w:space="0"/>
                    <w:left w:val="single" w:color="auto" w:sz="4" w:space="0"/>
                    <w:bottom w:val="single" w:color="auto" w:sz="4" w:space="0"/>
                    <w:right w:val="single" w:color="auto" w:sz="4" w:space="0"/>
                  </w:tcBorders>
                  <w:vAlign w:val="center"/>
                </w:tcPr>
                <w:p w14:paraId="37ED651F">
                  <w:pPr>
                    <w:pStyle w:val="65"/>
                    <w:rPr>
                      <w:bCs/>
                      <w:color w:val="auto"/>
                    </w:rPr>
                  </w:pPr>
                  <w:r>
                    <w:rPr>
                      <w:bCs/>
                      <w:color w:val="auto"/>
                    </w:rPr>
                    <w:t>20</w:t>
                  </w:r>
                </w:p>
              </w:tc>
            </w:tr>
            <w:tr w14:paraId="49D4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12A836B2">
                  <w:pPr>
                    <w:pStyle w:val="65"/>
                    <w:rPr>
                      <w:color w:val="auto"/>
                      <w:kern w:val="0"/>
                    </w:rPr>
                  </w:pPr>
                  <w:r>
                    <w:rPr>
                      <w:rFonts w:hint="eastAsia"/>
                      <w:color w:val="auto"/>
                      <w:kern w:val="0"/>
                    </w:rPr>
                    <w:t>手工电弧焊机</w:t>
                  </w:r>
                </w:p>
              </w:tc>
              <w:tc>
                <w:tcPr>
                  <w:tcW w:w="263" w:type="pct"/>
                  <w:tcBorders>
                    <w:top w:val="single" w:color="auto" w:sz="4" w:space="0"/>
                    <w:left w:val="single" w:color="auto" w:sz="4" w:space="0"/>
                    <w:bottom w:val="single" w:color="auto" w:sz="4" w:space="0"/>
                    <w:right w:val="single" w:color="auto" w:sz="4" w:space="0"/>
                  </w:tcBorders>
                  <w:vAlign w:val="center"/>
                </w:tcPr>
                <w:p w14:paraId="5A470B67">
                  <w:pPr>
                    <w:pStyle w:val="65"/>
                    <w:rPr>
                      <w:bCs/>
                      <w:color w:val="auto"/>
                    </w:rPr>
                  </w:pPr>
                  <w:r>
                    <w:rPr>
                      <w:bCs/>
                      <w:color w:val="auto"/>
                    </w:rPr>
                    <w:t>65</w:t>
                  </w:r>
                </w:p>
              </w:tc>
              <w:tc>
                <w:tcPr>
                  <w:tcW w:w="402" w:type="pct"/>
                  <w:tcBorders>
                    <w:top w:val="single" w:color="auto" w:sz="4" w:space="0"/>
                    <w:left w:val="single" w:color="auto" w:sz="4" w:space="0"/>
                    <w:bottom w:val="single" w:color="auto" w:sz="4" w:space="0"/>
                    <w:right w:val="single" w:color="auto" w:sz="4" w:space="0"/>
                  </w:tcBorders>
                  <w:vAlign w:val="center"/>
                </w:tcPr>
                <w:p w14:paraId="728D45DB">
                  <w:pPr>
                    <w:pStyle w:val="65"/>
                    <w:rPr>
                      <w:bCs/>
                      <w:color w:val="auto"/>
                    </w:rPr>
                  </w:pPr>
                  <w:r>
                    <w:rPr>
                      <w:bCs/>
                      <w:color w:val="auto"/>
                    </w:rPr>
                    <w:t>51</w:t>
                  </w:r>
                </w:p>
              </w:tc>
              <w:tc>
                <w:tcPr>
                  <w:tcW w:w="403" w:type="pct"/>
                  <w:tcBorders>
                    <w:top w:val="single" w:color="auto" w:sz="4" w:space="0"/>
                    <w:left w:val="single" w:color="auto" w:sz="4" w:space="0"/>
                    <w:bottom w:val="single" w:color="auto" w:sz="4" w:space="0"/>
                    <w:right w:val="single" w:color="auto" w:sz="4" w:space="0"/>
                  </w:tcBorders>
                  <w:vAlign w:val="center"/>
                </w:tcPr>
                <w:p w14:paraId="30BDE1CA">
                  <w:pPr>
                    <w:pStyle w:val="65"/>
                    <w:rPr>
                      <w:bCs/>
                      <w:color w:val="auto"/>
                    </w:rPr>
                  </w:pPr>
                  <w:r>
                    <w:rPr>
                      <w:bCs/>
                      <w:color w:val="auto"/>
                    </w:rPr>
                    <w:t>45</w:t>
                  </w:r>
                </w:p>
              </w:tc>
              <w:tc>
                <w:tcPr>
                  <w:tcW w:w="403" w:type="pct"/>
                  <w:tcBorders>
                    <w:top w:val="single" w:color="auto" w:sz="4" w:space="0"/>
                    <w:left w:val="single" w:color="auto" w:sz="4" w:space="0"/>
                    <w:bottom w:val="single" w:color="auto" w:sz="4" w:space="0"/>
                    <w:right w:val="single" w:color="auto" w:sz="4" w:space="0"/>
                  </w:tcBorders>
                  <w:vAlign w:val="center"/>
                </w:tcPr>
                <w:p w14:paraId="7F8BC657">
                  <w:pPr>
                    <w:pStyle w:val="65"/>
                    <w:rPr>
                      <w:bCs/>
                      <w:color w:val="auto"/>
                    </w:rPr>
                  </w:pPr>
                  <w:r>
                    <w:rPr>
                      <w:bCs/>
                      <w:color w:val="auto"/>
                    </w:rPr>
                    <w:t>41</w:t>
                  </w:r>
                </w:p>
              </w:tc>
              <w:tc>
                <w:tcPr>
                  <w:tcW w:w="403" w:type="pct"/>
                  <w:tcBorders>
                    <w:top w:val="single" w:color="auto" w:sz="4" w:space="0"/>
                    <w:left w:val="single" w:color="auto" w:sz="4" w:space="0"/>
                    <w:bottom w:val="single" w:color="auto" w:sz="4" w:space="0"/>
                    <w:right w:val="single" w:color="auto" w:sz="4" w:space="0"/>
                  </w:tcBorders>
                  <w:vAlign w:val="center"/>
                </w:tcPr>
                <w:p w14:paraId="3044EE25">
                  <w:pPr>
                    <w:pStyle w:val="65"/>
                    <w:rPr>
                      <w:bCs/>
                      <w:color w:val="auto"/>
                    </w:rPr>
                  </w:pPr>
                  <w:r>
                    <w:rPr>
                      <w:bCs/>
                      <w:color w:val="auto"/>
                    </w:rPr>
                    <w:t>39</w:t>
                  </w:r>
                </w:p>
              </w:tc>
              <w:tc>
                <w:tcPr>
                  <w:tcW w:w="403" w:type="pct"/>
                  <w:tcBorders>
                    <w:top w:val="single" w:color="auto" w:sz="4" w:space="0"/>
                    <w:left w:val="single" w:color="auto" w:sz="4" w:space="0"/>
                    <w:bottom w:val="single" w:color="auto" w:sz="4" w:space="0"/>
                    <w:right w:val="single" w:color="auto" w:sz="4" w:space="0"/>
                  </w:tcBorders>
                  <w:vAlign w:val="center"/>
                </w:tcPr>
                <w:p w14:paraId="5F70C2B4">
                  <w:pPr>
                    <w:pStyle w:val="65"/>
                    <w:rPr>
                      <w:bCs/>
                      <w:color w:val="auto"/>
                    </w:rPr>
                  </w:pPr>
                  <w:r>
                    <w:rPr>
                      <w:bCs/>
                      <w:color w:val="auto"/>
                    </w:rPr>
                    <w:t>35</w:t>
                  </w:r>
                </w:p>
              </w:tc>
              <w:tc>
                <w:tcPr>
                  <w:tcW w:w="403" w:type="pct"/>
                  <w:tcBorders>
                    <w:top w:val="single" w:color="auto" w:sz="4" w:space="0"/>
                    <w:left w:val="single" w:color="auto" w:sz="4" w:space="0"/>
                    <w:bottom w:val="single" w:color="auto" w:sz="4" w:space="0"/>
                    <w:right w:val="single" w:color="auto" w:sz="4" w:space="0"/>
                  </w:tcBorders>
                  <w:vAlign w:val="center"/>
                </w:tcPr>
                <w:p w14:paraId="03EA5540">
                  <w:pPr>
                    <w:pStyle w:val="65"/>
                    <w:rPr>
                      <w:bCs/>
                      <w:color w:val="auto"/>
                    </w:rPr>
                  </w:pPr>
                  <w:r>
                    <w:rPr>
                      <w:bCs/>
                      <w:color w:val="auto"/>
                    </w:rPr>
                    <w:t>31</w:t>
                  </w:r>
                </w:p>
              </w:tc>
              <w:tc>
                <w:tcPr>
                  <w:tcW w:w="403" w:type="pct"/>
                  <w:tcBorders>
                    <w:top w:val="single" w:color="auto" w:sz="4" w:space="0"/>
                    <w:left w:val="single" w:color="auto" w:sz="4" w:space="0"/>
                    <w:bottom w:val="single" w:color="auto" w:sz="4" w:space="0"/>
                    <w:right w:val="single" w:color="auto" w:sz="4" w:space="0"/>
                  </w:tcBorders>
                  <w:vAlign w:val="center"/>
                </w:tcPr>
                <w:p w14:paraId="4FD53444">
                  <w:pPr>
                    <w:pStyle w:val="65"/>
                    <w:rPr>
                      <w:bCs/>
                      <w:color w:val="auto"/>
                    </w:rPr>
                  </w:pPr>
                  <w:r>
                    <w:rPr>
                      <w:bCs/>
                      <w:color w:val="auto"/>
                    </w:rPr>
                    <w:t>29</w:t>
                  </w:r>
                </w:p>
              </w:tc>
              <w:tc>
                <w:tcPr>
                  <w:tcW w:w="456" w:type="pct"/>
                  <w:tcBorders>
                    <w:top w:val="single" w:color="auto" w:sz="4" w:space="0"/>
                    <w:left w:val="single" w:color="auto" w:sz="4" w:space="0"/>
                    <w:bottom w:val="single" w:color="auto" w:sz="4" w:space="0"/>
                    <w:right w:val="single" w:color="auto" w:sz="4" w:space="0"/>
                  </w:tcBorders>
                  <w:vAlign w:val="center"/>
                </w:tcPr>
                <w:p w14:paraId="41430180">
                  <w:pPr>
                    <w:pStyle w:val="65"/>
                    <w:rPr>
                      <w:bCs/>
                      <w:color w:val="auto"/>
                    </w:rPr>
                  </w:pPr>
                  <w:r>
                    <w:rPr>
                      <w:bCs/>
                      <w:color w:val="auto"/>
                    </w:rPr>
                    <w:t>20</w:t>
                  </w:r>
                </w:p>
              </w:tc>
              <w:tc>
                <w:tcPr>
                  <w:tcW w:w="456" w:type="pct"/>
                  <w:tcBorders>
                    <w:top w:val="single" w:color="auto" w:sz="4" w:space="0"/>
                    <w:left w:val="single" w:color="auto" w:sz="4" w:space="0"/>
                    <w:bottom w:val="single" w:color="auto" w:sz="4" w:space="0"/>
                    <w:right w:val="single" w:color="auto" w:sz="4" w:space="0"/>
                  </w:tcBorders>
                  <w:vAlign w:val="center"/>
                </w:tcPr>
                <w:p w14:paraId="429D5B73">
                  <w:pPr>
                    <w:pStyle w:val="65"/>
                    <w:rPr>
                      <w:bCs/>
                      <w:color w:val="auto"/>
                    </w:rPr>
                  </w:pPr>
                  <w:r>
                    <w:rPr>
                      <w:bCs/>
                      <w:color w:val="auto"/>
                    </w:rPr>
                    <w:t>14</w:t>
                  </w:r>
                </w:p>
              </w:tc>
              <w:tc>
                <w:tcPr>
                  <w:tcW w:w="456" w:type="pct"/>
                  <w:tcBorders>
                    <w:top w:val="single" w:color="auto" w:sz="4" w:space="0"/>
                    <w:left w:val="single" w:color="auto" w:sz="4" w:space="0"/>
                    <w:bottom w:val="single" w:color="auto" w:sz="4" w:space="0"/>
                    <w:right w:val="single" w:color="auto" w:sz="4" w:space="0"/>
                  </w:tcBorders>
                  <w:vAlign w:val="center"/>
                </w:tcPr>
                <w:p w14:paraId="29CA1D5A">
                  <w:pPr>
                    <w:pStyle w:val="65"/>
                    <w:rPr>
                      <w:bCs/>
                      <w:color w:val="auto"/>
                    </w:rPr>
                  </w:pPr>
                  <w:r>
                    <w:rPr>
                      <w:bCs/>
                      <w:color w:val="auto"/>
                    </w:rPr>
                    <w:t>10</w:t>
                  </w:r>
                </w:p>
              </w:tc>
            </w:tr>
            <w:tr w14:paraId="2A72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01C7D38A">
                  <w:pPr>
                    <w:pStyle w:val="65"/>
                    <w:rPr>
                      <w:color w:val="auto"/>
                      <w:kern w:val="0"/>
                    </w:rPr>
                  </w:pPr>
                  <w:r>
                    <w:rPr>
                      <w:rFonts w:hint="eastAsia"/>
                      <w:color w:val="auto"/>
                      <w:kern w:val="0"/>
                    </w:rPr>
                    <w:t>砂轮机</w:t>
                  </w:r>
                </w:p>
              </w:tc>
              <w:tc>
                <w:tcPr>
                  <w:tcW w:w="263" w:type="pct"/>
                  <w:tcBorders>
                    <w:top w:val="single" w:color="auto" w:sz="4" w:space="0"/>
                    <w:left w:val="single" w:color="auto" w:sz="4" w:space="0"/>
                    <w:bottom w:val="single" w:color="auto" w:sz="4" w:space="0"/>
                    <w:right w:val="single" w:color="auto" w:sz="4" w:space="0"/>
                  </w:tcBorders>
                  <w:vAlign w:val="center"/>
                </w:tcPr>
                <w:p w14:paraId="6A0AFF04">
                  <w:pPr>
                    <w:pStyle w:val="65"/>
                    <w:rPr>
                      <w:bCs/>
                      <w:color w:val="auto"/>
                    </w:rPr>
                  </w:pPr>
                  <w:r>
                    <w:rPr>
                      <w:bCs/>
                      <w:color w:val="auto"/>
                    </w:rPr>
                    <w:t>88</w:t>
                  </w:r>
                </w:p>
              </w:tc>
              <w:tc>
                <w:tcPr>
                  <w:tcW w:w="402" w:type="pct"/>
                  <w:tcBorders>
                    <w:top w:val="single" w:color="auto" w:sz="4" w:space="0"/>
                    <w:left w:val="single" w:color="auto" w:sz="4" w:space="0"/>
                    <w:bottom w:val="single" w:color="auto" w:sz="4" w:space="0"/>
                    <w:right w:val="single" w:color="auto" w:sz="4" w:space="0"/>
                  </w:tcBorders>
                  <w:vAlign w:val="center"/>
                </w:tcPr>
                <w:p w14:paraId="42E62AE6">
                  <w:pPr>
                    <w:pStyle w:val="65"/>
                    <w:rPr>
                      <w:bCs/>
                      <w:color w:val="auto"/>
                    </w:rPr>
                  </w:pPr>
                  <w:r>
                    <w:rPr>
                      <w:bCs/>
                      <w:color w:val="auto"/>
                    </w:rPr>
                    <w:t>74</w:t>
                  </w:r>
                </w:p>
              </w:tc>
              <w:tc>
                <w:tcPr>
                  <w:tcW w:w="403" w:type="pct"/>
                  <w:tcBorders>
                    <w:top w:val="single" w:color="auto" w:sz="4" w:space="0"/>
                    <w:left w:val="single" w:color="auto" w:sz="4" w:space="0"/>
                    <w:bottom w:val="single" w:color="auto" w:sz="4" w:space="0"/>
                    <w:right w:val="single" w:color="auto" w:sz="4" w:space="0"/>
                  </w:tcBorders>
                  <w:vAlign w:val="center"/>
                </w:tcPr>
                <w:p w14:paraId="1308A05C">
                  <w:pPr>
                    <w:pStyle w:val="65"/>
                    <w:rPr>
                      <w:bCs/>
                      <w:color w:val="auto"/>
                    </w:rPr>
                  </w:pPr>
                  <w:r>
                    <w:rPr>
                      <w:bCs/>
                      <w:color w:val="auto"/>
                    </w:rPr>
                    <w:t>68</w:t>
                  </w:r>
                </w:p>
              </w:tc>
              <w:tc>
                <w:tcPr>
                  <w:tcW w:w="403" w:type="pct"/>
                  <w:tcBorders>
                    <w:top w:val="single" w:color="auto" w:sz="4" w:space="0"/>
                    <w:left w:val="single" w:color="auto" w:sz="4" w:space="0"/>
                    <w:bottom w:val="single" w:color="auto" w:sz="4" w:space="0"/>
                    <w:right w:val="single" w:color="auto" w:sz="4" w:space="0"/>
                  </w:tcBorders>
                  <w:vAlign w:val="center"/>
                </w:tcPr>
                <w:p w14:paraId="4CFCA4FD">
                  <w:pPr>
                    <w:pStyle w:val="65"/>
                    <w:rPr>
                      <w:bCs/>
                      <w:color w:val="auto"/>
                    </w:rPr>
                  </w:pPr>
                  <w:r>
                    <w:rPr>
                      <w:bCs/>
                      <w:color w:val="auto"/>
                    </w:rPr>
                    <w:t>64</w:t>
                  </w:r>
                </w:p>
              </w:tc>
              <w:tc>
                <w:tcPr>
                  <w:tcW w:w="403" w:type="pct"/>
                  <w:tcBorders>
                    <w:top w:val="single" w:color="auto" w:sz="4" w:space="0"/>
                    <w:left w:val="single" w:color="auto" w:sz="4" w:space="0"/>
                    <w:bottom w:val="single" w:color="auto" w:sz="4" w:space="0"/>
                    <w:right w:val="single" w:color="auto" w:sz="4" w:space="0"/>
                  </w:tcBorders>
                  <w:vAlign w:val="center"/>
                </w:tcPr>
                <w:p w14:paraId="13526743">
                  <w:pPr>
                    <w:pStyle w:val="65"/>
                    <w:rPr>
                      <w:bCs/>
                      <w:color w:val="auto"/>
                    </w:rPr>
                  </w:pPr>
                  <w:r>
                    <w:rPr>
                      <w:bCs/>
                      <w:color w:val="auto"/>
                    </w:rPr>
                    <w:t>62</w:t>
                  </w:r>
                </w:p>
              </w:tc>
              <w:tc>
                <w:tcPr>
                  <w:tcW w:w="403" w:type="pct"/>
                  <w:tcBorders>
                    <w:top w:val="single" w:color="auto" w:sz="4" w:space="0"/>
                    <w:left w:val="single" w:color="auto" w:sz="4" w:space="0"/>
                    <w:bottom w:val="single" w:color="auto" w:sz="4" w:space="0"/>
                    <w:right w:val="single" w:color="auto" w:sz="4" w:space="0"/>
                  </w:tcBorders>
                  <w:vAlign w:val="center"/>
                </w:tcPr>
                <w:p w14:paraId="5B5037A6">
                  <w:pPr>
                    <w:pStyle w:val="65"/>
                    <w:rPr>
                      <w:bCs/>
                      <w:color w:val="auto"/>
                    </w:rPr>
                  </w:pPr>
                  <w:r>
                    <w:rPr>
                      <w:bCs/>
                      <w:color w:val="auto"/>
                    </w:rPr>
                    <w:t>58</w:t>
                  </w:r>
                </w:p>
              </w:tc>
              <w:tc>
                <w:tcPr>
                  <w:tcW w:w="403" w:type="pct"/>
                  <w:tcBorders>
                    <w:top w:val="single" w:color="auto" w:sz="4" w:space="0"/>
                    <w:left w:val="single" w:color="auto" w:sz="4" w:space="0"/>
                    <w:bottom w:val="single" w:color="auto" w:sz="4" w:space="0"/>
                    <w:right w:val="single" w:color="auto" w:sz="4" w:space="0"/>
                  </w:tcBorders>
                  <w:vAlign w:val="center"/>
                </w:tcPr>
                <w:p w14:paraId="2F73D1FE">
                  <w:pPr>
                    <w:pStyle w:val="65"/>
                    <w:rPr>
                      <w:bCs/>
                      <w:color w:val="auto"/>
                    </w:rPr>
                  </w:pPr>
                  <w:r>
                    <w:rPr>
                      <w:bCs/>
                      <w:color w:val="auto"/>
                    </w:rPr>
                    <w:t>54</w:t>
                  </w:r>
                </w:p>
              </w:tc>
              <w:tc>
                <w:tcPr>
                  <w:tcW w:w="403" w:type="pct"/>
                  <w:tcBorders>
                    <w:top w:val="single" w:color="auto" w:sz="4" w:space="0"/>
                    <w:left w:val="single" w:color="auto" w:sz="4" w:space="0"/>
                    <w:bottom w:val="single" w:color="auto" w:sz="4" w:space="0"/>
                    <w:right w:val="single" w:color="auto" w:sz="4" w:space="0"/>
                  </w:tcBorders>
                  <w:vAlign w:val="center"/>
                </w:tcPr>
                <w:p w14:paraId="094BCC54">
                  <w:pPr>
                    <w:pStyle w:val="65"/>
                    <w:rPr>
                      <w:bCs/>
                      <w:color w:val="auto"/>
                    </w:rPr>
                  </w:pPr>
                  <w:r>
                    <w:rPr>
                      <w:bCs/>
                      <w:color w:val="auto"/>
                    </w:rPr>
                    <w:t>52</w:t>
                  </w:r>
                </w:p>
              </w:tc>
              <w:tc>
                <w:tcPr>
                  <w:tcW w:w="456" w:type="pct"/>
                  <w:tcBorders>
                    <w:top w:val="single" w:color="auto" w:sz="4" w:space="0"/>
                    <w:left w:val="single" w:color="auto" w:sz="4" w:space="0"/>
                    <w:bottom w:val="single" w:color="auto" w:sz="4" w:space="0"/>
                    <w:right w:val="single" w:color="auto" w:sz="4" w:space="0"/>
                  </w:tcBorders>
                  <w:vAlign w:val="center"/>
                </w:tcPr>
                <w:p w14:paraId="3BEA57D5">
                  <w:pPr>
                    <w:pStyle w:val="65"/>
                    <w:rPr>
                      <w:bCs/>
                      <w:color w:val="auto"/>
                    </w:rPr>
                  </w:pPr>
                  <w:r>
                    <w:rPr>
                      <w:bCs/>
                      <w:color w:val="auto"/>
                    </w:rPr>
                    <w:t>43</w:t>
                  </w:r>
                </w:p>
              </w:tc>
              <w:tc>
                <w:tcPr>
                  <w:tcW w:w="456" w:type="pct"/>
                  <w:tcBorders>
                    <w:top w:val="single" w:color="auto" w:sz="4" w:space="0"/>
                    <w:left w:val="single" w:color="auto" w:sz="4" w:space="0"/>
                    <w:bottom w:val="single" w:color="auto" w:sz="4" w:space="0"/>
                    <w:right w:val="single" w:color="auto" w:sz="4" w:space="0"/>
                  </w:tcBorders>
                  <w:vAlign w:val="center"/>
                </w:tcPr>
                <w:p w14:paraId="28384B64">
                  <w:pPr>
                    <w:pStyle w:val="65"/>
                    <w:rPr>
                      <w:bCs/>
                      <w:color w:val="auto"/>
                    </w:rPr>
                  </w:pPr>
                  <w:r>
                    <w:rPr>
                      <w:bCs/>
                      <w:color w:val="auto"/>
                    </w:rPr>
                    <w:t>37</w:t>
                  </w:r>
                </w:p>
              </w:tc>
              <w:tc>
                <w:tcPr>
                  <w:tcW w:w="456" w:type="pct"/>
                  <w:tcBorders>
                    <w:top w:val="single" w:color="auto" w:sz="4" w:space="0"/>
                    <w:left w:val="single" w:color="auto" w:sz="4" w:space="0"/>
                    <w:bottom w:val="single" w:color="auto" w:sz="4" w:space="0"/>
                    <w:right w:val="single" w:color="auto" w:sz="4" w:space="0"/>
                  </w:tcBorders>
                  <w:vAlign w:val="center"/>
                </w:tcPr>
                <w:p w14:paraId="12B0F9F9">
                  <w:pPr>
                    <w:pStyle w:val="65"/>
                    <w:rPr>
                      <w:bCs/>
                      <w:color w:val="auto"/>
                    </w:rPr>
                  </w:pPr>
                  <w:r>
                    <w:rPr>
                      <w:bCs/>
                      <w:color w:val="auto"/>
                    </w:rPr>
                    <w:t>33</w:t>
                  </w:r>
                </w:p>
              </w:tc>
            </w:tr>
            <w:tr w14:paraId="43B1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03BBC454">
                  <w:pPr>
                    <w:pStyle w:val="65"/>
                    <w:rPr>
                      <w:color w:val="auto"/>
                      <w:kern w:val="0"/>
                    </w:rPr>
                  </w:pPr>
                  <w:r>
                    <w:rPr>
                      <w:rFonts w:hint="eastAsia"/>
                      <w:color w:val="auto"/>
                      <w:kern w:val="0"/>
                    </w:rPr>
                    <w:t>木工园锯机</w:t>
                  </w:r>
                </w:p>
              </w:tc>
              <w:tc>
                <w:tcPr>
                  <w:tcW w:w="263" w:type="pct"/>
                  <w:tcBorders>
                    <w:top w:val="single" w:color="auto" w:sz="4" w:space="0"/>
                    <w:left w:val="single" w:color="auto" w:sz="4" w:space="0"/>
                    <w:bottom w:val="single" w:color="auto" w:sz="4" w:space="0"/>
                    <w:right w:val="single" w:color="auto" w:sz="4" w:space="0"/>
                  </w:tcBorders>
                  <w:vAlign w:val="center"/>
                </w:tcPr>
                <w:p w14:paraId="556783D6">
                  <w:pPr>
                    <w:pStyle w:val="65"/>
                    <w:rPr>
                      <w:bCs/>
                      <w:color w:val="auto"/>
                    </w:rPr>
                  </w:pPr>
                  <w:r>
                    <w:rPr>
                      <w:bCs/>
                      <w:color w:val="auto"/>
                    </w:rPr>
                    <w:t>84</w:t>
                  </w:r>
                </w:p>
              </w:tc>
              <w:tc>
                <w:tcPr>
                  <w:tcW w:w="402" w:type="pct"/>
                  <w:tcBorders>
                    <w:top w:val="single" w:color="auto" w:sz="4" w:space="0"/>
                    <w:left w:val="single" w:color="auto" w:sz="4" w:space="0"/>
                    <w:bottom w:val="single" w:color="auto" w:sz="4" w:space="0"/>
                    <w:right w:val="single" w:color="auto" w:sz="4" w:space="0"/>
                  </w:tcBorders>
                  <w:vAlign w:val="center"/>
                </w:tcPr>
                <w:p w14:paraId="7F3980DB">
                  <w:pPr>
                    <w:pStyle w:val="65"/>
                    <w:rPr>
                      <w:bCs/>
                      <w:color w:val="auto"/>
                    </w:rPr>
                  </w:pPr>
                  <w:r>
                    <w:rPr>
                      <w:bCs/>
                      <w:color w:val="auto"/>
                    </w:rPr>
                    <w:t>70</w:t>
                  </w:r>
                </w:p>
              </w:tc>
              <w:tc>
                <w:tcPr>
                  <w:tcW w:w="403" w:type="pct"/>
                  <w:tcBorders>
                    <w:top w:val="single" w:color="auto" w:sz="4" w:space="0"/>
                    <w:left w:val="single" w:color="auto" w:sz="4" w:space="0"/>
                    <w:bottom w:val="single" w:color="auto" w:sz="4" w:space="0"/>
                    <w:right w:val="single" w:color="auto" w:sz="4" w:space="0"/>
                  </w:tcBorders>
                  <w:vAlign w:val="center"/>
                </w:tcPr>
                <w:p w14:paraId="5C1142C6">
                  <w:pPr>
                    <w:pStyle w:val="65"/>
                    <w:rPr>
                      <w:bCs/>
                      <w:color w:val="auto"/>
                    </w:rPr>
                  </w:pPr>
                  <w:r>
                    <w:rPr>
                      <w:bCs/>
                      <w:color w:val="auto"/>
                    </w:rPr>
                    <w:t>64</w:t>
                  </w:r>
                </w:p>
              </w:tc>
              <w:tc>
                <w:tcPr>
                  <w:tcW w:w="403" w:type="pct"/>
                  <w:tcBorders>
                    <w:top w:val="single" w:color="auto" w:sz="4" w:space="0"/>
                    <w:left w:val="single" w:color="auto" w:sz="4" w:space="0"/>
                    <w:bottom w:val="single" w:color="auto" w:sz="4" w:space="0"/>
                    <w:right w:val="single" w:color="auto" w:sz="4" w:space="0"/>
                  </w:tcBorders>
                  <w:vAlign w:val="center"/>
                </w:tcPr>
                <w:p w14:paraId="1D3B9174">
                  <w:pPr>
                    <w:pStyle w:val="65"/>
                    <w:rPr>
                      <w:bCs/>
                      <w:color w:val="auto"/>
                    </w:rPr>
                  </w:pPr>
                  <w:r>
                    <w:rPr>
                      <w:bCs/>
                      <w:color w:val="auto"/>
                    </w:rPr>
                    <w:t>60</w:t>
                  </w:r>
                </w:p>
              </w:tc>
              <w:tc>
                <w:tcPr>
                  <w:tcW w:w="403" w:type="pct"/>
                  <w:tcBorders>
                    <w:top w:val="single" w:color="auto" w:sz="4" w:space="0"/>
                    <w:left w:val="single" w:color="auto" w:sz="4" w:space="0"/>
                    <w:bottom w:val="single" w:color="auto" w:sz="4" w:space="0"/>
                    <w:right w:val="single" w:color="auto" w:sz="4" w:space="0"/>
                  </w:tcBorders>
                  <w:vAlign w:val="center"/>
                </w:tcPr>
                <w:p w14:paraId="1147DBB8">
                  <w:pPr>
                    <w:pStyle w:val="65"/>
                    <w:rPr>
                      <w:bCs/>
                      <w:color w:val="auto"/>
                    </w:rPr>
                  </w:pPr>
                  <w:r>
                    <w:rPr>
                      <w:bCs/>
                      <w:color w:val="auto"/>
                    </w:rPr>
                    <w:t>58</w:t>
                  </w:r>
                </w:p>
              </w:tc>
              <w:tc>
                <w:tcPr>
                  <w:tcW w:w="403" w:type="pct"/>
                  <w:tcBorders>
                    <w:top w:val="single" w:color="auto" w:sz="4" w:space="0"/>
                    <w:left w:val="single" w:color="auto" w:sz="4" w:space="0"/>
                    <w:bottom w:val="single" w:color="auto" w:sz="4" w:space="0"/>
                    <w:right w:val="single" w:color="auto" w:sz="4" w:space="0"/>
                  </w:tcBorders>
                  <w:vAlign w:val="center"/>
                </w:tcPr>
                <w:p w14:paraId="0CC4EDC0">
                  <w:pPr>
                    <w:pStyle w:val="65"/>
                    <w:rPr>
                      <w:bCs/>
                      <w:color w:val="auto"/>
                    </w:rPr>
                  </w:pPr>
                  <w:r>
                    <w:rPr>
                      <w:bCs/>
                      <w:color w:val="auto"/>
                    </w:rPr>
                    <w:t>54</w:t>
                  </w:r>
                </w:p>
              </w:tc>
              <w:tc>
                <w:tcPr>
                  <w:tcW w:w="403" w:type="pct"/>
                  <w:tcBorders>
                    <w:top w:val="single" w:color="auto" w:sz="4" w:space="0"/>
                    <w:left w:val="single" w:color="auto" w:sz="4" w:space="0"/>
                    <w:bottom w:val="single" w:color="auto" w:sz="4" w:space="0"/>
                    <w:right w:val="single" w:color="auto" w:sz="4" w:space="0"/>
                  </w:tcBorders>
                  <w:vAlign w:val="center"/>
                </w:tcPr>
                <w:p w14:paraId="79E1924C">
                  <w:pPr>
                    <w:pStyle w:val="65"/>
                    <w:rPr>
                      <w:bCs/>
                      <w:color w:val="auto"/>
                    </w:rPr>
                  </w:pPr>
                  <w:r>
                    <w:rPr>
                      <w:bCs/>
                      <w:color w:val="auto"/>
                    </w:rPr>
                    <w:t>50</w:t>
                  </w:r>
                </w:p>
              </w:tc>
              <w:tc>
                <w:tcPr>
                  <w:tcW w:w="403" w:type="pct"/>
                  <w:tcBorders>
                    <w:top w:val="single" w:color="auto" w:sz="4" w:space="0"/>
                    <w:left w:val="single" w:color="auto" w:sz="4" w:space="0"/>
                    <w:bottom w:val="single" w:color="auto" w:sz="4" w:space="0"/>
                    <w:right w:val="single" w:color="auto" w:sz="4" w:space="0"/>
                  </w:tcBorders>
                  <w:vAlign w:val="center"/>
                </w:tcPr>
                <w:p w14:paraId="5DB66C9D">
                  <w:pPr>
                    <w:pStyle w:val="65"/>
                    <w:rPr>
                      <w:bCs/>
                      <w:color w:val="auto"/>
                    </w:rPr>
                  </w:pPr>
                  <w:r>
                    <w:rPr>
                      <w:bCs/>
                      <w:color w:val="auto"/>
                    </w:rPr>
                    <w:t>48</w:t>
                  </w:r>
                </w:p>
              </w:tc>
              <w:tc>
                <w:tcPr>
                  <w:tcW w:w="456" w:type="pct"/>
                  <w:tcBorders>
                    <w:top w:val="single" w:color="auto" w:sz="4" w:space="0"/>
                    <w:left w:val="single" w:color="auto" w:sz="4" w:space="0"/>
                    <w:bottom w:val="single" w:color="auto" w:sz="4" w:space="0"/>
                    <w:right w:val="single" w:color="auto" w:sz="4" w:space="0"/>
                  </w:tcBorders>
                  <w:vAlign w:val="center"/>
                </w:tcPr>
                <w:p w14:paraId="3A719861">
                  <w:pPr>
                    <w:pStyle w:val="65"/>
                    <w:rPr>
                      <w:bCs/>
                      <w:color w:val="auto"/>
                    </w:rPr>
                  </w:pPr>
                  <w:r>
                    <w:rPr>
                      <w:bCs/>
                      <w:color w:val="auto"/>
                    </w:rPr>
                    <w:t>39</w:t>
                  </w:r>
                </w:p>
              </w:tc>
              <w:tc>
                <w:tcPr>
                  <w:tcW w:w="456" w:type="pct"/>
                  <w:tcBorders>
                    <w:top w:val="single" w:color="auto" w:sz="4" w:space="0"/>
                    <w:left w:val="single" w:color="auto" w:sz="4" w:space="0"/>
                    <w:bottom w:val="single" w:color="auto" w:sz="4" w:space="0"/>
                    <w:right w:val="single" w:color="auto" w:sz="4" w:space="0"/>
                  </w:tcBorders>
                  <w:vAlign w:val="center"/>
                </w:tcPr>
                <w:p w14:paraId="32EF96CF">
                  <w:pPr>
                    <w:pStyle w:val="65"/>
                    <w:rPr>
                      <w:bCs/>
                      <w:color w:val="auto"/>
                    </w:rPr>
                  </w:pPr>
                  <w:r>
                    <w:rPr>
                      <w:bCs/>
                      <w:color w:val="auto"/>
                    </w:rPr>
                    <w:t>33</w:t>
                  </w:r>
                </w:p>
              </w:tc>
              <w:tc>
                <w:tcPr>
                  <w:tcW w:w="456" w:type="pct"/>
                  <w:tcBorders>
                    <w:top w:val="single" w:color="auto" w:sz="4" w:space="0"/>
                    <w:left w:val="single" w:color="auto" w:sz="4" w:space="0"/>
                    <w:bottom w:val="single" w:color="auto" w:sz="4" w:space="0"/>
                    <w:right w:val="single" w:color="auto" w:sz="4" w:space="0"/>
                  </w:tcBorders>
                  <w:vAlign w:val="center"/>
                </w:tcPr>
                <w:p w14:paraId="2C794750">
                  <w:pPr>
                    <w:pStyle w:val="65"/>
                    <w:rPr>
                      <w:bCs/>
                      <w:color w:val="auto"/>
                    </w:rPr>
                  </w:pPr>
                  <w:r>
                    <w:rPr>
                      <w:bCs/>
                      <w:color w:val="auto"/>
                    </w:rPr>
                    <w:t>29</w:t>
                  </w:r>
                </w:p>
              </w:tc>
            </w:tr>
            <w:tr w14:paraId="5E8E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0B810770">
                  <w:pPr>
                    <w:pStyle w:val="65"/>
                    <w:rPr>
                      <w:color w:val="auto"/>
                      <w:kern w:val="0"/>
                    </w:rPr>
                  </w:pPr>
                  <w:r>
                    <w:rPr>
                      <w:rFonts w:hint="eastAsia"/>
                      <w:color w:val="auto"/>
                      <w:kern w:val="0"/>
                    </w:rPr>
                    <w:t>电钻</w:t>
                  </w:r>
                </w:p>
              </w:tc>
              <w:tc>
                <w:tcPr>
                  <w:tcW w:w="263" w:type="pct"/>
                  <w:tcBorders>
                    <w:top w:val="single" w:color="auto" w:sz="4" w:space="0"/>
                    <w:left w:val="single" w:color="auto" w:sz="4" w:space="0"/>
                    <w:bottom w:val="single" w:color="auto" w:sz="4" w:space="0"/>
                    <w:right w:val="single" w:color="auto" w:sz="4" w:space="0"/>
                  </w:tcBorders>
                  <w:vAlign w:val="center"/>
                </w:tcPr>
                <w:p w14:paraId="700701FE">
                  <w:pPr>
                    <w:pStyle w:val="65"/>
                    <w:rPr>
                      <w:bCs/>
                      <w:color w:val="auto"/>
                    </w:rPr>
                  </w:pPr>
                  <w:r>
                    <w:rPr>
                      <w:bCs/>
                      <w:color w:val="auto"/>
                    </w:rPr>
                    <w:t>100</w:t>
                  </w:r>
                </w:p>
              </w:tc>
              <w:tc>
                <w:tcPr>
                  <w:tcW w:w="402" w:type="pct"/>
                  <w:tcBorders>
                    <w:top w:val="single" w:color="auto" w:sz="4" w:space="0"/>
                    <w:left w:val="single" w:color="auto" w:sz="4" w:space="0"/>
                    <w:bottom w:val="single" w:color="auto" w:sz="4" w:space="0"/>
                    <w:right w:val="single" w:color="auto" w:sz="4" w:space="0"/>
                  </w:tcBorders>
                  <w:vAlign w:val="center"/>
                </w:tcPr>
                <w:p w14:paraId="57E450DA">
                  <w:pPr>
                    <w:pStyle w:val="65"/>
                    <w:rPr>
                      <w:bCs/>
                      <w:color w:val="auto"/>
                    </w:rPr>
                  </w:pPr>
                  <w:r>
                    <w:rPr>
                      <w:bCs/>
                      <w:color w:val="auto"/>
                    </w:rPr>
                    <w:t>86</w:t>
                  </w:r>
                </w:p>
              </w:tc>
              <w:tc>
                <w:tcPr>
                  <w:tcW w:w="403" w:type="pct"/>
                  <w:tcBorders>
                    <w:top w:val="single" w:color="auto" w:sz="4" w:space="0"/>
                    <w:left w:val="single" w:color="auto" w:sz="4" w:space="0"/>
                    <w:bottom w:val="single" w:color="auto" w:sz="4" w:space="0"/>
                    <w:right w:val="single" w:color="auto" w:sz="4" w:space="0"/>
                  </w:tcBorders>
                  <w:vAlign w:val="center"/>
                </w:tcPr>
                <w:p w14:paraId="6CFEA478">
                  <w:pPr>
                    <w:pStyle w:val="65"/>
                    <w:rPr>
                      <w:bCs/>
                      <w:color w:val="auto"/>
                    </w:rPr>
                  </w:pPr>
                  <w:r>
                    <w:rPr>
                      <w:bCs/>
                      <w:color w:val="auto"/>
                    </w:rPr>
                    <w:t>80</w:t>
                  </w:r>
                </w:p>
              </w:tc>
              <w:tc>
                <w:tcPr>
                  <w:tcW w:w="403" w:type="pct"/>
                  <w:tcBorders>
                    <w:top w:val="single" w:color="auto" w:sz="4" w:space="0"/>
                    <w:left w:val="single" w:color="auto" w:sz="4" w:space="0"/>
                    <w:bottom w:val="single" w:color="auto" w:sz="4" w:space="0"/>
                    <w:right w:val="single" w:color="auto" w:sz="4" w:space="0"/>
                  </w:tcBorders>
                  <w:vAlign w:val="center"/>
                </w:tcPr>
                <w:p w14:paraId="7FF8714C">
                  <w:pPr>
                    <w:pStyle w:val="65"/>
                    <w:rPr>
                      <w:bCs/>
                      <w:color w:val="auto"/>
                    </w:rPr>
                  </w:pPr>
                  <w:r>
                    <w:rPr>
                      <w:bCs/>
                      <w:color w:val="auto"/>
                    </w:rPr>
                    <w:t>76</w:t>
                  </w:r>
                </w:p>
              </w:tc>
              <w:tc>
                <w:tcPr>
                  <w:tcW w:w="403" w:type="pct"/>
                  <w:tcBorders>
                    <w:top w:val="single" w:color="auto" w:sz="4" w:space="0"/>
                    <w:left w:val="single" w:color="auto" w:sz="4" w:space="0"/>
                    <w:bottom w:val="single" w:color="auto" w:sz="4" w:space="0"/>
                    <w:right w:val="single" w:color="auto" w:sz="4" w:space="0"/>
                  </w:tcBorders>
                  <w:vAlign w:val="center"/>
                </w:tcPr>
                <w:p w14:paraId="791F6B6A">
                  <w:pPr>
                    <w:pStyle w:val="65"/>
                    <w:rPr>
                      <w:bCs/>
                      <w:color w:val="auto"/>
                    </w:rPr>
                  </w:pPr>
                  <w:r>
                    <w:rPr>
                      <w:bCs/>
                      <w:color w:val="auto"/>
                    </w:rPr>
                    <w:t>74</w:t>
                  </w:r>
                </w:p>
              </w:tc>
              <w:tc>
                <w:tcPr>
                  <w:tcW w:w="403" w:type="pct"/>
                  <w:tcBorders>
                    <w:top w:val="single" w:color="auto" w:sz="4" w:space="0"/>
                    <w:left w:val="single" w:color="auto" w:sz="4" w:space="0"/>
                    <w:bottom w:val="single" w:color="auto" w:sz="4" w:space="0"/>
                    <w:right w:val="single" w:color="auto" w:sz="4" w:space="0"/>
                  </w:tcBorders>
                  <w:vAlign w:val="center"/>
                </w:tcPr>
                <w:p w14:paraId="4568B69F">
                  <w:pPr>
                    <w:pStyle w:val="65"/>
                    <w:rPr>
                      <w:bCs/>
                      <w:color w:val="auto"/>
                    </w:rPr>
                  </w:pPr>
                  <w:r>
                    <w:rPr>
                      <w:i/>
                      <w:iCs/>
                      <w:color w:val="auto"/>
                    </w:rPr>
                    <w:t>70</w:t>
                  </w:r>
                </w:p>
              </w:tc>
              <w:tc>
                <w:tcPr>
                  <w:tcW w:w="403" w:type="pct"/>
                  <w:tcBorders>
                    <w:top w:val="single" w:color="auto" w:sz="4" w:space="0"/>
                    <w:left w:val="single" w:color="auto" w:sz="4" w:space="0"/>
                    <w:bottom w:val="single" w:color="auto" w:sz="4" w:space="0"/>
                    <w:right w:val="single" w:color="auto" w:sz="4" w:space="0"/>
                  </w:tcBorders>
                  <w:vAlign w:val="center"/>
                </w:tcPr>
                <w:p w14:paraId="5D32C801">
                  <w:pPr>
                    <w:pStyle w:val="65"/>
                    <w:rPr>
                      <w:bCs/>
                      <w:color w:val="auto"/>
                    </w:rPr>
                  </w:pPr>
                  <w:r>
                    <w:rPr>
                      <w:bCs/>
                      <w:color w:val="auto"/>
                    </w:rPr>
                    <w:t>66</w:t>
                  </w:r>
                </w:p>
              </w:tc>
              <w:tc>
                <w:tcPr>
                  <w:tcW w:w="403" w:type="pct"/>
                  <w:tcBorders>
                    <w:top w:val="single" w:color="auto" w:sz="4" w:space="0"/>
                    <w:left w:val="single" w:color="auto" w:sz="4" w:space="0"/>
                    <w:bottom w:val="single" w:color="auto" w:sz="4" w:space="0"/>
                    <w:right w:val="single" w:color="auto" w:sz="4" w:space="0"/>
                  </w:tcBorders>
                  <w:vAlign w:val="center"/>
                </w:tcPr>
                <w:p w14:paraId="002FAAD4">
                  <w:pPr>
                    <w:pStyle w:val="65"/>
                    <w:rPr>
                      <w:bCs/>
                      <w:color w:val="auto"/>
                    </w:rPr>
                  </w:pPr>
                  <w:r>
                    <w:rPr>
                      <w:bCs/>
                      <w:color w:val="auto"/>
                    </w:rPr>
                    <w:t>64</w:t>
                  </w:r>
                </w:p>
              </w:tc>
              <w:tc>
                <w:tcPr>
                  <w:tcW w:w="456" w:type="pct"/>
                  <w:tcBorders>
                    <w:top w:val="single" w:color="auto" w:sz="4" w:space="0"/>
                    <w:left w:val="single" w:color="auto" w:sz="4" w:space="0"/>
                    <w:bottom w:val="single" w:color="auto" w:sz="4" w:space="0"/>
                    <w:right w:val="single" w:color="auto" w:sz="4" w:space="0"/>
                  </w:tcBorders>
                  <w:vAlign w:val="center"/>
                </w:tcPr>
                <w:p w14:paraId="3FB94009">
                  <w:pPr>
                    <w:pStyle w:val="65"/>
                    <w:rPr>
                      <w:i/>
                      <w:iCs/>
                      <w:color w:val="auto"/>
                    </w:rPr>
                  </w:pPr>
                  <w:r>
                    <w:rPr>
                      <w:i/>
                      <w:iCs/>
                      <w:color w:val="auto"/>
                    </w:rPr>
                    <w:t>55</w:t>
                  </w:r>
                </w:p>
              </w:tc>
              <w:tc>
                <w:tcPr>
                  <w:tcW w:w="456" w:type="pct"/>
                  <w:tcBorders>
                    <w:top w:val="single" w:color="auto" w:sz="4" w:space="0"/>
                    <w:left w:val="single" w:color="auto" w:sz="4" w:space="0"/>
                    <w:bottom w:val="single" w:color="auto" w:sz="4" w:space="0"/>
                    <w:right w:val="single" w:color="auto" w:sz="4" w:space="0"/>
                  </w:tcBorders>
                  <w:vAlign w:val="center"/>
                </w:tcPr>
                <w:p w14:paraId="40DA7BE0">
                  <w:pPr>
                    <w:pStyle w:val="65"/>
                    <w:rPr>
                      <w:bCs/>
                      <w:color w:val="auto"/>
                    </w:rPr>
                  </w:pPr>
                  <w:r>
                    <w:rPr>
                      <w:bCs/>
                      <w:color w:val="auto"/>
                    </w:rPr>
                    <w:t>49</w:t>
                  </w:r>
                </w:p>
              </w:tc>
              <w:tc>
                <w:tcPr>
                  <w:tcW w:w="456" w:type="pct"/>
                  <w:tcBorders>
                    <w:top w:val="single" w:color="auto" w:sz="4" w:space="0"/>
                    <w:left w:val="single" w:color="auto" w:sz="4" w:space="0"/>
                    <w:bottom w:val="single" w:color="auto" w:sz="4" w:space="0"/>
                    <w:right w:val="single" w:color="auto" w:sz="4" w:space="0"/>
                  </w:tcBorders>
                  <w:vAlign w:val="center"/>
                </w:tcPr>
                <w:p w14:paraId="18CF2A1A">
                  <w:pPr>
                    <w:pStyle w:val="65"/>
                    <w:rPr>
                      <w:i/>
                      <w:iCs/>
                      <w:color w:val="auto"/>
                    </w:rPr>
                  </w:pPr>
                  <w:r>
                    <w:rPr>
                      <w:i/>
                      <w:iCs/>
                      <w:color w:val="auto"/>
                    </w:rPr>
                    <w:t>45</w:t>
                  </w:r>
                </w:p>
              </w:tc>
            </w:tr>
            <w:tr w14:paraId="6003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2B236DE1">
                  <w:pPr>
                    <w:pStyle w:val="65"/>
                    <w:rPr>
                      <w:color w:val="auto"/>
                      <w:kern w:val="0"/>
                    </w:rPr>
                  </w:pPr>
                  <w:r>
                    <w:rPr>
                      <w:rFonts w:hint="eastAsia"/>
                      <w:color w:val="auto"/>
                      <w:kern w:val="0"/>
                    </w:rPr>
                    <w:t>切割机</w:t>
                  </w:r>
                </w:p>
              </w:tc>
              <w:tc>
                <w:tcPr>
                  <w:tcW w:w="263" w:type="pct"/>
                  <w:tcBorders>
                    <w:top w:val="single" w:color="auto" w:sz="4" w:space="0"/>
                    <w:left w:val="single" w:color="auto" w:sz="4" w:space="0"/>
                    <w:bottom w:val="single" w:color="auto" w:sz="4" w:space="0"/>
                    <w:right w:val="single" w:color="auto" w:sz="4" w:space="0"/>
                  </w:tcBorders>
                  <w:vAlign w:val="center"/>
                </w:tcPr>
                <w:p w14:paraId="093B21AA">
                  <w:pPr>
                    <w:pStyle w:val="65"/>
                    <w:rPr>
                      <w:bCs/>
                      <w:color w:val="auto"/>
                    </w:rPr>
                  </w:pPr>
                  <w:r>
                    <w:rPr>
                      <w:bCs/>
                      <w:color w:val="auto"/>
                    </w:rPr>
                    <w:t>89</w:t>
                  </w:r>
                </w:p>
              </w:tc>
              <w:tc>
                <w:tcPr>
                  <w:tcW w:w="402" w:type="pct"/>
                  <w:tcBorders>
                    <w:top w:val="single" w:color="auto" w:sz="4" w:space="0"/>
                    <w:left w:val="single" w:color="auto" w:sz="4" w:space="0"/>
                    <w:bottom w:val="single" w:color="auto" w:sz="4" w:space="0"/>
                    <w:right w:val="single" w:color="auto" w:sz="4" w:space="0"/>
                  </w:tcBorders>
                  <w:vAlign w:val="center"/>
                </w:tcPr>
                <w:p w14:paraId="3C8730D4">
                  <w:pPr>
                    <w:pStyle w:val="65"/>
                    <w:rPr>
                      <w:bCs/>
                      <w:color w:val="auto"/>
                    </w:rPr>
                  </w:pPr>
                  <w:r>
                    <w:rPr>
                      <w:bCs/>
                      <w:color w:val="auto"/>
                    </w:rPr>
                    <w:t>75</w:t>
                  </w:r>
                </w:p>
              </w:tc>
              <w:tc>
                <w:tcPr>
                  <w:tcW w:w="403" w:type="pct"/>
                  <w:tcBorders>
                    <w:top w:val="single" w:color="auto" w:sz="4" w:space="0"/>
                    <w:left w:val="single" w:color="auto" w:sz="4" w:space="0"/>
                    <w:bottom w:val="single" w:color="auto" w:sz="4" w:space="0"/>
                    <w:right w:val="single" w:color="auto" w:sz="4" w:space="0"/>
                  </w:tcBorders>
                  <w:vAlign w:val="center"/>
                </w:tcPr>
                <w:p w14:paraId="29690617">
                  <w:pPr>
                    <w:pStyle w:val="65"/>
                    <w:rPr>
                      <w:bCs/>
                      <w:color w:val="auto"/>
                    </w:rPr>
                  </w:pPr>
                  <w:r>
                    <w:rPr>
                      <w:bCs/>
                      <w:color w:val="auto"/>
                    </w:rPr>
                    <w:t>69</w:t>
                  </w:r>
                </w:p>
              </w:tc>
              <w:tc>
                <w:tcPr>
                  <w:tcW w:w="403" w:type="pct"/>
                  <w:tcBorders>
                    <w:top w:val="single" w:color="auto" w:sz="4" w:space="0"/>
                    <w:left w:val="single" w:color="auto" w:sz="4" w:space="0"/>
                    <w:bottom w:val="single" w:color="auto" w:sz="4" w:space="0"/>
                    <w:right w:val="single" w:color="auto" w:sz="4" w:space="0"/>
                  </w:tcBorders>
                  <w:vAlign w:val="center"/>
                </w:tcPr>
                <w:p w14:paraId="3D1B685D">
                  <w:pPr>
                    <w:pStyle w:val="65"/>
                    <w:rPr>
                      <w:bCs/>
                      <w:color w:val="auto"/>
                    </w:rPr>
                  </w:pPr>
                  <w:r>
                    <w:rPr>
                      <w:bCs/>
                      <w:color w:val="auto"/>
                    </w:rPr>
                    <w:t>65</w:t>
                  </w:r>
                </w:p>
              </w:tc>
              <w:tc>
                <w:tcPr>
                  <w:tcW w:w="403" w:type="pct"/>
                  <w:tcBorders>
                    <w:top w:val="single" w:color="auto" w:sz="4" w:space="0"/>
                    <w:left w:val="single" w:color="auto" w:sz="4" w:space="0"/>
                    <w:bottom w:val="single" w:color="auto" w:sz="4" w:space="0"/>
                    <w:right w:val="single" w:color="auto" w:sz="4" w:space="0"/>
                  </w:tcBorders>
                  <w:vAlign w:val="center"/>
                </w:tcPr>
                <w:p w14:paraId="5F7F809D">
                  <w:pPr>
                    <w:pStyle w:val="65"/>
                    <w:rPr>
                      <w:bCs/>
                      <w:color w:val="auto"/>
                    </w:rPr>
                  </w:pPr>
                  <w:r>
                    <w:rPr>
                      <w:bCs/>
                      <w:color w:val="auto"/>
                    </w:rPr>
                    <w:t>63</w:t>
                  </w:r>
                </w:p>
              </w:tc>
              <w:tc>
                <w:tcPr>
                  <w:tcW w:w="403" w:type="pct"/>
                  <w:tcBorders>
                    <w:top w:val="single" w:color="auto" w:sz="4" w:space="0"/>
                    <w:left w:val="single" w:color="auto" w:sz="4" w:space="0"/>
                    <w:bottom w:val="single" w:color="auto" w:sz="4" w:space="0"/>
                    <w:right w:val="single" w:color="auto" w:sz="4" w:space="0"/>
                  </w:tcBorders>
                  <w:vAlign w:val="center"/>
                </w:tcPr>
                <w:p w14:paraId="3975F628">
                  <w:pPr>
                    <w:pStyle w:val="65"/>
                    <w:rPr>
                      <w:bCs/>
                      <w:color w:val="auto"/>
                    </w:rPr>
                  </w:pPr>
                  <w:r>
                    <w:rPr>
                      <w:bCs/>
                      <w:color w:val="auto"/>
                    </w:rPr>
                    <w:t>59</w:t>
                  </w:r>
                </w:p>
              </w:tc>
              <w:tc>
                <w:tcPr>
                  <w:tcW w:w="403" w:type="pct"/>
                  <w:tcBorders>
                    <w:top w:val="single" w:color="auto" w:sz="4" w:space="0"/>
                    <w:left w:val="single" w:color="auto" w:sz="4" w:space="0"/>
                    <w:bottom w:val="single" w:color="auto" w:sz="4" w:space="0"/>
                    <w:right w:val="single" w:color="auto" w:sz="4" w:space="0"/>
                  </w:tcBorders>
                  <w:vAlign w:val="center"/>
                </w:tcPr>
                <w:p w14:paraId="7D711E51">
                  <w:pPr>
                    <w:pStyle w:val="65"/>
                    <w:rPr>
                      <w:bCs/>
                      <w:color w:val="auto"/>
                    </w:rPr>
                  </w:pPr>
                  <w:r>
                    <w:rPr>
                      <w:bCs/>
                      <w:color w:val="auto"/>
                    </w:rPr>
                    <w:t>55</w:t>
                  </w:r>
                </w:p>
              </w:tc>
              <w:tc>
                <w:tcPr>
                  <w:tcW w:w="403" w:type="pct"/>
                  <w:tcBorders>
                    <w:top w:val="single" w:color="auto" w:sz="4" w:space="0"/>
                    <w:left w:val="single" w:color="auto" w:sz="4" w:space="0"/>
                    <w:bottom w:val="single" w:color="auto" w:sz="4" w:space="0"/>
                    <w:right w:val="single" w:color="auto" w:sz="4" w:space="0"/>
                  </w:tcBorders>
                  <w:vAlign w:val="center"/>
                </w:tcPr>
                <w:p w14:paraId="77A4F5B2">
                  <w:pPr>
                    <w:pStyle w:val="65"/>
                    <w:rPr>
                      <w:bCs/>
                      <w:color w:val="auto"/>
                    </w:rPr>
                  </w:pPr>
                  <w:r>
                    <w:rPr>
                      <w:bCs/>
                      <w:color w:val="auto"/>
                    </w:rPr>
                    <w:t>53</w:t>
                  </w:r>
                </w:p>
              </w:tc>
              <w:tc>
                <w:tcPr>
                  <w:tcW w:w="456" w:type="pct"/>
                  <w:tcBorders>
                    <w:top w:val="single" w:color="auto" w:sz="4" w:space="0"/>
                    <w:left w:val="single" w:color="auto" w:sz="4" w:space="0"/>
                    <w:bottom w:val="single" w:color="auto" w:sz="4" w:space="0"/>
                    <w:right w:val="single" w:color="auto" w:sz="4" w:space="0"/>
                  </w:tcBorders>
                  <w:vAlign w:val="center"/>
                </w:tcPr>
                <w:p w14:paraId="0E7299A4">
                  <w:pPr>
                    <w:pStyle w:val="65"/>
                    <w:rPr>
                      <w:bCs/>
                      <w:color w:val="auto"/>
                    </w:rPr>
                  </w:pPr>
                  <w:r>
                    <w:rPr>
                      <w:bCs/>
                      <w:color w:val="auto"/>
                    </w:rPr>
                    <w:t>44</w:t>
                  </w:r>
                </w:p>
              </w:tc>
              <w:tc>
                <w:tcPr>
                  <w:tcW w:w="456" w:type="pct"/>
                  <w:tcBorders>
                    <w:top w:val="single" w:color="auto" w:sz="4" w:space="0"/>
                    <w:left w:val="single" w:color="auto" w:sz="4" w:space="0"/>
                    <w:bottom w:val="single" w:color="auto" w:sz="4" w:space="0"/>
                    <w:right w:val="single" w:color="auto" w:sz="4" w:space="0"/>
                  </w:tcBorders>
                  <w:vAlign w:val="center"/>
                </w:tcPr>
                <w:p w14:paraId="5D7CD250">
                  <w:pPr>
                    <w:pStyle w:val="65"/>
                    <w:rPr>
                      <w:bCs/>
                      <w:color w:val="auto"/>
                    </w:rPr>
                  </w:pPr>
                  <w:r>
                    <w:rPr>
                      <w:bCs/>
                      <w:color w:val="auto"/>
                    </w:rPr>
                    <w:t>38</w:t>
                  </w:r>
                </w:p>
              </w:tc>
              <w:tc>
                <w:tcPr>
                  <w:tcW w:w="456" w:type="pct"/>
                  <w:tcBorders>
                    <w:top w:val="single" w:color="auto" w:sz="4" w:space="0"/>
                    <w:left w:val="single" w:color="auto" w:sz="4" w:space="0"/>
                    <w:bottom w:val="single" w:color="auto" w:sz="4" w:space="0"/>
                    <w:right w:val="single" w:color="auto" w:sz="4" w:space="0"/>
                  </w:tcBorders>
                  <w:vAlign w:val="center"/>
                </w:tcPr>
                <w:p w14:paraId="189D2793">
                  <w:pPr>
                    <w:pStyle w:val="65"/>
                    <w:rPr>
                      <w:bCs/>
                      <w:color w:val="auto"/>
                    </w:rPr>
                  </w:pPr>
                  <w:r>
                    <w:rPr>
                      <w:bCs/>
                      <w:color w:val="auto"/>
                    </w:rPr>
                    <w:t>34</w:t>
                  </w:r>
                </w:p>
              </w:tc>
            </w:tr>
            <w:tr w14:paraId="37B7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1051BD84">
                  <w:pPr>
                    <w:pStyle w:val="65"/>
                    <w:rPr>
                      <w:color w:val="auto"/>
                      <w:kern w:val="0"/>
                    </w:rPr>
                  </w:pPr>
                  <w:r>
                    <w:rPr>
                      <w:rFonts w:hint="eastAsia"/>
                      <w:color w:val="auto"/>
                      <w:kern w:val="0"/>
                    </w:rPr>
                    <w:t>自卸式运输车</w:t>
                  </w:r>
                </w:p>
              </w:tc>
              <w:tc>
                <w:tcPr>
                  <w:tcW w:w="263" w:type="pct"/>
                  <w:tcBorders>
                    <w:top w:val="single" w:color="auto" w:sz="4" w:space="0"/>
                    <w:left w:val="single" w:color="auto" w:sz="4" w:space="0"/>
                    <w:bottom w:val="single" w:color="auto" w:sz="4" w:space="0"/>
                    <w:right w:val="single" w:color="auto" w:sz="4" w:space="0"/>
                  </w:tcBorders>
                  <w:vAlign w:val="center"/>
                </w:tcPr>
                <w:p w14:paraId="2AE03A29">
                  <w:pPr>
                    <w:pStyle w:val="65"/>
                    <w:rPr>
                      <w:bCs/>
                      <w:color w:val="auto"/>
                    </w:rPr>
                  </w:pPr>
                  <w:r>
                    <w:rPr>
                      <w:bCs/>
                      <w:color w:val="auto"/>
                    </w:rPr>
                    <w:t>80</w:t>
                  </w:r>
                </w:p>
              </w:tc>
              <w:tc>
                <w:tcPr>
                  <w:tcW w:w="402" w:type="pct"/>
                  <w:tcBorders>
                    <w:top w:val="single" w:color="auto" w:sz="4" w:space="0"/>
                    <w:left w:val="single" w:color="auto" w:sz="4" w:space="0"/>
                    <w:bottom w:val="single" w:color="auto" w:sz="4" w:space="0"/>
                    <w:right w:val="single" w:color="auto" w:sz="4" w:space="0"/>
                  </w:tcBorders>
                  <w:vAlign w:val="center"/>
                </w:tcPr>
                <w:p w14:paraId="7723FC20">
                  <w:pPr>
                    <w:pStyle w:val="65"/>
                    <w:rPr>
                      <w:bCs/>
                      <w:color w:val="auto"/>
                    </w:rPr>
                  </w:pPr>
                  <w:r>
                    <w:rPr>
                      <w:bCs/>
                      <w:color w:val="auto"/>
                    </w:rPr>
                    <w:t>66</w:t>
                  </w:r>
                </w:p>
              </w:tc>
              <w:tc>
                <w:tcPr>
                  <w:tcW w:w="403" w:type="pct"/>
                  <w:tcBorders>
                    <w:top w:val="single" w:color="auto" w:sz="4" w:space="0"/>
                    <w:left w:val="single" w:color="auto" w:sz="4" w:space="0"/>
                    <w:bottom w:val="single" w:color="auto" w:sz="4" w:space="0"/>
                    <w:right w:val="single" w:color="auto" w:sz="4" w:space="0"/>
                  </w:tcBorders>
                  <w:vAlign w:val="center"/>
                </w:tcPr>
                <w:p w14:paraId="3A8C5189">
                  <w:pPr>
                    <w:pStyle w:val="65"/>
                    <w:rPr>
                      <w:bCs/>
                      <w:color w:val="auto"/>
                    </w:rPr>
                  </w:pPr>
                  <w:r>
                    <w:rPr>
                      <w:bCs/>
                      <w:color w:val="auto"/>
                    </w:rPr>
                    <w:t>60</w:t>
                  </w:r>
                </w:p>
              </w:tc>
              <w:tc>
                <w:tcPr>
                  <w:tcW w:w="403" w:type="pct"/>
                  <w:tcBorders>
                    <w:top w:val="single" w:color="auto" w:sz="4" w:space="0"/>
                    <w:left w:val="single" w:color="auto" w:sz="4" w:space="0"/>
                    <w:bottom w:val="single" w:color="auto" w:sz="4" w:space="0"/>
                    <w:right w:val="single" w:color="auto" w:sz="4" w:space="0"/>
                  </w:tcBorders>
                  <w:vAlign w:val="center"/>
                </w:tcPr>
                <w:p w14:paraId="3420BCA0">
                  <w:pPr>
                    <w:pStyle w:val="65"/>
                    <w:rPr>
                      <w:bCs/>
                      <w:color w:val="auto"/>
                    </w:rPr>
                  </w:pPr>
                  <w:r>
                    <w:rPr>
                      <w:bCs/>
                      <w:color w:val="auto"/>
                    </w:rPr>
                    <w:t>56</w:t>
                  </w:r>
                </w:p>
              </w:tc>
              <w:tc>
                <w:tcPr>
                  <w:tcW w:w="403" w:type="pct"/>
                  <w:tcBorders>
                    <w:top w:val="single" w:color="auto" w:sz="4" w:space="0"/>
                    <w:left w:val="single" w:color="auto" w:sz="4" w:space="0"/>
                    <w:bottom w:val="single" w:color="auto" w:sz="4" w:space="0"/>
                    <w:right w:val="single" w:color="auto" w:sz="4" w:space="0"/>
                  </w:tcBorders>
                  <w:vAlign w:val="center"/>
                </w:tcPr>
                <w:p w14:paraId="66F12761">
                  <w:pPr>
                    <w:pStyle w:val="65"/>
                    <w:rPr>
                      <w:bCs/>
                      <w:color w:val="auto"/>
                    </w:rPr>
                  </w:pPr>
                  <w:r>
                    <w:rPr>
                      <w:bCs/>
                      <w:color w:val="auto"/>
                    </w:rPr>
                    <w:t>54</w:t>
                  </w:r>
                </w:p>
              </w:tc>
              <w:tc>
                <w:tcPr>
                  <w:tcW w:w="403" w:type="pct"/>
                  <w:tcBorders>
                    <w:top w:val="single" w:color="auto" w:sz="4" w:space="0"/>
                    <w:left w:val="single" w:color="auto" w:sz="4" w:space="0"/>
                    <w:bottom w:val="single" w:color="auto" w:sz="4" w:space="0"/>
                    <w:right w:val="single" w:color="auto" w:sz="4" w:space="0"/>
                  </w:tcBorders>
                  <w:vAlign w:val="center"/>
                </w:tcPr>
                <w:p w14:paraId="4C80AB99">
                  <w:pPr>
                    <w:pStyle w:val="65"/>
                    <w:rPr>
                      <w:bCs/>
                      <w:color w:val="auto"/>
                    </w:rPr>
                  </w:pPr>
                  <w:r>
                    <w:rPr>
                      <w:bCs/>
                      <w:color w:val="auto"/>
                    </w:rPr>
                    <w:t>50</w:t>
                  </w:r>
                </w:p>
              </w:tc>
              <w:tc>
                <w:tcPr>
                  <w:tcW w:w="403" w:type="pct"/>
                  <w:tcBorders>
                    <w:top w:val="single" w:color="auto" w:sz="4" w:space="0"/>
                    <w:left w:val="single" w:color="auto" w:sz="4" w:space="0"/>
                    <w:bottom w:val="single" w:color="auto" w:sz="4" w:space="0"/>
                    <w:right w:val="single" w:color="auto" w:sz="4" w:space="0"/>
                  </w:tcBorders>
                  <w:vAlign w:val="center"/>
                </w:tcPr>
                <w:p w14:paraId="7F43F3FB">
                  <w:pPr>
                    <w:pStyle w:val="65"/>
                    <w:rPr>
                      <w:bCs/>
                      <w:color w:val="auto"/>
                    </w:rPr>
                  </w:pPr>
                  <w:r>
                    <w:rPr>
                      <w:bCs/>
                      <w:color w:val="auto"/>
                    </w:rPr>
                    <w:t>46</w:t>
                  </w:r>
                </w:p>
              </w:tc>
              <w:tc>
                <w:tcPr>
                  <w:tcW w:w="403" w:type="pct"/>
                  <w:tcBorders>
                    <w:top w:val="single" w:color="auto" w:sz="4" w:space="0"/>
                    <w:left w:val="single" w:color="auto" w:sz="4" w:space="0"/>
                    <w:bottom w:val="single" w:color="auto" w:sz="4" w:space="0"/>
                    <w:right w:val="single" w:color="auto" w:sz="4" w:space="0"/>
                  </w:tcBorders>
                  <w:vAlign w:val="center"/>
                </w:tcPr>
                <w:p w14:paraId="6CF3D77F">
                  <w:pPr>
                    <w:pStyle w:val="65"/>
                    <w:rPr>
                      <w:bCs/>
                      <w:color w:val="auto"/>
                    </w:rPr>
                  </w:pPr>
                  <w:r>
                    <w:rPr>
                      <w:bCs/>
                      <w:color w:val="auto"/>
                    </w:rPr>
                    <w:t>44</w:t>
                  </w:r>
                </w:p>
              </w:tc>
              <w:tc>
                <w:tcPr>
                  <w:tcW w:w="456" w:type="pct"/>
                  <w:tcBorders>
                    <w:top w:val="single" w:color="auto" w:sz="4" w:space="0"/>
                    <w:left w:val="single" w:color="auto" w:sz="4" w:space="0"/>
                    <w:bottom w:val="single" w:color="auto" w:sz="4" w:space="0"/>
                    <w:right w:val="single" w:color="auto" w:sz="4" w:space="0"/>
                  </w:tcBorders>
                  <w:vAlign w:val="center"/>
                </w:tcPr>
                <w:p w14:paraId="619F11F4">
                  <w:pPr>
                    <w:pStyle w:val="65"/>
                    <w:rPr>
                      <w:bCs/>
                      <w:color w:val="auto"/>
                    </w:rPr>
                  </w:pPr>
                  <w:r>
                    <w:rPr>
                      <w:bCs/>
                      <w:color w:val="auto"/>
                    </w:rPr>
                    <w:t>35</w:t>
                  </w:r>
                </w:p>
              </w:tc>
              <w:tc>
                <w:tcPr>
                  <w:tcW w:w="456" w:type="pct"/>
                  <w:tcBorders>
                    <w:top w:val="single" w:color="auto" w:sz="4" w:space="0"/>
                    <w:left w:val="single" w:color="auto" w:sz="4" w:space="0"/>
                    <w:bottom w:val="single" w:color="auto" w:sz="4" w:space="0"/>
                    <w:right w:val="single" w:color="auto" w:sz="4" w:space="0"/>
                  </w:tcBorders>
                  <w:vAlign w:val="center"/>
                </w:tcPr>
                <w:p w14:paraId="2E80B05B">
                  <w:pPr>
                    <w:pStyle w:val="65"/>
                    <w:rPr>
                      <w:bCs/>
                      <w:color w:val="auto"/>
                    </w:rPr>
                  </w:pPr>
                  <w:r>
                    <w:rPr>
                      <w:bCs/>
                      <w:color w:val="auto"/>
                    </w:rPr>
                    <w:t>29</w:t>
                  </w:r>
                </w:p>
              </w:tc>
              <w:tc>
                <w:tcPr>
                  <w:tcW w:w="456" w:type="pct"/>
                  <w:tcBorders>
                    <w:top w:val="single" w:color="auto" w:sz="4" w:space="0"/>
                    <w:left w:val="single" w:color="auto" w:sz="4" w:space="0"/>
                    <w:bottom w:val="single" w:color="auto" w:sz="4" w:space="0"/>
                    <w:right w:val="single" w:color="auto" w:sz="4" w:space="0"/>
                  </w:tcBorders>
                  <w:vAlign w:val="center"/>
                </w:tcPr>
                <w:p w14:paraId="19FA706C">
                  <w:pPr>
                    <w:pStyle w:val="65"/>
                    <w:rPr>
                      <w:bCs/>
                      <w:color w:val="auto"/>
                    </w:rPr>
                  </w:pPr>
                  <w:r>
                    <w:rPr>
                      <w:bCs/>
                      <w:color w:val="auto"/>
                    </w:rPr>
                    <w:t>25</w:t>
                  </w:r>
                </w:p>
              </w:tc>
            </w:tr>
            <w:tr w14:paraId="0E1E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1A614C53">
                  <w:pPr>
                    <w:pStyle w:val="65"/>
                    <w:rPr>
                      <w:color w:val="auto"/>
                      <w:kern w:val="0"/>
                    </w:rPr>
                  </w:pPr>
                  <w:r>
                    <w:rPr>
                      <w:rFonts w:hint="eastAsia"/>
                      <w:color w:val="auto"/>
                      <w:kern w:val="0"/>
                    </w:rPr>
                    <w:t>压路机</w:t>
                  </w:r>
                </w:p>
              </w:tc>
              <w:tc>
                <w:tcPr>
                  <w:tcW w:w="263" w:type="pct"/>
                  <w:tcBorders>
                    <w:top w:val="single" w:color="auto" w:sz="4" w:space="0"/>
                    <w:left w:val="single" w:color="auto" w:sz="4" w:space="0"/>
                    <w:bottom w:val="single" w:color="auto" w:sz="4" w:space="0"/>
                    <w:right w:val="single" w:color="auto" w:sz="4" w:space="0"/>
                  </w:tcBorders>
                  <w:vAlign w:val="center"/>
                </w:tcPr>
                <w:p w14:paraId="21B9C5A0">
                  <w:pPr>
                    <w:pStyle w:val="65"/>
                    <w:rPr>
                      <w:bCs/>
                      <w:color w:val="auto"/>
                    </w:rPr>
                  </w:pPr>
                  <w:r>
                    <w:rPr>
                      <w:bCs/>
                      <w:color w:val="auto"/>
                    </w:rPr>
                    <w:t>81</w:t>
                  </w:r>
                </w:p>
              </w:tc>
              <w:tc>
                <w:tcPr>
                  <w:tcW w:w="402" w:type="pct"/>
                  <w:tcBorders>
                    <w:top w:val="single" w:color="auto" w:sz="4" w:space="0"/>
                    <w:left w:val="single" w:color="auto" w:sz="4" w:space="0"/>
                    <w:bottom w:val="single" w:color="auto" w:sz="4" w:space="0"/>
                    <w:right w:val="single" w:color="auto" w:sz="4" w:space="0"/>
                  </w:tcBorders>
                  <w:vAlign w:val="center"/>
                </w:tcPr>
                <w:p w14:paraId="6EDF4AD0">
                  <w:pPr>
                    <w:pStyle w:val="65"/>
                    <w:rPr>
                      <w:bCs/>
                      <w:color w:val="auto"/>
                    </w:rPr>
                  </w:pPr>
                  <w:r>
                    <w:rPr>
                      <w:bCs/>
                      <w:color w:val="auto"/>
                    </w:rPr>
                    <w:t>67</w:t>
                  </w:r>
                </w:p>
              </w:tc>
              <w:tc>
                <w:tcPr>
                  <w:tcW w:w="403" w:type="pct"/>
                  <w:tcBorders>
                    <w:top w:val="single" w:color="auto" w:sz="4" w:space="0"/>
                    <w:left w:val="single" w:color="auto" w:sz="4" w:space="0"/>
                    <w:bottom w:val="single" w:color="auto" w:sz="4" w:space="0"/>
                    <w:right w:val="single" w:color="auto" w:sz="4" w:space="0"/>
                  </w:tcBorders>
                  <w:vAlign w:val="center"/>
                </w:tcPr>
                <w:p w14:paraId="0745F68A">
                  <w:pPr>
                    <w:pStyle w:val="65"/>
                    <w:rPr>
                      <w:bCs/>
                      <w:color w:val="auto"/>
                    </w:rPr>
                  </w:pPr>
                  <w:r>
                    <w:rPr>
                      <w:bCs/>
                      <w:color w:val="auto"/>
                    </w:rPr>
                    <w:t>61</w:t>
                  </w:r>
                </w:p>
              </w:tc>
              <w:tc>
                <w:tcPr>
                  <w:tcW w:w="403" w:type="pct"/>
                  <w:tcBorders>
                    <w:top w:val="single" w:color="auto" w:sz="4" w:space="0"/>
                    <w:left w:val="single" w:color="auto" w:sz="4" w:space="0"/>
                    <w:bottom w:val="single" w:color="auto" w:sz="4" w:space="0"/>
                    <w:right w:val="single" w:color="auto" w:sz="4" w:space="0"/>
                  </w:tcBorders>
                  <w:vAlign w:val="center"/>
                </w:tcPr>
                <w:p w14:paraId="220FD20B">
                  <w:pPr>
                    <w:pStyle w:val="65"/>
                    <w:rPr>
                      <w:bCs/>
                      <w:color w:val="auto"/>
                    </w:rPr>
                  </w:pPr>
                  <w:r>
                    <w:rPr>
                      <w:bCs/>
                      <w:color w:val="auto"/>
                    </w:rPr>
                    <w:t>57</w:t>
                  </w:r>
                </w:p>
              </w:tc>
              <w:tc>
                <w:tcPr>
                  <w:tcW w:w="403" w:type="pct"/>
                  <w:tcBorders>
                    <w:top w:val="single" w:color="auto" w:sz="4" w:space="0"/>
                    <w:left w:val="single" w:color="auto" w:sz="4" w:space="0"/>
                    <w:bottom w:val="single" w:color="auto" w:sz="4" w:space="0"/>
                    <w:right w:val="single" w:color="auto" w:sz="4" w:space="0"/>
                  </w:tcBorders>
                  <w:vAlign w:val="center"/>
                </w:tcPr>
                <w:p w14:paraId="53F9B587">
                  <w:pPr>
                    <w:pStyle w:val="65"/>
                    <w:rPr>
                      <w:bCs/>
                      <w:color w:val="auto"/>
                    </w:rPr>
                  </w:pPr>
                  <w:r>
                    <w:rPr>
                      <w:bCs/>
                      <w:color w:val="auto"/>
                    </w:rPr>
                    <w:t>55</w:t>
                  </w:r>
                </w:p>
              </w:tc>
              <w:tc>
                <w:tcPr>
                  <w:tcW w:w="403" w:type="pct"/>
                  <w:tcBorders>
                    <w:top w:val="single" w:color="auto" w:sz="4" w:space="0"/>
                    <w:left w:val="single" w:color="auto" w:sz="4" w:space="0"/>
                    <w:bottom w:val="single" w:color="auto" w:sz="4" w:space="0"/>
                    <w:right w:val="single" w:color="auto" w:sz="4" w:space="0"/>
                  </w:tcBorders>
                  <w:vAlign w:val="center"/>
                </w:tcPr>
                <w:p w14:paraId="2DB5EB76">
                  <w:pPr>
                    <w:pStyle w:val="65"/>
                    <w:rPr>
                      <w:bCs/>
                      <w:color w:val="auto"/>
                    </w:rPr>
                  </w:pPr>
                  <w:r>
                    <w:rPr>
                      <w:bCs/>
                      <w:color w:val="auto"/>
                    </w:rPr>
                    <w:t>51</w:t>
                  </w:r>
                </w:p>
              </w:tc>
              <w:tc>
                <w:tcPr>
                  <w:tcW w:w="403" w:type="pct"/>
                  <w:tcBorders>
                    <w:top w:val="single" w:color="auto" w:sz="4" w:space="0"/>
                    <w:left w:val="single" w:color="auto" w:sz="4" w:space="0"/>
                    <w:bottom w:val="single" w:color="auto" w:sz="4" w:space="0"/>
                    <w:right w:val="single" w:color="auto" w:sz="4" w:space="0"/>
                  </w:tcBorders>
                  <w:vAlign w:val="center"/>
                </w:tcPr>
                <w:p w14:paraId="3716EB87">
                  <w:pPr>
                    <w:pStyle w:val="65"/>
                    <w:rPr>
                      <w:bCs/>
                      <w:color w:val="auto"/>
                    </w:rPr>
                  </w:pPr>
                  <w:r>
                    <w:rPr>
                      <w:bCs/>
                      <w:color w:val="auto"/>
                    </w:rPr>
                    <w:t>47</w:t>
                  </w:r>
                </w:p>
              </w:tc>
              <w:tc>
                <w:tcPr>
                  <w:tcW w:w="403" w:type="pct"/>
                  <w:tcBorders>
                    <w:top w:val="single" w:color="auto" w:sz="4" w:space="0"/>
                    <w:left w:val="single" w:color="auto" w:sz="4" w:space="0"/>
                    <w:bottom w:val="single" w:color="auto" w:sz="4" w:space="0"/>
                    <w:right w:val="single" w:color="auto" w:sz="4" w:space="0"/>
                  </w:tcBorders>
                  <w:vAlign w:val="center"/>
                </w:tcPr>
                <w:p w14:paraId="055675D6">
                  <w:pPr>
                    <w:pStyle w:val="65"/>
                    <w:rPr>
                      <w:bCs/>
                      <w:color w:val="auto"/>
                    </w:rPr>
                  </w:pPr>
                  <w:r>
                    <w:rPr>
                      <w:bCs/>
                      <w:color w:val="auto"/>
                    </w:rPr>
                    <w:t>45</w:t>
                  </w:r>
                </w:p>
              </w:tc>
              <w:tc>
                <w:tcPr>
                  <w:tcW w:w="456" w:type="pct"/>
                  <w:tcBorders>
                    <w:top w:val="single" w:color="auto" w:sz="4" w:space="0"/>
                    <w:left w:val="single" w:color="auto" w:sz="4" w:space="0"/>
                    <w:bottom w:val="single" w:color="auto" w:sz="4" w:space="0"/>
                    <w:right w:val="single" w:color="auto" w:sz="4" w:space="0"/>
                  </w:tcBorders>
                  <w:vAlign w:val="center"/>
                </w:tcPr>
                <w:p w14:paraId="60F33369">
                  <w:pPr>
                    <w:pStyle w:val="65"/>
                    <w:rPr>
                      <w:bCs/>
                      <w:color w:val="auto"/>
                    </w:rPr>
                  </w:pPr>
                  <w:r>
                    <w:rPr>
                      <w:bCs/>
                      <w:color w:val="auto"/>
                    </w:rPr>
                    <w:t>36</w:t>
                  </w:r>
                </w:p>
              </w:tc>
              <w:tc>
                <w:tcPr>
                  <w:tcW w:w="456" w:type="pct"/>
                  <w:tcBorders>
                    <w:top w:val="single" w:color="auto" w:sz="4" w:space="0"/>
                    <w:left w:val="single" w:color="auto" w:sz="4" w:space="0"/>
                    <w:bottom w:val="single" w:color="auto" w:sz="4" w:space="0"/>
                    <w:right w:val="single" w:color="auto" w:sz="4" w:space="0"/>
                  </w:tcBorders>
                  <w:vAlign w:val="center"/>
                </w:tcPr>
                <w:p w14:paraId="6D082479">
                  <w:pPr>
                    <w:pStyle w:val="65"/>
                    <w:rPr>
                      <w:bCs/>
                      <w:color w:val="auto"/>
                    </w:rPr>
                  </w:pPr>
                  <w:r>
                    <w:rPr>
                      <w:bCs/>
                      <w:color w:val="auto"/>
                    </w:rPr>
                    <w:t>30</w:t>
                  </w:r>
                </w:p>
              </w:tc>
              <w:tc>
                <w:tcPr>
                  <w:tcW w:w="456" w:type="pct"/>
                  <w:tcBorders>
                    <w:top w:val="single" w:color="auto" w:sz="4" w:space="0"/>
                    <w:left w:val="single" w:color="auto" w:sz="4" w:space="0"/>
                    <w:bottom w:val="single" w:color="auto" w:sz="4" w:space="0"/>
                    <w:right w:val="single" w:color="auto" w:sz="4" w:space="0"/>
                  </w:tcBorders>
                  <w:vAlign w:val="center"/>
                </w:tcPr>
                <w:p w14:paraId="6C6C3449">
                  <w:pPr>
                    <w:pStyle w:val="65"/>
                    <w:rPr>
                      <w:bCs/>
                      <w:color w:val="auto"/>
                    </w:rPr>
                  </w:pPr>
                  <w:r>
                    <w:rPr>
                      <w:bCs/>
                      <w:color w:val="auto"/>
                    </w:rPr>
                    <w:t>26</w:t>
                  </w:r>
                </w:p>
              </w:tc>
            </w:tr>
            <w:tr w14:paraId="726B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4B83C09D">
                  <w:pPr>
                    <w:pStyle w:val="65"/>
                    <w:rPr>
                      <w:color w:val="auto"/>
                      <w:kern w:val="0"/>
                    </w:rPr>
                  </w:pPr>
                  <w:r>
                    <w:rPr>
                      <w:rFonts w:hint="eastAsia"/>
                      <w:color w:val="auto"/>
                      <w:kern w:val="0"/>
                    </w:rPr>
                    <w:t>运水车</w:t>
                  </w:r>
                </w:p>
              </w:tc>
              <w:tc>
                <w:tcPr>
                  <w:tcW w:w="263" w:type="pct"/>
                  <w:tcBorders>
                    <w:top w:val="single" w:color="auto" w:sz="4" w:space="0"/>
                    <w:left w:val="single" w:color="auto" w:sz="4" w:space="0"/>
                    <w:bottom w:val="single" w:color="auto" w:sz="4" w:space="0"/>
                    <w:right w:val="single" w:color="auto" w:sz="4" w:space="0"/>
                  </w:tcBorders>
                  <w:vAlign w:val="center"/>
                </w:tcPr>
                <w:p w14:paraId="188130FD">
                  <w:pPr>
                    <w:pStyle w:val="65"/>
                    <w:rPr>
                      <w:bCs/>
                      <w:color w:val="auto"/>
                    </w:rPr>
                  </w:pPr>
                  <w:r>
                    <w:rPr>
                      <w:bCs/>
                      <w:color w:val="auto"/>
                    </w:rPr>
                    <w:t>75</w:t>
                  </w:r>
                </w:p>
              </w:tc>
              <w:tc>
                <w:tcPr>
                  <w:tcW w:w="402" w:type="pct"/>
                  <w:tcBorders>
                    <w:top w:val="single" w:color="auto" w:sz="4" w:space="0"/>
                    <w:left w:val="single" w:color="auto" w:sz="4" w:space="0"/>
                    <w:bottom w:val="single" w:color="auto" w:sz="4" w:space="0"/>
                    <w:right w:val="single" w:color="auto" w:sz="4" w:space="0"/>
                  </w:tcBorders>
                  <w:vAlign w:val="center"/>
                </w:tcPr>
                <w:p w14:paraId="2F41073E">
                  <w:pPr>
                    <w:pStyle w:val="65"/>
                    <w:rPr>
                      <w:bCs/>
                      <w:color w:val="auto"/>
                    </w:rPr>
                  </w:pPr>
                  <w:r>
                    <w:rPr>
                      <w:bCs/>
                      <w:color w:val="auto"/>
                    </w:rPr>
                    <w:t>61</w:t>
                  </w:r>
                </w:p>
              </w:tc>
              <w:tc>
                <w:tcPr>
                  <w:tcW w:w="403" w:type="pct"/>
                  <w:tcBorders>
                    <w:top w:val="single" w:color="auto" w:sz="4" w:space="0"/>
                    <w:left w:val="single" w:color="auto" w:sz="4" w:space="0"/>
                    <w:bottom w:val="single" w:color="auto" w:sz="4" w:space="0"/>
                    <w:right w:val="single" w:color="auto" w:sz="4" w:space="0"/>
                  </w:tcBorders>
                  <w:vAlign w:val="center"/>
                </w:tcPr>
                <w:p w14:paraId="6CBFAB3D">
                  <w:pPr>
                    <w:pStyle w:val="65"/>
                    <w:rPr>
                      <w:bCs/>
                      <w:color w:val="auto"/>
                    </w:rPr>
                  </w:pPr>
                  <w:r>
                    <w:rPr>
                      <w:bCs/>
                      <w:color w:val="auto"/>
                    </w:rPr>
                    <w:t>55</w:t>
                  </w:r>
                </w:p>
              </w:tc>
              <w:tc>
                <w:tcPr>
                  <w:tcW w:w="403" w:type="pct"/>
                  <w:tcBorders>
                    <w:top w:val="single" w:color="auto" w:sz="4" w:space="0"/>
                    <w:left w:val="single" w:color="auto" w:sz="4" w:space="0"/>
                    <w:bottom w:val="single" w:color="auto" w:sz="4" w:space="0"/>
                    <w:right w:val="single" w:color="auto" w:sz="4" w:space="0"/>
                  </w:tcBorders>
                  <w:vAlign w:val="center"/>
                </w:tcPr>
                <w:p w14:paraId="10193B93">
                  <w:pPr>
                    <w:pStyle w:val="65"/>
                    <w:rPr>
                      <w:bCs/>
                      <w:color w:val="auto"/>
                    </w:rPr>
                  </w:pPr>
                  <w:r>
                    <w:rPr>
                      <w:bCs/>
                      <w:color w:val="auto"/>
                    </w:rPr>
                    <w:t>51</w:t>
                  </w:r>
                </w:p>
              </w:tc>
              <w:tc>
                <w:tcPr>
                  <w:tcW w:w="403" w:type="pct"/>
                  <w:tcBorders>
                    <w:top w:val="single" w:color="auto" w:sz="4" w:space="0"/>
                    <w:left w:val="single" w:color="auto" w:sz="4" w:space="0"/>
                    <w:bottom w:val="single" w:color="auto" w:sz="4" w:space="0"/>
                    <w:right w:val="single" w:color="auto" w:sz="4" w:space="0"/>
                  </w:tcBorders>
                  <w:vAlign w:val="center"/>
                </w:tcPr>
                <w:p w14:paraId="330F25FC">
                  <w:pPr>
                    <w:pStyle w:val="65"/>
                    <w:rPr>
                      <w:bCs/>
                      <w:color w:val="auto"/>
                    </w:rPr>
                  </w:pPr>
                  <w:r>
                    <w:rPr>
                      <w:bCs/>
                      <w:color w:val="auto"/>
                    </w:rPr>
                    <w:t>49</w:t>
                  </w:r>
                </w:p>
              </w:tc>
              <w:tc>
                <w:tcPr>
                  <w:tcW w:w="403" w:type="pct"/>
                  <w:tcBorders>
                    <w:top w:val="single" w:color="auto" w:sz="4" w:space="0"/>
                    <w:left w:val="single" w:color="auto" w:sz="4" w:space="0"/>
                    <w:bottom w:val="single" w:color="auto" w:sz="4" w:space="0"/>
                    <w:right w:val="single" w:color="auto" w:sz="4" w:space="0"/>
                  </w:tcBorders>
                  <w:vAlign w:val="center"/>
                </w:tcPr>
                <w:p w14:paraId="6730F522">
                  <w:pPr>
                    <w:pStyle w:val="65"/>
                    <w:rPr>
                      <w:bCs/>
                      <w:color w:val="auto"/>
                    </w:rPr>
                  </w:pPr>
                  <w:r>
                    <w:rPr>
                      <w:bCs/>
                      <w:color w:val="auto"/>
                    </w:rPr>
                    <w:t>45</w:t>
                  </w:r>
                </w:p>
              </w:tc>
              <w:tc>
                <w:tcPr>
                  <w:tcW w:w="403" w:type="pct"/>
                  <w:tcBorders>
                    <w:top w:val="single" w:color="auto" w:sz="4" w:space="0"/>
                    <w:left w:val="single" w:color="auto" w:sz="4" w:space="0"/>
                    <w:bottom w:val="single" w:color="auto" w:sz="4" w:space="0"/>
                    <w:right w:val="single" w:color="auto" w:sz="4" w:space="0"/>
                  </w:tcBorders>
                  <w:vAlign w:val="center"/>
                </w:tcPr>
                <w:p w14:paraId="5C390938">
                  <w:pPr>
                    <w:pStyle w:val="65"/>
                    <w:rPr>
                      <w:bCs/>
                      <w:color w:val="auto"/>
                    </w:rPr>
                  </w:pPr>
                  <w:r>
                    <w:rPr>
                      <w:bCs/>
                      <w:color w:val="auto"/>
                    </w:rPr>
                    <w:t>41</w:t>
                  </w:r>
                </w:p>
              </w:tc>
              <w:tc>
                <w:tcPr>
                  <w:tcW w:w="403" w:type="pct"/>
                  <w:tcBorders>
                    <w:top w:val="single" w:color="auto" w:sz="4" w:space="0"/>
                    <w:left w:val="single" w:color="auto" w:sz="4" w:space="0"/>
                    <w:bottom w:val="single" w:color="auto" w:sz="4" w:space="0"/>
                    <w:right w:val="single" w:color="auto" w:sz="4" w:space="0"/>
                  </w:tcBorders>
                  <w:vAlign w:val="center"/>
                </w:tcPr>
                <w:p w14:paraId="13238A74">
                  <w:pPr>
                    <w:pStyle w:val="65"/>
                    <w:rPr>
                      <w:bCs/>
                      <w:color w:val="auto"/>
                    </w:rPr>
                  </w:pPr>
                  <w:r>
                    <w:rPr>
                      <w:bCs/>
                      <w:color w:val="auto"/>
                    </w:rPr>
                    <w:t>39</w:t>
                  </w:r>
                </w:p>
              </w:tc>
              <w:tc>
                <w:tcPr>
                  <w:tcW w:w="456" w:type="pct"/>
                  <w:tcBorders>
                    <w:top w:val="single" w:color="auto" w:sz="4" w:space="0"/>
                    <w:left w:val="single" w:color="auto" w:sz="4" w:space="0"/>
                    <w:bottom w:val="single" w:color="auto" w:sz="4" w:space="0"/>
                    <w:right w:val="single" w:color="auto" w:sz="4" w:space="0"/>
                  </w:tcBorders>
                  <w:vAlign w:val="center"/>
                </w:tcPr>
                <w:p w14:paraId="55834733">
                  <w:pPr>
                    <w:pStyle w:val="65"/>
                    <w:rPr>
                      <w:bCs/>
                      <w:color w:val="auto"/>
                    </w:rPr>
                  </w:pPr>
                  <w:r>
                    <w:rPr>
                      <w:bCs/>
                      <w:color w:val="auto"/>
                    </w:rPr>
                    <w:t>30</w:t>
                  </w:r>
                </w:p>
              </w:tc>
              <w:tc>
                <w:tcPr>
                  <w:tcW w:w="456" w:type="pct"/>
                  <w:tcBorders>
                    <w:top w:val="single" w:color="auto" w:sz="4" w:space="0"/>
                    <w:left w:val="single" w:color="auto" w:sz="4" w:space="0"/>
                    <w:bottom w:val="single" w:color="auto" w:sz="4" w:space="0"/>
                    <w:right w:val="single" w:color="auto" w:sz="4" w:space="0"/>
                  </w:tcBorders>
                  <w:vAlign w:val="center"/>
                </w:tcPr>
                <w:p w14:paraId="284F5F2C">
                  <w:pPr>
                    <w:pStyle w:val="65"/>
                    <w:rPr>
                      <w:bCs/>
                      <w:color w:val="auto"/>
                    </w:rPr>
                  </w:pPr>
                  <w:r>
                    <w:rPr>
                      <w:bCs/>
                      <w:color w:val="auto"/>
                    </w:rPr>
                    <w:t>24</w:t>
                  </w:r>
                </w:p>
              </w:tc>
              <w:tc>
                <w:tcPr>
                  <w:tcW w:w="456" w:type="pct"/>
                  <w:tcBorders>
                    <w:top w:val="single" w:color="auto" w:sz="4" w:space="0"/>
                    <w:left w:val="single" w:color="auto" w:sz="4" w:space="0"/>
                    <w:bottom w:val="single" w:color="auto" w:sz="4" w:space="0"/>
                    <w:right w:val="single" w:color="auto" w:sz="4" w:space="0"/>
                  </w:tcBorders>
                  <w:vAlign w:val="center"/>
                </w:tcPr>
                <w:p w14:paraId="0802E731">
                  <w:pPr>
                    <w:pStyle w:val="65"/>
                    <w:rPr>
                      <w:bCs/>
                      <w:color w:val="auto"/>
                    </w:rPr>
                  </w:pPr>
                  <w:r>
                    <w:rPr>
                      <w:bCs/>
                      <w:color w:val="auto"/>
                    </w:rPr>
                    <w:t>20</w:t>
                  </w:r>
                </w:p>
              </w:tc>
            </w:tr>
            <w:tr w14:paraId="0082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31444571">
                  <w:pPr>
                    <w:pStyle w:val="65"/>
                    <w:rPr>
                      <w:color w:val="auto"/>
                      <w:kern w:val="0"/>
                    </w:rPr>
                  </w:pPr>
                  <w:r>
                    <w:rPr>
                      <w:color w:val="auto"/>
                      <w:kern w:val="0"/>
                    </w:rPr>
                    <w:t>50T</w:t>
                  </w:r>
                  <w:r>
                    <w:rPr>
                      <w:rFonts w:hint="eastAsia"/>
                      <w:color w:val="auto"/>
                      <w:kern w:val="0"/>
                    </w:rPr>
                    <w:t>汽车吊</w:t>
                  </w:r>
                </w:p>
              </w:tc>
              <w:tc>
                <w:tcPr>
                  <w:tcW w:w="263" w:type="pct"/>
                  <w:tcBorders>
                    <w:top w:val="single" w:color="auto" w:sz="4" w:space="0"/>
                    <w:left w:val="single" w:color="auto" w:sz="4" w:space="0"/>
                    <w:bottom w:val="single" w:color="auto" w:sz="4" w:space="0"/>
                    <w:right w:val="single" w:color="auto" w:sz="4" w:space="0"/>
                  </w:tcBorders>
                  <w:vAlign w:val="center"/>
                </w:tcPr>
                <w:p w14:paraId="2328D6E5">
                  <w:pPr>
                    <w:pStyle w:val="65"/>
                    <w:rPr>
                      <w:bCs/>
                      <w:color w:val="auto"/>
                    </w:rPr>
                  </w:pPr>
                  <w:r>
                    <w:rPr>
                      <w:bCs/>
                      <w:color w:val="auto"/>
                    </w:rPr>
                    <w:t>85</w:t>
                  </w:r>
                </w:p>
              </w:tc>
              <w:tc>
                <w:tcPr>
                  <w:tcW w:w="402" w:type="pct"/>
                  <w:tcBorders>
                    <w:top w:val="single" w:color="auto" w:sz="4" w:space="0"/>
                    <w:left w:val="single" w:color="auto" w:sz="4" w:space="0"/>
                    <w:bottom w:val="single" w:color="auto" w:sz="4" w:space="0"/>
                    <w:right w:val="single" w:color="auto" w:sz="4" w:space="0"/>
                  </w:tcBorders>
                  <w:vAlign w:val="center"/>
                </w:tcPr>
                <w:p w14:paraId="70C8D6AC">
                  <w:pPr>
                    <w:pStyle w:val="65"/>
                    <w:rPr>
                      <w:bCs/>
                      <w:color w:val="auto"/>
                    </w:rPr>
                  </w:pPr>
                  <w:r>
                    <w:rPr>
                      <w:bCs/>
                      <w:color w:val="auto"/>
                    </w:rPr>
                    <w:t>71</w:t>
                  </w:r>
                </w:p>
              </w:tc>
              <w:tc>
                <w:tcPr>
                  <w:tcW w:w="403" w:type="pct"/>
                  <w:tcBorders>
                    <w:top w:val="single" w:color="auto" w:sz="4" w:space="0"/>
                    <w:left w:val="single" w:color="auto" w:sz="4" w:space="0"/>
                    <w:bottom w:val="single" w:color="auto" w:sz="4" w:space="0"/>
                    <w:right w:val="single" w:color="auto" w:sz="4" w:space="0"/>
                  </w:tcBorders>
                  <w:vAlign w:val="center"/>
                </w:tcPr>
                <w:p w14:paraId="63E06943">
                  <w:pPr>
                    <w:pStyle w:val="65"/>
                    <w:rPr>
                      <w:bCs/>
                      <w:color w:val="auto"/>
                    </w:rPr>
                  </w:pPr>
                  <w:r>
                    <w:rPr>
                      <w:bCs/>
                      <w:color w:val="auto"/>
                    </w:rPr>
                    <w:t>65</w:t>
                  </w:r>
                </w:p>
              </w:tc>
              <w:tc>
                <w:tcPr>
                  <w:tcW w:w="403" w:type="pct"/>
                  <w:tcBorders>
                    <w:top w:val="single" w:color="auto" w:sz="4" w:space="0"/>
                    <w:left w:val="single" w:color="auto" w:sz="4" w:space="0"/>
                    <w:bottom w:val="single" w:color="auto" w:sz="4" w:space="0"/>
                    <w:right w:val="single" w:color="auto" w:sz="4" w:space="0"/>
                  </w:tcBorders>
                  <w:vAlign w:val="center"/>
                </w:tcPr>
                <w:p w14:paraId="33331505">
                  <w:pPr>
                    <w:pStyle w:val="65"/>
                    <w:rPr>
                      <w:bCs/>
                      <w:color w:val="auto"/>
                    </w:rPr>
                  </w:pPr>
                  <w:r>
                    <w:rPr>
                      <w:bCs/>
                      <w:color w:val="auto"/>
                    </w:rPr>
                    <w:t>61</w:t>
                  </w:r>
                </w:p>
              </w:tc>
              <w:tc>
                <w:tcPr>
                  <w:tcW w:w="403" w:type="pct"/>
                  <w:tcBorders>
                    <w:top w:val="single" w:color="auto" w:sz="4" w:space="0"/>
                    <w:left w:val="single" w:color="auto" w:sz="4" w:space="0"/>
                    <w:bottom w:val="single" w:color="auto" w:sz="4" w:space="0"/>
                    <w:right w:val="single" w:color="auto" w:sz="4" w:space="0"/>
                  </w:tcBorders>
                  <w:vAlign w:val="center"/>
                </w:tcPr>
                <w:p w14:paraId="49BA26F3">
                  <w:pPr>
                    <w:pStyle w:val="65"/>
                    <w:rPr>
                      <w:bCs/>
                      <w:color w:val="auto"/>
                    </w:rPr>
                  </w:pPr>
                  <w:r>
                    <w:rPr>
                      <w:bCs/>
                      <w:color w:val="auto"/>
                    </w:rPr>
                    <w:t>59</w:t>
                  </w:r>
                </w:p>
              </w:tc>
              <w:tc>
                <w:tcPr>
                  <w:tcW w:w="403" w:type="pct"/>
                  <w:tcBorders>
                    <w:top w:val="single" w:color="auto" w:sz="4" w:space="0"/>
                    <w:left w:val="single" w:color="auto" w:sz="4" w:space="0"/>
                    <w:bottom w:val="single" w:color="auto" w:sz="4" w:space="0"/>
                    <w:right w:val="single" w:color="auto" w:sz="4" w:space="0"/>
                  </w:tcBorders>
                  <w:vAlign w:val="center"/>
                </w:tcPr>
                <w:p w14:paraId="057512B8">
                  <w:pPr>
                    <w:pStyle w:val="65"/>
                    <w:rPr>
                      <w:bCs/>
                      <w:color w:val="auto"/>
                    </w:rPr>
                  </w:pPr>
                  <w:r>
                    <w:rPr>
                      <w:bCs/>
                      <w:color w:val="auto"/>
                    </w:rPr>
                    <w:t>55</w:t>
                  </w:r>
                </w:p>
              </w:tc>
              <w:tc>
                <w:tcPr>
                  <w:tcW w:w="403" w:type="pct"/>
                  <w:tcBorders>
                    <w:top w:val="single" w:color="auto" w:sz="4" w:space="0"/>
                    <w:left w:val="single" w:color="auto" w:sz="4" w:space="0"/>
                    <w:bottom w:val="single" w:color="auto" w:sz="4" w:space="0"/>
                    <w:right w:val="single" w:color="auto" w:sz="4" w:space="0"/>
                  </w:tcBorders>
                  <w:vAlign w:val="center"/>
                </w:tcPr>
                <w:p w14:paraId="775BD988">
                  <w:pPr>
                    <w:pStyle w:val="65"/>
                    <w:rPr>
                      <w:bCs/>
                      <w:color w:val="auto"/>
                    </w:rPr>
                  </w:pPr>
                  <w:r>
                    <w:rPr>
                      <w:bCs/>
                      <w:color w:val="auto"/>
                    </w:rPr>
                    <w:t>51</w:t>
                  </w:r>
                </w:p>
              </w:tc>
              <w:tc>
                <w:tcPr>
                  <w:tcW w:w="403" w:type="pct"/>
                  <w:tcBorders>
                    <w:top w:val="single" w:color="auto" w:sz="4" w:space="0"/>
                    <w:left w:val="single" w:color="auto" w:sz="4" w:space="0"/>
                    <w:bottom w:val="single" w:color="auto" w:sz="4" w:space="0"/>
                    <w:right w:val="single" w:color="auto" w:sz="4" w:space="0"/>
                  </w:tcBorders>
                  <w:vAlign w:val="center"/>
                </w:tcPr>
                <w:p w14:paraId="19B53B8E">
                  <w:pPr>
                    <w:pStyle w:val="65"/>
                    <w:rPr>
                      <w:bCs/>
                      <w:color w:val="auto"/>
                    </w:rPr>
                  </w:pPr>
                  <w:r>
                    <w:rPr>
                      <w:bCs/>
                      <w:color w:val="auto"/>
                    </w:rPr>
                    <w:t>49</w:t>
                  </w:r>
                </w:p>
              </w:tc>
              <w:tc>
                <w:tcPr>
                  <w:tcW w:w="456" w:type="pct"/>
                  <w:tcBorders>
                    <w:top w:val="single" w:color="auto" w:sz="4" w:space="0"/>
                    <w:left w:val="single" w:color="auto" w:sz="4" w:space="0"/>
                    <w:bottom w:val="single" w:color="auto" w:sz="4" w:space="0"/>
                    <w:right w:val="single" w:color="auto" w:sz="4" w:space="0"/>
                  </w:tcBorders>
                  <w:vAlign w:val="center"/>
                </w:tcPr>
                <w:p w14:paraId="58BA87E2">
                  <w:pPr>
                    <w:pStyle w:val="65"/>
                    <w:rPr>
                      <w:bCs/>
                      <w:color w:val="auto"/>
                    </w:rPr>
                  </w:pPr>
                  <w:r>
                    <w:rPr>
                      <w:bCs/>
                      <w:color w:val="auto"/>
                    </w:rPr>
                    <w:t>40</w:t>
                  </w:r>
                </w:p>
              </w:tc>
              <w:tc>
                <w:tcPr>
                  <w:tcW w:w="456" w:type="pct"/>
                  <w:tcBorders>
                    <w:top w:val="single" w:color="auto" w:sz="4" w:space="0"/>
                    <w:left w:val="single" w:color="auto" w:sz="4" w:space="0"/>
                    <w:bottom w:val="single" w:color="auto" w:sz="4" w:space="0"/>
                    <w:right w:val="single" w:color="auto" w:sz="4" w:space="0"/>
                  </w:tcBorders>
                  <w:vAlign w:val="center"/>
                </w:tcPr>
                <w:p w14:paraId="06FBC604">
                  <w:pPr>
                    <w:pStyle w:val="65"/>
                    <w:rPr>
                      <w:bCs/>
                      <w:color w:val="auto"/>
                    </w:rPr>
                  </w:pPr>
                  <w:r>
                    <w:rPr>
                      <w:bCs/>
                      <w:color w:val="auto"/>
                    </w:rPr>
                    <w:t>34</w:t>
                  </w:r>
                </w:p>
              </w:tc>
              <w:tc>
                <w:tcPr>
                  <w:tcW w:w="456" w:type="pct"/>
                  <w:tcBorders>
                    <w:top w:val="single" w:color="auto" w:sz="4" w:space="0"/>
                    <w:left w:val="single" w:color="auto" w:sz="4" w:space="0"/>
                    <w:bottom w:val="single" w:color="auto" w:sz="4" w:space="0"/>
                    <w:right w:val="single" w:color="auto" w:sz="4" w:space="0"/>
                  </w:tcBorders>
                  <w:vAlign w:val="center"/>
                </w:tcPr>
                <w:p w14:paraId="03E843ED">
                  <w:pPr>
                    <w:pStyle w:val="65"/>
                    <w:rPr>
                      <w:bCs/>
                      <w:color w:val="auto"/>
                    </w:rPr>
                  </w:pPr>
                  <w:r>
                    <w:rPr>
                      <w:bCs/>
                      <w:color w:val="auto"/>
                    </w:rPr>
                    <w:t>30</w:t>
                  </w:r>
                </w:p>
              </w:tc>
            </w:tr>
            <w:tr w14:paraId="3244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0" w:type="pct"/>
                  <w:tcBorders>
                    <w:top w:val="single" w:color="auto" w:sz="4" w:space="0"/>
                    <w:left w:val="single" w:color="auto" w:sz="4" w:space="0"/>
                    <w:bottom w:val="single" w:color="auto" w:sz="4" w:space="0"/>
                    <w:right w:val="single" w:color="auto" w:sz="4" w:space="0"/>
                  </w:tcBorders>
                  <w:vAlign w:val="center"/>
                </w:tcPr>
                <w:p w14:paraId="29402A9F">
                  <w:pPr>
                    <w:pStyle w:val="65"/>
                    <w:rPr>
                      <w:bCs/>
                      <w:color w:val="auto"/>
                      <w:kern w:val="0"/>
                    </w:rPr>
                  </w:pPr>
                  <w:r>
                    <w:rPr>
                      <w:rFonts w:hint="eastAsia"/>
                      <w:bCs/>
                      <w:color w:val="auto"/>
                      <w:kern w:val="0"/>
                    </w:rPr>
                    <w:t>多声源叠加值</w:t>
                  </w:r>
                </w:p>
              </w:tc>
              <w:tc>
                <w:tcPr>
                  <w:tcW w:w="263" w:type="pct"/>
                  <w:tcBorders>
                    <w:top w:val="single" w:color="auto" w:sz="4" w:space="0"/>
                    <w:left w:val="single" w:color="auto" w:sz="4" w:space="0"/>
                    <w:bottom w:val="single" w:color="auto" w:sz="4" w:space="0"/>
                    <w:right w:val="single" w:color="auto" w:sz="4" w:space="0"/>
                  </w:tcBorders>
                  <w:vAlign w:val="center"/>
                </w:tcPr>
                <w:p w14:paraId="1DAFEA96">
                  <w:pPr>
                    <w:pStyle w:val="65"/>
                    <w:rPr>
                      <w:bCs/>
                      <w:color w:val="auto"/>
                    </w:rPr>
                  </w:pPr>
                  <w:r>
                    <w:rPr>
                      <w:bCs/>
                      <w:color w:val="auto"/>
                    </w:rPr>
                    <w:t>106</w:t>
                  </w:r>
                </w:p>
              </w:tc>
              <w:tc>
                <w:tcPr>
                  <w:tcW w:w="402" w:type="pct"/>
                  <w:tcBorders>
                    <w:top w:val="single" w:color="auto" w:sz="4" w:space="0"/>
                    <w:left w:val="single" w:color="auto" w:sz="4" w:space="0"/>
                    <w:bottom w:val="single" w:color="auto" w:sz="4" w:space="0"/>
                    <w:right w:val="single" w:color="auto" w:sz="4" w:space="0"/>
                  </w:tcBorders>
                  <w:vAlign w:val="center"/>
                </w:tcPr>
                <w:p w14:paraId="00C72CCA">
                  <w:pPr>
                    <w:pStyle w:val="65"/>
                    <w:rPr>
                      <w:color w:val="auto"/>
                    </w:rPr>
                  </w:pPr>
                  <w:r>
                    <w:rPr>
                      <w:color w:val="auto"/>
                    </w:rPr>
                    <w:t>92</w:t>
                  </w:r>
                </w:p>
              </w:tc>
              <w:tc>
                <w:tcPr>
                  <w:tcW w:w="403" w:type="pct"/>
                  <w:tcBorders>
                    <w:top w:val="single" w:color="auto" w:sz="4" w:space="0"/>
                    <w:left w:val="single" w:color="auto" w:sz="4" w:space="0"/>
                    <w:bottom w:val="single" w:color="auto" w:sz="4" w:space="0"/>
                    <w:right w:val="single" w:color="auto" w:sz="4" w:space="0"/>
                  </w:tcBorders>
                  <w:vAlign w:val="center"/>
                </w:tcPr>
                <w:p w14:paraId="740DE442">
                  <w:pPr>
                    <w:pStyle w:val="65"/>
                    <w:rPr>
                      <w:color w:val="auto"/>
                    </w:rPr>
                  </w:pPr>
                  <w:r>
                    <w:rPr>
                      <w:color w:val="auto"/>
                    </w:rPr>
                    <w:t>86</w:t>
                  </w:r>
                </w:p>
              </w:tc>
              <w:tc>
                <w:tcPr>
                  <w:tcW w:w="403" w:type="pct"/>
                  <w:tcBorders>
                    <w:top w:val="single" w:color="auto" w:sz="4" w:space="0"/>
                    <w:left w:val="single" w:color="auto" w:sz="4" w:space="0"/>
                    <w:bottom w:val="single" w:color="auto" w:sz="4" w:space="0"/>
                    <w:right w:val="single" w:color="auto" w:sz="4" w:space="0"/>
                  </w:tcBorders>
                  <w:vAlign w:val="center"/>
                </w:tcPr>
                <w:p w14:paraId="53FABA3D">
                  <w:pPr>
                    <w:pStyle w:val="65"/>
                    <w:rPr>
                      <w:color w:val="auto"/>
                    </w:rPr>
                  </w:pPr>
                  <w:r>
                    <w:rPr>
                      <w:color w:val="auto"/>
                    </w:rPr>
                    <w:t>82</w:t>
                  </w:r>
                </w:p>
              </w:tc>
              <w:tc>
                <w:tcPr>
                  <w:tcW w:w="403" w:type="pct"/>
                  <w:tcBorders>
                    <w:top w:val="single" w:color="auto" w:sz="4" w:space="0"/>
                    <w:left w:val="single" w:color="auto" w:sz="4" w:space="0"/>
                    <w:bottom w:val="single" w:color="auto" w:sz="4" w:space="0"/>
                    <w:right w:val="single" w:color="auto" w:sz="4" w:space="0"/>
                  </w:tcBorders>
                  <w:vAlign w:val="center"/>
                </w:tcPr>
                <w:p w14:paraId="54C7A654">
                  <w:pPr>
                    <w:pStyle w:val="65"/>
                    <w:rPr>
                      <w:color w:val="auto"/>
                    </w:rPr>
                  </w:pPr>
                  <w:r>
                    <w:rPr>
                      <w:color w:val="auto"/>
                    </w:rPr>
                    <w:t>80</w:t>
                  </w:r>
                </w:p>
              </w:tc>
              <w:tc>
                <w:tcPr>
                  <w:tcW w:w="403" w:type="pct"/>
                  <w:tcBorders>
                    <w:top w:val="single" w:color="auto" w:sz="4" w:space="0"/>
                    <w:left w:val="single" w:color="auto" w:sz="4" w:space="0"/>
                    <w:bottom w:val="single" w:color="auto" w:sz="4" w:space="0"/>
                    <w:right w:val="single" w:color="auto" w:sz="4" w:space="0"/>
                  </w:tcBorders>
                  <w:vAlign w:val="center"/>
                </w:tcPr>
                <w:p w14:paraId="0A44BB23">
                  <w:pPr>
                    <w:pStyle w:val="65"/>
                    <w:rPr>
                      <w:color w:val="auto"/>
                    </w:rPr>
                  </w:pPr>
                  <w:r>
                    <w:rPr>
                      <w:color w:val="auto"/>
                    </w:rPr>
                    <w:t>76</w:t>
                  </w:r>
                </w:p>
              </w:tc>
              <w:tc>
                <w:tcPr>
                  <w:tcW w:w="403" w:type="pct"/>
                  <w:tcBorders>
                    <w:top w:val="single" w:color="auto" w:sz="4" w:space="0"/>
                    <w:left w:val="single" w:color="auto" w:sz="4" w:space="0"/>
                    <w:bottom w:val="single" w:color="auto" w:sz="4" w:space="0"/>
                    <w:right w:val="single" w:color="auto" w:sz="4" w:space="0"/>
                  </w:tcBorders>
                  <w:vAlign w:val="center"/>
                </w:tcPr>
                <w:p w14:paraId="09CBE04C">
                  <w:pPr>
                    <w:pStyle w:val="65"/>
                    <w:rPr>
                      <w:color w:val="auto"/>
                    </w:rPr>
                  </w:pPr>
                  <w:r>
                    <w:rPr>
                      <w:color w:val="auto"/>
                    </w:rPr>
                    <w:t>72</w:t>
                  </w:r>
                </w:p>
              </w:tc>
              <w:tc>
                <w:tcPr>
                  <w:tcW w:w="403" w:type="pct"/>
                  <w:tcBorders>
                    <w:top w:val="single" w:color="auto" w:sz="4" w:space="0"/>
                    <w:left w:val="single" w:color="auto" w:sz="4" w:space="0"/>
                    <w:bottom w:val="single" w:color="auto" w:sz="4" w:space="0"/>
                    <w:right w:val="single" w:color="auto" w:sz="4" w:space="0"/>
                  </w:tcBorders>
                  <w:vAlign w:val="center"/>
                </w:tcPr>
                <w:p w14:paraId="6D686806">
                  <w:pPr>
                    <w:pStyle w:val="65"/>
                    <w:rPr>
                      <w:bCs/>
                      <w:color w:val="auto"/>
                    </w:rPr>
                  </w:pPr>
                  <w:r>
                    <w:rPr>
                      <w:i/>
                      <w:iCs/>
                      <w:color w:val="auto"/>
                    </w:rPr>
                    <w:t>70</w:t>
                  </w:r>
                </w:p>
              </w:tc>
              <w:tc>
                <w:tcPr>
                  <w:tcW w:w="456" w:type="pct"/>
                  <w:tcBorders>
                    <w:top w:val="single" w:color="auto" w:sz="4" w:space="0"/>
                    <w:left w:val="single" w:color="auto" w:sz="4" w:space="0"/>
                    <w:bottom w:val="single" w:color="auto" w:sz="4" w:space="0"/>
                    <w:right w:val="single" w:color="auto" w:sz="4" w:space="0"/>
                  </w:tcBorders>
                  <w:vAlign w:val="center"/>
                </w:tcPr>
                <w:p w14:paraId="596B92A8">
                  <w:pPr>
                    <w:pStyle w:val="65"/>
                    <w:rPr>
                      <w:color w:val="auto"/>
                    </w:rPr>
                  </w:pPr>
                  <w:r>
                    <w:rPr>
                      <w:color w:val="auto"/>
                    </w:rPr>
                    <w:t>61</w:t>
                  </w:r>
                </w:p>
              </w:tc>
              <w:tc>
                <w:tcPr>
                  <w:tcW w:w="456" w:type="pct"/>
                  <w:tcBorders>
                    <w:top w:val="single" w:color="auto" w:sz="4" w:space="0"/>
                    <w:left w:val="single" w:color="auto" w:sz="4" w:space="0"/>
                    <w:bottom w:val="single" w:color="auto" w:sz="4" w:space="0"/>
                    <w:right w:val="single" w:color="auto" w:sz="4" w:space="0"/>
                  </w:tcBorders>
                  <w:vAlign w:val="center"/>
                </w:tcPr>
                <w:p w14:paraId="0EE62734">
                  <w:pPr>
                    <w:pStyle w:val="65"/>
                    <w:rPr>
                      <w:color w:val="auto"/>
                    </w:rPr>
                  </w:pPr>
                  <w:r>
                    <w:rPr>
                      <w:i/>
                      <w:iCs/>
                      <w:color w:val="auto"/>
                    </w:rPr>
                    <w:t>55</w:t>
                  </w:r>
                </w:p>
              </w:tc>
              <w:tc>
                <w:tcPr>
                  <w:tcW w:w="456" w:type="pct"/>
                  <w:tcBorders>
                    <w:top w:val="single" w:color="auto" w:sz="4" w:space="0"/>
                    <w:left w:val="single" w:color="auto" w:sz="4" w:space="0"/>
                    <w:bottom w:val="single" w:color="auto" w:sz="4" w:space="0"/>
                    <w:right w:val="single" w:color="auto" w:sz="4" w:space="0"/>
                  </w:tcBorders>
                  <w:vAlign w:val="center"/>
                </w:tcPr>
                <w:p w14:paraId="2E7AA625">
                  <w:pPr>
                    <w:pStyle w:val="65"/>
                    <w:rPr>
                      <w:color w:val="auto"/>
                    </w:rPr>
                  </w:pPr>
                  <w:r>
                    <w:rPr>
                      <w:color w:val="auto"/>
                    </w:rPr>
                    <w:t>51</w:t>
                  </w:r>
                </w:p>
              </w:tc>
            </w:tr>
          </w:tbl>
          <w:p w14:paraId="107C2462">
            <w:pPr>
              <w:ind w:firstLine="480"/>
              <w:rPr>
                <w:color w:val="auto"/>
                <w:kern w:val="0"/>
                <w:szCs w:val="21"/>
              </w:rPr>
            </w:pPr>
            <w:r>
              <w:rPr>
                <w:rFonts w:hint="eastAsia"/>
                <w:color w:val="auto"/>
                <w:kern w:val="0"/>
                <w:szCs w:val="21"/>
              </w:rPr>
              <w:t>通过预测</w:t>
            </w:r>
            <w:r>
              <w:rPr>
                <w:color w:val="auto"/>
                <w:kern w:val="0"/>
                <w:szCs w:val="21"/>
              </w:rPr>
              <w:t>，</w:t>
            </w:r>
            <w:r>
              <w:rPr>
                <w:rFonts w:hint="eastAsia"/>
                <w:color w:val="auto"/>
              </w:rPr>
              <w:t>施工机械中噪声影响较大的设备是打桩机、电锯及电钻等。在不采取措施的情况下，单台设备运行时，距离施工点约</w:t>
            </w:r>
            <w:r>
              <w:rPr>
                <w:color w:val="auto"/>
              </w:rPr>
              <w:t>30m</w:t>
            </w:r>
            <w:r>
              <w:rPr>
                <w:rFonts w:hint="eastAsia"/>
                <w:color w:val="auto"/>
              </w:rPr>
              <w:t>处可满足《建筑施工噪声排放标准》（GB12523-2025）；多台设备同时运行时，距离施工点约</w:t>
            </w:r>
            <w:r>
              <w:rPr>
                <w:color w:val="auto"/>
              </w:rPr>
              <w:t>60m</w:t>
            </w:r>
            <w:r>
              <w:rPr>
                <w:rFonts w:hint="eastAsia"/>
                <w:color w:val="auto"/>
              </w:rPr>
              <w:t>处可满足《建筑施工噪声排放标准》（GB12523-2025）中昼间排放限值</w:t>
            </w:r>
            <w:r>
              <w:rPr>
                <w:color w:val="auto"/>
              </w:rPr>
              <w:t>70dB</w:t>
            </w:r>
            <w:r>
              <w:rPr>
                <w:rFonts w:hint="eastAsia"/>
                <w:color w:val="auto"/>
              </w:rPr>
              <w:t>（</w:t>
            </w:r>
            <w:r>
              <w:rPr>
                <w:color w:val="auto"/>
              </w:rPr>
              <w:t>A</w:t>
            </w:r>
            <w:r>
              <w:rPr>
                <w:rFonts w:hint="eastAsia"/>
                <w:color w:val="auto"/>
              </w:rPr>
              <w:t>）的要求</w:t>
            </w:r>
            <w:bookmarkStart w:id="992" w:name="OLE_LINK27"/>
            <w:r>
              <w:rPr>
                <w:rFonts w:hint="eastAsia"/>
                <w:color w:val="auto"/>
                <w:kern w:val="0"/>
                <w:szCs w:val="21"/>
              </w:rPr>
              <w:t>，即：昼间70dB（A），夜间不施工。</w:t>
            </w:r>
            <w:bookmarkEnd w:id="992"/>
          </w:p>
          <w:p w14:paraId="058C81B9">
            <w:pPr>
              <w:ind w:firstLine="480"/>
              <w:rPr>
                <w:color w:val="auto"/>
                <w:kern w:val="0"/>
                <w:szCs w:val="21"/>
              </w:rPr>
            </w:pPr>
            <w:r>
              <w:rPr>
                <w:color w:val="auto"/>
                <w:kern w:val="0"/>
                <w:szCs w:val="21"/>
              </w:rPr>
              <w:t>但上中计算的距离衰减只是理论上的。由于工程作业的地形限制，作业场所与保护目标有高差、传播路线有遮挡、每天的作业时间不连续等，根据对其它工程调查分析，实际影响时间和程度要较预测的小。</w:t>
            </w:r>
          </w:p>
          <w:p w14:paraId="7A593992">
            <w:pPr>
              <w:tabs>
                <w:tab w:val="left" w:pos="3134"/>
              </w:tabs>
              <w:ind w:firstLine="482"/>
              <w:rPr>
                <w:b/>
                <w:bCs/>
                <w:color w:val="auto"/>
                <w:szCs w:val="21"/>
              </w:rPr>
            </w:pPr>
            <w:r>
              <w:rPr>
                <w:b/>
                <w:bCs/>
                <w:color w:val="auto"/>
                <w:szCs w:val="21"/>
              </w:rPr>
              <w:t>（2）敏感点的预测结果</w:t>
            </w:r>
          </w:p>
          <w:p w14:paraId="4C028C0D">
            <w:pPr>
              <w:tabs>
                <w:tab w:val="left" w:pos="3134"/>
              </w:tabs>
              <w:ind w:firstLine="480" w:firstLineChars="0"/>
              <w:rPr>
                <w:color w:val="auto"/>
                <w:szCs w:val="21"/>
              </w:rPr>
            </w:pPr>
            <w:r>
              <w:rPr>
                <w:rFonts w:hint="eastAsia"/>
                <w:color w:val="auto"/>
                <w:szCs w:val="21"/>
              </w:rPr>
              <w:t>①光伏板基础施工影响</w:t>
            </w:r>
            <w:r>
              <w:rPr>
                <w:rFonts w:hint="eastAsia"/>
                <w:color w:val="auto"/>
              </w:rPr>
              <w:t>分析</w:t>
            </w:r>
            <w:r>
              <w:rPr>
                <w:rFonts w:hint="eastAsia"/>
                <w:color w:val="auto"/>
                <w:szCs w:val="21"/>
              </w:rPr>
              <w:t>：根据现状调查和施工期保护要求，光伏板区基础施工采用</w:t>
            </w:r>
            <w:r>
              <w:rPr>
                <w:color w:val="auto"/>
                <w:szCs w:val="21"/>
              </w:rPr>
              <w:t>手持式旋挖钻机施</w:t>
            </w:r>
            <w:r>
              <w:rPr>
                <w:rFonts w:hint="eastAsia"/>
                <w:color w:val="auto"/>
                <w:szCs w:val="21"/>
              </w:rPr>
              <w:t>施工方式，光伏项目夜间不施工，因此，光伏板基础施工对周边敏感点产生的影响较小。</w:t>
            </w:r>
          </w:p>
          <w:p w14:paraId="18C3ABDC">
            <w:pPr>
              <w:ind w:firstLine="480"/>
              <w:rPr>
                <w:color w:val="auto"/>
              </w:rPr>
            </w:pPr>
            <w:r>
              <w:rPr>
                <w:rFonts w:hint="eastAsia"/>
                <w:color w:val="auto"/>
              </w:rPr>
              <w:t>②架空线路和地埋电缆施工影响分析：本项目地埋电缆拟采用机械和人工开挖。架空段塔基基础采用钢筋混凝土掏挖式基础，产生的影响较小；直埋电缆沿道路铺设段施工作业面较宽，可以采用机械开挖，以挖掘机、铲运机、运输车辆等设备为主，声压级可达75~90dB（A），机械作业噪声可能对周边敏感点造成短期干扰，但随着距离可对噪声传播造成一定的削减；局部在光伏板区铺设或者陡峭路段采用人工开挖，不用临时开设施工便道，以铁锹、镐头等手工工具为主，声压级通常低于60dB(A)，属于间歇性低强度噪声，对周边环境产生的影响较小。</w:t>
            </w:r>
          </w:p>
          <w:p w14:paraId="25A4E84C">
            <w:pPr>
              <w:tabs>
                <w:tab w:val="left" w:pos="3134"/>
              </w:tabs>
              <w:ind w:firstLine="480"/>
              <w:rPr>
                <w:color w:val="auto"/>
                <w:szCs w:val="21"/>
              </w:rPr>
            </w:pPr>
            <w:r>
              <w:rPr>
                <w:rFonts w:hint="eastAsia"/>
                <w:color w:val="auto"/>
                <w:szCs w:val="21"/>
              </w:rPr>
              <w:t>③改扩建、新建道路施工影响分析：可能受改扩建、新建道路施工影响的居民区有旧村、蚂蟥箐、包茂村散户、大平掌，在施工过程选用低噪声施工机械，定期维护保养以降低设备异常噪声，</w:t>
            </w:r>
            <w:r>
              <w:rPr>
                <w:rFonts w:hint="eastAsia"/>
                <w:bCs/>
                <w:color w:val="auto"/>
                <w:szCs w:val="21"/>
              </w:rPr>
              <w:t>为了降低施工过程对各敏感点的影响，应采取合理安排施工时间、禁止夜间施工、高噪声设备布置在远离居民点的位置等措施，可有效降低施工噪声对前述敏感点的影响。</w:t>
            </w:r>
          </w:p>
          <w:p w14:paraId="42706920">
            <w:pPr>
              <w:tabs>
                <w:tab w:val="left" w:pos="3134"/>
              </w:tabs>
              <w:ind w:firstLine="480"/>
              <w:rPr>
                <w:color w:val="auto"/>
                <w:szCs w:val="21"/>
              </w:rPr>
            </w:pPr>
            <w:r>
              <w:rPr>
                <w:rFonts w:hint="eastAsia"/>
                <w:color w:val="auto"/>
                <w:szCs w:val="21"/>
              </w:rPr>
              <w:t>④</w:t>
            </w:r>
            <w:r>
              <w:rPr>
                <w:rFonts w:hint="eastAsia"/>
                <w:color w:val="auto"/>
              </w:rPr>
              <w:t>运输噪声影响分析：项目施工期交通噪声主要来源于物料运输车辆行驶过程中产生的交通噪声，交通噪声为间歇性噪声，不同类型的运输车辆产生的交通噪声不同，与车辆重量及行驶速度呈正相关，交通噪声源强在70~90dB（A）之间。运输车辆经过敏感点时，在采取减速行驶、禁鸣等措施后，可以减小噪声对所经过敏感点的声环境影响，项目施工噪声影响是暂时的，随着施工结束这些影响也将消失，对项目周边声环境敏感目标影响小。</w:t>
            </w:r>
          </w:p>
          <w:p w14:paraId="6D7DCF55">
            <w:pPr>
              <w:ind w:firstLine="480"/>
              <w:rPr>
                <w:color w:val="auto"/>
              </w:rPr>
            </w:pPr>
            <w:r>
              <w:rPr>
                <w:rFonts w:hint="eastAsia"/>
                <w:color w:val="auto"/>
              </w:rPr>
              <w:t>本环评要求施工期需合理安排施工时间，敏感点周边光伏方阵施工过程时，禁止同时进行桩基础施工，禁止夜间（22:00～次日6:00）施工；合理布置施工现场，高噪声设备远离居民点；运输车辆经过居民点时，采取减速行驶、减少鸣笛等降噪措施。环评分析，采取上述措施后施工场界满足《建筑施工噪声排放标准》（</w:t>
            </w:r>
            <w:r>
              <w:rPr>
                <w:color w:val="auto"/>
              </w:rPr>
              <w:t>GB12523-20</w:t>
            </w:r>
            <w:r>
              <w:rPr>
                <w:rFonts w:hint="eastAsia"/>
                <w:color w:val="auto"/>
              </w:rPr>
              <w:t>25）要求。</w:t>
            </w:r>
          </w:p>
          <w:p w14:paraId="0E87E080">
            <w:pPr>
              <w:ind w:firstLine="480"/>
              <w:rPr>
                <w:color w:val="auto"/>
              </w:rPr>
            </w:pPr>
            <w:r>
              <w:rPr>
                <w:rFonts w:hint="eastAsia"/>
                <w:color w:val="auto"/>
              </w:rPr>
              <w:t>综上，项目施工期采取上述措施后施工场界满足《建筑施工噪声排放标准》（</w:t>
            </w:r>
            <w:r>
              <w:rPr>
                <w:color w:val="auto"/>
              </w:rPr>
              <w:t>GB12523-20</w:t>
            </w:r>
            <w:r>
              <w:rPr>
                <w:rFonts w:hint="eastAsia"/>
                <w:color w:val="auto"/>
              </w:rPr>
              <w:t>25）要求，施工噪声对声环境保护目标影响较小。</w:t>
            </w:r>
          </w:p>
          <w:p w14:paraId="0DBC4247">
            <w:pPr>
              <w:pStyle w:val="4"/>
              <w:spacing w:before="48" w:after="48"/>
              <w:rPr>
                <w:color w:val="auto"/>
              </w:rPr>
            </w:pPr>
            <w:bookmarkStart w:id="993" w:name="_Toc112165656"/>
            <w:bookmarkStart w:id="994" w:name="_Toc136794342"/>
            <w:bookmarkStart w:id="995" w:name="_Toc112173951"/>
            <w:bookmarkStart w:id="996" w:name="_Toc156144181"/>
            <w:bookmarkStart w:id="997" w:name="_Toc158491288"/>
            <w:bookmarkStart w:id="998" w:name="_Toc159349056"/>
            <w:bookmarkStart w:id="999" w:name="_Toc160473827"/>
            <w:bookmarkStart w:id="1000" w:name="_Toc160730903"/>
            <w:bookmarkStart w:id="1001" w:name="_Toc112424293"/>
            <w:bookmarkStart w:id="1002" w:name="_Toc161415581"/>
            <w:bookmarkStart w:id="1003" w:name="_Toc177072409"/>
            <w:bookmarkStart w:id="1004" w:name="_Toc18350"/>
            <w:bookmarkStart w:id="1005" w:name="_Toc136794217"/>
            <w:bookmarkStart w:id="1006" w:name="_Toc7974"/>
            <w:bookmarkStart w:id="1007" w:name="_Toc156137867"/>
            <w:bookmarkStart w:id="1008" w:name="_Toc177488221"/>
            <w:bookmarkStart w:id="1009" w:name="_Toc181732824"/>
            <w:bookmarkStart w:id="1010" w:name="_Toc177482909"/>
            <w:bookmarkStart w:id="1011" w:name="_Toc181738231"/>
            <w:bookmarkStart w:id="1012" w:name="_Toc177072837"/>
            <w:bookmarkStart w:id="1013" w:name="_Toc181293546"/>
            <w:r>
              <w:rPr>
                <w:color w:val="auto"/>
              </w:rPr>
              <w:t>施工期固体废物影响分析</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0A4764FA">
            <w:pPr>
              <w:ind w:firstLine="480"/>
              <w:rPr>
                <w:color w:val="auto"/>
                <w:szCs w:val="21"/>
              </w:rPr>
            </w:pPr>
            <w:r>
              <w:rPr>
                <w:color w:val="auto"/>
                <w:szCs w:val="21"/>
              </w:rPr>
              <w:t>施工期的固体废物主要为建设过程中产生的建筑垃圾（SW72，900-001-S72）、施工人员生活垃圾（SW64，900-099-S64）</w:t>
            </w:r>
            <w:r>
              <w:rPr>
                <w:rFonts w:hint="eastAsia"/>
                <w:color w:val="auto"/>
                <w:szCs w:val="21"/>
              </w:rPr>
              <w:t>、废弃设备零件（废弃设备零件）</w:t>
            </w:r>
            <w:r>
              <w:rPr>
                <w:color w:val="auto"/>
                <w:szCs w:val="21"/>
              </w:rPr>
              <w:t>。</w:t>
            </w:r>
          </w:p>
          <w:p w14:paraId="6FF993B9">
            <w:pPr>
              <w:ind w:firstLine="482"/>
              <w:rPr>
                <w:b/>
                <w:color w:val="auto"/>
                <w:szCs w:val="21"/>
              </w:rPr>
            </w:pPr>
            <w:r>
              <w:rPr>
                <w:b/>
                <w:color w:val="auto"/>
                <w:szCs w:val="21"/>
              </w:rPr>
              <w:t>（1）建筑垃圾</w:t>
            </w:r>
          </w:p>
          <w:p w14:paraId="79AEFE99">
            <w:pPr>
              <w:adjustRightInd w:val="0"/>
              <w:snapToGrid w:val="0"/>
              <w:ind w:firstLine="480"/>
              <w:rPr>
                <w:color w:val="auto"/>
              </w:rPr>
            </w:pPr>
            <w:r>
              <w:rPr>
                <w:rFonts w:cs="Times New Roman"/>
                <w:color w:val="auto"/>
                <w:szCs w:val="24"/>
              </w:rPr>
              <w:t>施工建筑垃圾主要指建筑修筑、材料运输、基础工程施工期间产生的废弃建筑材料以及材料加工区产生的固体废物，如砂石、水泥、混凝土等。参照《昆明市城市建筑垃圾管理实施办法实施细则（修订）》（2018年）“附件1”中对建筑垃圾产生量的计算标准，房屋主体施工产生建筑垃圾量=建筑面积</w:t>
            </w:r>
            <w:r>
              <w:rPr>
                <w:rFonts w:hint="eastAsia" w:cs="Times New Roman"/>
                <w:color w:val="auto"/>
                <w:szCs w:val="24"/>
              </w:rPr>
              <w:t>×</w:t>
            </w:r>
            <w:r>
              <w:rPr>
                <w:rFonts w:cs="Times New Roman"/>
                <w:color w:val="auto"/>
                <w:szCs w:val="24"/>
              </w:rPr>
              <w:t>单位面积建筑废弃物量，其中，钢筋混凝土结构每平方米产生建筑垃圾量为0.02m</w:t>
            </w:r>
            <w:r>
              <w:rPr>
                <w:rFonts w:cs="Times New Roman"/>
                <w:color w:val="auto"/>
                <w:szCs w:val="24"/>
                <w:vertAlign w:val="superscript"/>
              </w:rPr>
              <w:t>3</w:t>
            </w:r>
            <w:r>
              <w:rPr>
                <w:rFonts w:cs="Times New Roman"/>
                <w:color w:val="auto"/>
                <w:szCs w:val="24"/>
              </w:rPr>
              <w:t>。</w:t>
            </w:r>
          </w:p>
          <w:p w14:paraId="0A62B6FE">
            <w:pPr>
              <w:adjustRightInd w:val="0"/>
              <w:snapToGrid w:val="0"/>
              <w:ind w:firstLine="480"/>
              <w:rPr>
                <w:color w:val="auto"/>
              </w:rPr>
            </w:pPr>
            <w:r>
              <w:rPr>
                <w:rFonts w:hint="eastAsia" w:cs="Times New Roman"/>
                <w:color w:val="auto"/>
                <w:szCs w:val="24"/>
              </w:rPr>
              <w:t>本项目</w:t>
            </w:r>
            <w:r>
              <w:rPr>
                <w:rFonts w:cs="Times New Roman"/>
                <w:color w:val="auto"/>
                <w:szCs w:val="24"/>
              </w:rPr>
              <w:t>建筑垃圾主要产自升压站</w:t>
            </w:r>
            <w:r>
              <w:rPr>
                <w:rFonts w:hint="eastAsia" w:cs="Times New Roman"/>
                <w:color w:val="auto"/>
                <w:szCs w:val="24"/>
              </w:rPr>
              <w:t>内原有构筑物拆除以及施工</w:t>
            </w:r>
            <w:r>
              <w:rPr>
                <w:rFonts w:cs="Times New Roman"/>
                <w:color w:val="auto"/>
                <w:szCs w:val="24"/>
              </w:rPr>
              <w:t>建设</w:t>
            </w:r>
            <w:r>
              <w:rPr>
                <w:rFonts w:hint="eastAsia" w:cs="Times New Roman"/>
                <w:color w:val="auto"/>
                <w:szCs w:val="24"/>
              </w:rPr>
              <w:t>、施工结束对施工场地拆除过程产生</w:t>
            </w:r>
            <w:r>
              <w:rPr>
                <w:rFonts w:cs="Times New Roman"/>
                <w:color w:val="auto"/>
                <w:szCs w:val="24"/>
              </w:rPr>
              <w:t>过程中。本项目施工结束后对施工</w:t>
            </w:r>
            <w:r>
              <w:rPr>
                <w:rFonts w:hint="eastAsia" w:cs="Times New Roman"/>
                <w:color w:val="auto"/>
                <w:szCs w:val="24"/>
              </w:rPr>
              <w:t>场地</w:t>
            </w:r>
            <w:r>
              <w:rPr>
                <w:rFonts w:cs="Times New Roman"/>
                <w:color w:val="auto"/>
                <w:szCs w:val="24"/>
              </w:rPr>
              <w:t>建筑进行拆除（</w:t>
            </w:r>
            <w:r>
              <w:rPr>
                <w:rFonts w:hint="eastAsia"/>
                <w:color w:val="auto"/>
              </w:rPr>
              <w:t>本项目综合加工厂、综合仓库建筑面积约为2000m</w:t>
            </w:r>
            <w:r>
              <w:rPr>
                <w:rFonts w:hint="eastAsia"/>
                <w:color w:val="auto"/>
                <w:vertAlign w:val="superscript"/>
              </w:rPr>
              <w:t>2</w:t>
            </w:r>
            <w:r>
              <w:rPr>
                <w:rFonts w:cs="Times New Roman"/>
                <w:color w:val="auto"/>
                <w:szCs w:val="24"/>
              </w:rPr>
              <w:t>），产生</w:t>
            </w:r>
            <w:r>
              <w:rPr>
                <w:rFonts w:hint="eastAsia" w:cs="Times New Roman"/>
                <w:color w:val="auto"/>
                <w:szCs w:val="24"/>
              </w:rPr>
              <w:t>的</w:t>
            </w:r>
            <w:r>
              <w:rPr>
                <w:rFonts w:cs="Times New Roman"/>
                <w:color w:val="auto"/>
                <w:szCs w:val="24"/>
              </w:rPr>
              <w:t>建筑垃圾</w:t>
            </w:r>
            <w:r>
              <w:rPr>
                <w:rFonts w:hint="eastAsia" w:cs="Times New Roman"/>
                <w:color w:val="auto"/>
                <w:szCs w:val="24"/>
              </w:rPr>
              <w:t>约40</w:t>
            </w:r>
            <w:r>
              <w:rPr>
                <w:rFonts w:cs="Times New Roman"/>
                <w:color w:val="auto"/>
                <w:szCs w:val="24"/>
              </w:rPr>
              <w:t>m</w:t>
            </w:r>
            <w:r>
              <w:rPr>
                <w:rFonts w:cs="Times New Roman"/>
                <w:color w:val="auto"/>
                <w:szCs w:val="24"/>
                <w:vertAlign w:val="superscript"/>
              </w:rPr>
              <w:t>3</w:t>
            </w:r>
            <w:r>
              <w:rPr>
                <w:rFonts w:cs="Times New Roman"/>
                <w:color w:val="auto"/>
                <w:szCs w:val="24"/>
              </w:rPr>
              <w:t>，建筑垃圾比重按2t/m</w:t>
            </w:r>
            <w:r>
              <w:rPr>
                <w:rFonts w:cs="Times New Roman"/>
                <w:color w:val="auto"/>
                <w:szCs w:val="24"/>
                <w:vertAlign w:val="superscript"/>
              </w:rPr>
              <w:t>3</w:t>
            </w:r>
            <w:r>
              <w:rPr>
                <w:rFonts w:cs="Times New Roman"/>
                <w:color w:val="auto"/>
                <w:szCs w:val="24"/>
              </w:rPr>
              <w:t>进行计算，则对施工</w:t>
            </w:r>
            <w:r>
              <w:rPr>
                <w:rFonts w:hint="eastAsia" w:cs="Times New Roman"/>
                <w:color w:val="auto"/>
                <w:szCs w:val="24"/>
              </w:rPr>
              <w:t>营场地</w:t>
            </w:r>
            <w:r>
              <w:rPr>
                <w:rFonts w:cs="Times New Roman"/>
                <w:color w:val="auto"/>
                <w:szCs w:val="24"/>
              </w:rPr>
              <w:t>建筑进行拆除将产生建筑垃圾产生量约为</w:t>
            </w:r>
            <w:r>
              <w:rPr>
                <w:rFonts w:hint="eastAsia"/>
                <w:color w:val="auto"/>
              </w:rPr>
              <w:t>80</w:t>
            </w:r>
            <w:r>
              <w:rPr>
                <w:rFonts w:cs="Times New Roman"/>
                <w:color w:val="auto"/>
                <w:szCs w:val="24"/>
              </w:rPr>
              <w:t>t。</w:t>
            </w:r>
          </w:p>
          <w:p w14:paraId="54A5164B">
            <w:pPr>
              <w:ind w:firstLine="480"/>
              <w:rPr>
                <w:color w:val="auto"/>
                <w:szCs w:val="21"/>
              </w:rPr>
            </w:pPr>
            <w:r>
              <w:rPr>
                <w:rFonts w:cs="Times New Roman"/>
                <w:color w:val="auto"/>
                <w:szCs w:val="24"/>
              </w:rPr>
              <w:t>项目建筑垃圾</w:t>
            </w:r>
            <w:r>
              <w:rPr>
                <w:rFonts w:cs="Times New Roman"/>
                <w:bCs/>
                <w:color w:val="auto"/>
                <w:szCs w:val="24"/>
              </w:rPr>
              <w:t>集中收集并进行分类，其中可回收资源可销售给资源回收单位进行处置；不能回收利用的，应由建设单位运送到当地政府指定的建筑垃圾处理点进行处理</w:t>
            </w:r>
            <w:r>
              <w:rPr>
                <w:rFonts w:cs="Times New Roman"/>
                <w:color w:val="auto"/>
                <w:szCs w:val="24"/>
              </w:rPr>
              <w:t>，采取上述措施后，不会对环境造成污染影响</w:t>
            </w:r>
            <w:r>
              <w:rPr>
                <w:rFonts w:hint="eastAsia"/>
                <w:color w:val="auto"/>
                <w:szCs w:val="21"/>
              </w:rPr>
              <w:t>。</w:t>
            </w:r>
          </w:p>
          <w:p w14:paraId="5C551F46">
            <w:pPr>
              <w:ind w:firstLine="482"/>
              <w:rPr>
                <w:b/>
                <w:bCs/>
                <w:color w:val="auto"/>
                <w:szCs w:val="21"/>
              </w:rPr>
            </w:pPr>
            <w:r>
              <w:rPr>
                <w:b/>
                <w:bCs/>
                <w:color w:val="auto"/>
                <w:szCs w:val="21"/>
              </w:rPr>
              <w:t>（2）生活垃圾</w:t>
            </w:r>
          </w:p>
          <w:p w14:paraId="489DAD13">
            <w:pPr>
              <w:ind w:firstLine="480"/>
              <w:rPr>
                <w:bCs/>
                <w:color w:val="auto"/>
                <w:szCs w:val="21"/>
              </w:rPr>
            </w:pPr>
            <w:r>
              <w:rPr>
                <w:rFonts w:hint="eastAsia"/>
                <w:color w:val="auto"/>
              </w:rPr>
              <w:t>项目施工高峰期人数为200人，本项目业主、承包商及施工人员临时居住、办公等场地均采用租用民房解决，不在项目区内食宿，仅在项目区设置材料临时堆场，包括材料堆放仓库、材料加工区及光伏板、支架等设备材料临时堆放场等，</w:t>
            </w:r>
            <w:r>
              <w:rPr>
                <w:rFonts w:hint="eastAsia"/>
                <w:bCs/>
                <w:color w:val="auto"/>
                <w:szCs w:val="21"/>
              </w:rPr>
              <w:t>生活垃圾产生量按0.5kg/人·d进行估算，则项目施工期生活垃圾产生量为0.1t/d。生活垃圾</w:t>
            </w:r>
            <w:r>
              <w:rPr>
                <w:bCs/>
                <w:color w:val="auto"/>
                <w:szCs w:val="21"/>
              </w:rPr>
              <w:t>定期清运至周边村庄生活垃圾收集点统一处置</w:t>
            </w:r>
            <w:r>
              <w:rPr>
                <w:rFonts w:hint="eastAsia"/>
                <w:bCs/>
                <w:color w:val="auto"/>
                <w:szCs w:val="21"/>
              </w:rPr>
              <w:t>。</w:t>
            </w:r>
          </w:p>
          <w:p w14:paraId="01BB0BF9">
            <w:pPr>
              <w:ind w:firstLine="482"/>
              <w:rPr>
                <w:b/>
                <w:color w:val="auto"/>
                <w:szCs w:val="21"/>
              </w:rPr>
            </w:pPr>
            <w:r>
              <w:rPr>
                <w:rFonts w:hint="eastAsia"/>
                <w:b/>
                <w:color w:val="auto"/>
                <w:szCs w:val="21"/>
              </w:rPr>
              <w:t>（3）</w:t>
            </w:r>
            <w:bookmarkStart w:id="1014" w:name="OLE_LINK49"/>
            <w:r>
              <w:rPr>
                <w:rFonts w:hint="eastAsia"/>
                <w:b/>
                <w:color w:val="auto"/>
                <w:szCs w:val="21"/>
              </w:rPr>
              <w:t>废弃设备零件</w:t>
            </w:r>
          </w:p>
          <w:bookmarkEnd w:id="1014"/>
          <w:p w14:paraId="7FC70AF2">
            <w:pPr>
              <w:ind w:firstLine="480"/>
              <w:rPr>
                <w:bCs/>
                <w:color w:val="auto"/>
                <w:szCs w:val="21"/>
              </w:rPr>
            </w:pPr>
            <w:r>
              <w:rPr>
                <w:rFonts w:hint="eastAsia"/>
                <w:bCs/>
                <w:color w:val="auto"/>
                <w:szCs w:val="21"/>
              </w:rPr>
              <w:t>项目在光伏组件安装、电气设备安装等过程中，会产生少量废弃设备零件，产生量约为1.0t，该部分废弃设备零件经收集后，可回收利用。</w:t>
            </w:r>
          </w:p>
          <w:p w14:paraId="11FBEEAA">
            <w:pPr>
              <w:ind w:firstLine="482"/>
              <w:rPr>
                <w:b/>
                <w:color w:val="auto"/>
                <w:szCs w:val="21"/>
              </w:rPr>
            </w:pPr>
            <w:r>
              <w:rPr>
                <w:rFonts w:hint="eastAsia"/>
                <w:b/>
                <w:color w:val="auto"/>
                <w:szCs w:val="21"/>
              </w:rPr>
              <w:t>（</w:t>
            </w:r>
            <w:r>
              <w:rPr>
                <w:b/>
                <w:color w:val="auto"/>
                <w:szCs w:val="21"/>
              </w:rPr>
              <w:t>4</w:t>
            </w:r>
            <w:r>
              <w:rPr>
                <w:rFonts w:hint="eastAsia"/>
                <w:b/>
                <w:color w:val="auto"/>
                <w:szCs w:val="21"/>
              </w:rPr>
              <w:t>）废弃土石方</w:t>
            </w:r>
          </w:p>
          <w:p w14:paraId="08FFA6D5">
            <w:pPr>
              <w:widowControl/>
              <w:topLinePunct/>
              <w:adjustRightInd w:val="0"/>
              <w:snapToGrid w:val="0"/>
              <w:ind w:firstLine="480"/>
              <w:rPr>
                <w:color w:val="auto"/>
                <w:kern w:val="0"/>
                <w:lang w:bidi="ar"/>
              </w:rPr>
            </w:pPr>
            <w:r>
              <w:rPr>
                <w:color w:val="auto"/>
                <w:kern w:val="0"/>
                <w:lang w:bidi="ar"/>
              </w:rPr>
              <w:t>本</w:t>
            </w:r>
            <w:r>
              <w:rPr>
                <w:rFonts w:hint="eastAsia"/>
                <w:color w:val="auto"/>
                <w:kern w:val="0"/>
                <w:lang w:bidi="ar"/>
              </w:rPr>
              <w:t>项目</w:t>
            </w:r>
            <w:r>
              <w:rPr>
                <w:color w:val="auto"/>
                <w:kern w:val="0"/>
                <w:lang w:bidi="ar"/>
              </w:rPr>
              <w:t>土石方工程主要包括对光伏支架基础钻孔施工、箱变及电缆分接箱场平、电缆沟</w:t>
            </w:r>
            <w:r>
              <w:rPr>
                <w:rFonts w:hint="eastAsia"/>
                <w:color w:val="auto"/>
                <w:kern w:val="0"/>
                <w:lang w:bidi="ar"/>
              </w:rPr>
              <w:t>和接地沟</w:t>
            </w:r>
            <w:r>
              <w:rPr>
                <w:color w:val="auto"/>
                <w:kern w:val="0"/>
                <w:lang w:bidi="ar"/>
              </w:rPr>
              <w:t>开挖、施工场地区平整、道路改造及新建范围的表土进行剥离。综合以上各部分产生土石方量，本</w:t>
            </w:r>
            <w:r>
              <w:rPr>
                <w:rFonts w:hint="eastAsia"/>
                <w:color w:val="auto"/>
                <w:kern w:val="0"/>
                <w:lang w:bidi="ar"/>
              </w:rPr>
              <w:t>项目</w:t>
            </w:r>
            <w:r>
              <w:rPr>
                <w:color w:val="auto"/>
                <w:kern w:val="0"/>
                <w:lang w:bidi="ar"/>
              </w:rPr>
              <w:t>预估土石方开</w:t>
            </w:r>
            <w:r>
              <w:rPr>
                <w:rFonts w:hint="eastAsia"/>
                <w:color w:val="auto"/>
                <w:kern w:val="0"/>
                <w:lang w:bidi="ar"/>
              </w:rPr>
              <w:t>13.21万</w:t>
            </w:r>
            <w:r>
              <w:rPr>
                <w:color w:val="auto"/>
                <w:kern w:val="0"/>
                <w:lang w:bidi="ar"/>
              </w:rPr>
              <w:t>m³，填方</w:t>
            </w:r>
            <w:r>
              <w:rPr>
                <w:rFonts w:hint="eastAsia"/>
                <w:color w:val="auto"/>
                <w:kern w:val="0"/>
                <w:lang w:bidi="ar"/>
              </w:rPr>
              <w:t>13.21万</w:t>
            </w:r>
            <w:r>
              <w:rPr>
                <w:color w:val="auto"/>
                <w:kern w:val="0"/>
                <w:lang w:bidi="ar"/>
              </w:rPr>
              <w:t>m³，</w:t>
            </w:r>
            <w:r>
              <w:rPr>
                <w:rFonts w:hint="eastAsia"/>
                <w:color w:val="auto"/>
                <w:kern w:val="0"/>
                <w:lang w:bidi="ar"/>
              </w:rPr>
              <w:t>项目区内挖填平衡，</w:t>
            </w:r>
            <w:r>
              <w:rPr>
                <w:color w:val="auto"/>
                <w:kern w:val="0"/>
                <w:lang w:bidi="ar"/>
              </w:rPr>
              <w:t>开挖土石方用于基础回填和场地平整，剥离表土用于植被恢复覆土，不产生废弃土石方</w:t>
            </w:r>
            <w:r>
              <w:rPr>
                <w:rFonts w:hint="eastAsia"/>
                <w:color w:val="auto"/>
                <w:kern w:val="0"/>
                <w:lang w:bidi="ar"/>
              </w:rPr>
              <w:t>。</w:t>
            </w:r>
          </w:p>
          <w:p w14:paraId="3B10E7EA">
            <w:pPr>
              <w:pStyle w:val="4"/>
              <w:spacing w:before="48" w:after="48"/>
              <w:rPr>
                <w:color w:val="auto"/>
              </w:rPr>
            </w:pPr>
            <w:r>
              <w:rPr>
                <w:rFonts w:hint="eastAsia"/>
                <w:color w:val="auto"/>
              </w:rPr>
              <w:t>环境风险分析</w:t>
            </w:r>
          </w:p>
          <w:p w14:paraId="5520DAF8">
            <w:pPr>
              <w:ind w:firstLine="480"/>
              <w:rPr>
                <w:color w:val="auto"/>
              </w:rPr>
            </w:pPr>
            <w:r>
              <w:rPr>
                <w:rFonts w:hint="eastAsia"/>
                <w:color w:val="auto"/>
              </w:rPr>
              <w:t>结合项目特点，根据《建设项目环境风险评价技术导则》（HJ</w:t>
            </w:r>
            <w:r>
              <w:rPr>
                <w:color w:val="auto"/>
              </w:rPr>
              <w:t xml:space="preserve"> </w:t>
            </w:r>
            <w:r>
              <w:rPr>
                <w:rFonts w:hint="eastAsia"/>
                <w:color w:val="auto"/>
              </w:rPr>
              <w:t>169-2018），本项目施工期风险源主要为燃油机械使用的汽柴油，属于易燃物质，施工期间不设油库，施工机械和车辆用油依托周边加油站，不需设置专项。</w:t>
            </w:r>
          </w:p>
          <w:p w14:paraId="687D2DEA">
            <w:pPr>
              <w:ind w:firstLine="480"/>
              <w:rPr>
                <w:color w:val="auto"/>
              </w:rPr>
            </w:pPr>
            <w:r>
              <w:rPr>
                <w:rFonts w:hint="eastAsia"/>
                <w:color w:val="auto"/>
              </w:rPr>
              <w:t>根据现场调查，本次评价提出以下环境风险防控和应急管理的措施：</w:t>
            </w:r>
          </w:p>
          <w:p w14:paraId="25575156">
            <w:pPr>
              <w:ind w:firstLine="480"/>
              <w:rPr>
                <w:color w:val="auto"/>
              </w:rPr>
            </w:pPr>
            <w:r>
              <w:rPr>
                <w:rFonts w:hint="eastAsia"/>
                <w:color w:val="auto"/>
              </w:rPr>
              <w:t>①项目施工期间加强燃油机械维修保养。</w:t>
            </w:r>
          </w:p>
          <w:p w14:paraId="21D8163A">
            <w:pPr>
              <w:ind w:firstLine="480"/>
              <w:rPr>
                <w:color w:val="auto"/>
              </w:rPr>
            </w:pPr>
            <w:r>
              <w:rPr>
                <w:rFonts w:hint="eastAsia"/>
                <w:color w:val="auto"/>
              </w:rPr>
              <w:t>②项目施工区内设置醒目的杜绝明火、禁止吸烟等标志、标语，禁止火源进入项目内。</w:t>
            </w:r>
          </w:p>
          <w:p w14:paraId="79D97B92">
            <w:pPr>
              <w:ind w:firstLine="480"/>
              <w:rPr>
                <w:color w:val="auto"/>
              </w:rPr>
            </w:pPr>
            <w:r>
              <w:rPr>
                <w:rFonts w:hint="eastAsia"/>
                <w:color w:val="auto"/>
              </w:rPr>
              <w:t>③施工期运输道路尽量远离周边地表水体，加强运输人员管理、培训和教育，安装GPS，避免发生交通施工风险。</w:t>
            </w:r>
          </w:p>
          <w:p w14:paraId="27667B57">
            <w:pPr>
              <w:ind w:firstLine="480"/>
              <w:rPr>
                <w:color w:val="auto"/>
              </w:rPr>
            </w:pPr>
            <w:r>
              <w:rPr>
                <w:rFonts w:hint="eastAsia"/>
                <w:color w:val="auto"/>
              </w:rPr>
              <w:t>④加强对项目风险源的日常管理和检查，预防风险事故的发生。</w:t>
            </w:r>
          </w:p>
          <w:p w14:paraId="1F596EF4">
            <w:pPr>
              <w:ind w:firstLine="480"/>
              <w:rPr>
                <w:color w:val="auto"/>
              </w:rPr>
            </w:pPr>
            <w:r>
              <w:rPr>
                <w:rFonts w:hint="eastAsia"/>
                <w:color w:val="auto"/>
              </w:rPr>
              <w:t>综上所述，项目建设内容主要为光伏发电工程，施工过程中除了燃油外不使用其他有毒、易燃或易爆物质，施工期环境风险是可控的。</w:t>
            </w:r>
          </w:p>
          <w:p w14:paraId="450240DC">
            <w:pPr>
              <w:ind w:firstLine="480"/>
              <w:rPr>
                <w:color w:val="auto"/>
                <w:szCs w:val="21"/>
              </w:rPr>
            </w:pPr>
          </w:p>
        </w:tc>
      </w:tr>
      <w:tr w14:paraId="3109F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73" w:type="pct"/>
            <w:tcMar>
              <w:left w:w="28" w:type="dxa"/>
              <w:right w:w="28" w:type="dxa"/>
            </w:tcMar>
            <w:vAlign w:val="center"/>
          </w:tcPr>
          <w:p w14:paraId="609F8E96">
            <w:pPr>
              <w:pStyle w:val="36"/>
              <w:adjustRightInd w:val="0"/>
              <w:snapToGrid w:val="0"/>
              <w:spacing w:line="240" w:lineRule="auto"/>
              <w:ind w:firstLine="0" w:firstLineChars="0"/>
              <w:jc w:val="center"/>
              <w:rPr>
                <w:bCs/>
                <w:color w:val="auto"/>
                <w:szCs w:val="21"/>
              </w:rPr>
            </w:pPr>
            <w:r>
              <w:rPr>
                <w:bCs/>
                <w:color w:val="auto"/>
                <w:spacing w:val="10"/>
                <w:szCs w:val="21"/>
              </w:rPr>
              <w:t>运营期生态环境影响分析</w:t>
            </w:r>
          </w:p>
        </w:tc>
        <w:tc>
          <w:tcPr>
            <w:tcW w:w="4727" w:type="pct"/>
          </w:tcPr>
          <w:p w14:paraId="642E006F">
            <w:pPr>
              <w:pStyle w:val="3"/>
              <w:spacing w:before="72" w:after="72"/>
              <w:rPr>
                <w:color w:val="auto"/>
              </w:rPr>
            </w:pPr>
            <w:bookmarkStart w:id="1015" w:name="_Toc177072410"/>
            <w:bookmarkStart w:id="1016" w:name="_Toc158491289"/>
            <w:bookmarkStart w:id="1017" w:name="_Toc181293547"/>
            <w:bookmarkStart w:id="1018" w:name="_Toc156137868"/>
            <w:bookmarkStart w:id="1019" w:name="_Toc161415582"/>
            <w:bookmarkStart w:id="1020" w:name="_Toc177072838"/>
            <w:bookmarkStart w:id="1021" w:name="_Toc181732825"/>
            <w:bookmarkStart w:id="1022" w:name="_Toc181738232"/>
            <w:bookmarkStart w:id="1023" w:name="_Toc160730904"/>
            <w:bookmarkStart w:id="1024" w:name="_Toc136794218"/>
            <w:bookmarkStart w:id="1025" w:name="_Toc112165662"/>
            <w:bookmarkStart w:id="1026" w:name="_Toc112424299"/>
            <w:bookmarkStart w:id="1027" w:name="_Toc156144182"/>
            <w:bookmarkStart w:id="1028" w:name="_Toc159349057"/>
            <w:bookmarkStart w:id="1029" w:name="_Toc177482910"/>
            <w:bookmarkStart w:id="1030" w:name="_Toc177488222"/>
            <w:bookmarkStart w:id="1031" w:name="_Toc136794343"/>
            <w:bookmarkStart w:id="1032" w:name="_Toc6310"/>
            <w:bookmarkStart w:id="1033" w:name="_Toc160473828"/>
            <w:bookmarkStart w:id="1034" w:name="_Toc10067"/>
            <w:bookmarkStart w:id="1035" w:name="_Toc112173957"/>
            <w:r>
              <w:rPr>
                <w:color w:val="auto"/>
              </w:rPr>
              <w:t>运营期主要污染工序及产污环节</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53D3A167">
            <w:pPr>
              <w:ind w:firstLine="480"/>
              <w:rPr>
                <w:color w:val="auto"/>
                <w:szCs w:val="21"/>
              </w:rPr>
            </w:pPr>
            <w:r>
              <w:rPr>
                <w:rFonts w:hint="eastAsia"/>
                <w:color w:val="auto"/>
                <w:szCs w:val="21"/>
              </w:rPr>
              <w:t>本光伏电站额定容量为60MW，安装容量为</w:t>
            </w:r>
            <w:r>
              <w:rPr>
                <w:color w:val="auto"/>
                <w:szCs w:val="21"/>
              </w:rPr>
              <w:t>74.1524</w:t>
            </w:r>
            <w:r>
              <w:rPr>
                <w:rFonts w:hint="eastAsia"/>
                <w:color w:val="auto"/>
                <w:szCs w:val="21"/>
              </w:rPr>
              <w:t>MWp，共装设</w:t>
            </w:r>
            <w:r>
              <w:rPr>
                <w:color w:val="auto"/>
                <w:szCs w:val="21"/>
              </w:rPr>
              <w:t>104440</w:t>
            </w:r>
            <w:r>
              <w:rPr>
                <w:rFonts w:hint="eastAsia"/>
                <w:color w:val="auto"/>
                <w:szCs w:val="21"/>
              </w:rPr>
              <w:t>块710Wp异质结光伏组件，每28（2×14）块光伏组件串联形成1个光伏组串，共</w:t>
            </w:r>
            <w:r>
              <w:rPr>
                <w:color w:val="auto"/>
                <w:szCs w:val="21"/>
              </w:rPr>
              <w:t>3730</w:t>
            </w:r>
            <w:r>
              <w:rPr>
                <w:rFonts w:hint="eastAsia"/>
                <w:color w:val="auto"/>
                <w:szCs w:val="21"/>
              </w:rPr>
              <w:t>个组串；每19</w:t>
            </w:r>
            <w:r>
              <w:rPr>
                <w:color w:val="auto"/>
                <w:szCs w:val="21"/>
              </w:rPr>
              <w:t>/</w:t>
            </w:r>
            <w:r>
              <w:rPr>
                <w:rFonts w:hint="eastAsia"/>
                <w:color w:val="auto"/>
                <w:szCs w:val="21"/>
              </w:rPr>
              <w:t>20个光伏组串接入1台320kW组串逆变器，需配置188台320kW组串逆变器；每6</w:t>
            </w:r>
            <w:r>
              <w:rPr>
                <w:color w:val="auto"/>
                <w:szCs w:val="21"/>
              </w:rPr>
              <w:t>/</w:t>
            </w:r>
            <w:r>
              <w:rPr>
                <w:rFonts w:hint="eastAsia"/>
                <w:color w:val="auto"/>
                <w:szCs w:val="21"/>
              </w:rPr>
              <w:t>8</w:t>
            </w:r>
            <w:r>
              <w:rPr>
                <w:color w:val="auto"/>
                <w:szCs w:val="21"/>
              </w:rPr>
              <w:t>/</w:t>
            </w:r>
            <w:r>
              <w:rPr>
                <w:rFonts w:hint="eastAsia"/>
                <w:color w:val="auto"/>
                <w:szCs w:val="21"/>
              </w:rPr>
              <w:t>10台320kW组串逆变器与1台双绕组箱变连接，构成一个光伏子阵列。本项目共设置22个光伏阵列（其中11个3.2MWac的方阵，6个2.56MWac的方阵，5个1.92MWac方阵），光伏组件最低沿应高于地面2.5m、桩基间列间距大于4m、行间距应大于6.5m建设。</w:t>
            </w:r>
          </w:p>
          <w:p w14:paraId="78E3C8A7">
            <w:pPr>
              <w:ind w:firstLine="480"/>
              <w:rPr>
                <w:color w:val="auto"/>
                <w:szCs w:val="21"/>
              </w:rPr>
            </w:pPr>
            <w:r>
              <w:rPr>
                <w:color w:val="auto"/>
                <w:szCs w:val="21"/>
              </w:rPr>
              <w:t>本项目运行期对环境可能产生影响的主要因素有：电池组件清洗废水、运行噪声</w:t>
            </w:r>
            <w:r>
              <w:rPr>
                <w:rFonts w:hint="eastAsia"/>
                <w:color w:val="auto"/>
                <w:szCs w:val="21"/>
              </w:rPr>
              <w:t>、</w:t>
            </w:r>
            <w:r>
              <w:rPr>
                <w:color w:val="auto"/>
                <w:szCs w:val="21"/>
              </w:rPr>
              <w:t>废旧电池组件</w:t>
            </w:r>
            <w:r>
              <w:rPr>
                <w:rFonts w:hint="eastAsia"/>
                <w:color w:val="auto"/>
                <w:szCs w:val="21"/>
              </w:rPr>
              <w:t>和</w:t>
            </w:r>
            <w:r>
              <w:rPr>
                <w:color w:val="auto"/>
                <w:szCs w:val="21"/>
              </w:rPr>
              <w:t>废变压油等。</w:t>
            </w:r>
          </w:p>
          <w:p w14:paraId="55959F82">
            <w:pPr>
              <w:ind w:firstLine="480"/>
              <w:rPr>
                <w:color w:val="auto"/>
                <w:szCs w:val="21"/>
              </w:rPr>
            </w:pPr>
            <w:r>
              <w:rPr>
                <w:color w:val="auto"/>
                <w:szCs w:val="21"/>
              </w:rPr>
              <w:t>项目工艺流程及产污节点图如下：</w:t>
            </w:r>
          </w:p>
          <w:p w14:paraId="68152D58">
            <w:pPr>
              <w:ind w:firstLine="0" w:firstLineChars="0"/>
              <w:jc w:val="center"/>
              <w:rPr>
                <w:color w:val="auto"/>
                <w:szCs w:val="21"/>
              </w:rPr>
            </w:pPr>
            <w:r>
              <w:rPr>
                <w:color w:val="auto"/>
              </w:rPr>
              <w:drawing>
                <wp:inline distT="0" distB="0" distL="0" distR="0">
                  <wp:extent cx="3837305" cy="2701290"/>
                  <wp:effectExtent l="0" t="0" r="10795" b="3810"/>
                  <wp:docPr id="2121195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9565" name="图片 3"/>
                          <pic:cNvPicPr>
                            <a:picLocks noChangeAspect="1" noChangeArrowheads="1"/>
                          </pic:cNvPicPr>
                        </pic:nvPicPr>
                        <pic:blipFill>
                          <a:blip r:embed="rId49"/>
                          <a:srcRect/>
                          <a:stretch>
                            <a:fillRect/>
                          </a:stretch>
                        </pic:blipFill>
                        <pic:spPr>
                          <a:xfrm>
                            <a:off x="0" y="0"/>
                            <a:ext cx="3837305" cy="2701833"/>
                          </a:xfrm>
                          <a:prstGeom prst="rect">
                            <a:avLst/>
                          </a:prstGeom>
                          <a:noFill/>
                          <a:ln>
                            <a:noFill/>
                          </a:ln>
                        </pic:spPr>
                      </pic:pic>
                    </a:graphicData>
                  </a:graphic>
                </wp:inline>
              </w:drawing>
            </w:r>
          </w:p>
          <w:p w14:paraId="0F79711F">
            <w:pPr>
              <w:pStyle w:val="63"/>
              <w:rPr>
                <w:color w:val="auto"/>
                <w:szCs w:val="21"/>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4.5</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bCs/>
                <w:color w:val="auto"/>
              </w:rPr>
              <w:t xml:space="preserve"> </w:t>
            </w:r>
            <w:r>
              <w:rPr>
                <w:color w:val="auto"/>
                <w:szCs w:val="21"/>
              </w:rPr>
              <w:t>运营期工艺流程及产污节点图</w:t>
            </w:r>
          </w:p>
          <w:p w14:paraId="40F5782C">
            <w:pPr>
              <w:pStyle w:val="3"/>
              <w:spacing w:before="72" w:after="72"/>
              <w:rPr>
                <w:color w:val="auto"/>
              </w:rPr>
            </w:pPr>
            <w:bookmarkStart w:id="1036" w:name="_Toc112173958"/>
            <w:bookmarkStart w:id="1037" w:name="_Toc7607"/>
            <w:bookmarkStart w:id="1038" w:name="_Toc14400"/>
            <w:bookmarkStart w:id="1039" w:name="_Toc112165663"/>
            <w:bookmarkStart w:id="1040" w:name="_Toc156144183"/>
            <w:bookmarkStart w:id="1041" w:name="_Toc160730905"/>
            <w:bookmarkStart w:id="1042" w:name="_Toc136794219"/>
            <w:bookmarkStart w:id="1043" w:name="_Toc136794344"/>
            <w:bookmarkStart w:id="1044" w:name="_Toc160473829"/>
            <w:bookmarkStart w:id="1045" w:name="_Toc177072411"/>
            <w:bookmarkStart w:id="1046" w:name="_Toc177072839"/>
            <w:bookmarkStart w:id="1047" w:name="_Toc112424300"/>
            <w:bookmarkStart w:id="1048" w:name="_Toc156137869"/>
            <w:bookmarkStart w:id="1049" w:name="_Toc158491290"/>
            <w:bookmarkStart w:id="1050" w:name="_Toc159349058"/>
            <w:bookmarkStart w:id="1051" w:name="_Toc161415583"/>
            <w:bookmarkStart w:id="1052" w:name="_Toc177482911"/>
            <w:bookmarkStart w:id="1053" w:name="_Toc177488223"/>
            <w:bookmarkStart w:id="1054" w:name="_Toc181293548"/>
            <w:bookmarkStart w:id="1055" w:name="_Toc181738233"/>
            <w:bookmarkStart w:id="1056" w:name="_Toc181732826"/>
            <w:r>
              <w:rPr>
                <w:color w:val="auto"/>
              </w:rPr>
              <w:t>运营期影响分析</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240FF585">
            <w:pPr>
              <w:pStyle w:val="4"/>
              <w:spacing w:before="48" w:after="48"/>
              <w:rPr>
                <w:color w:val="auto"/>
              </w:rPr>
            </w:pPr>
            <w:bookmarkStart w:id="1057" w:name="_Toc18835"/>
            <w:bookmarkStart w:id="1058" w:name="_Toc161415584"/>
            <w:bookmarkStart w:id="1059" w:name="_Toc9670"/>
            <w:bookmarkStart w:id="1060" w:name="_Toc177482912"/>
            <w:bookmarkStart w:id="1061" w:name="_Toc177072412"/>
            <w:bookmarkStart w:id="1062" w:name="_Toc177072840"/>
            <w:bookmarkStart w:id="1063" w:name="_Toc177488224"/>
            <w:bookmarkStart w:id="1064" w:name="_Toc112424301"/>
            <w:bookmarkStart w:id="1065" w:name="_Toc156144184"/>
            <w:bookmarkStart w:id="1066" w:name="_Toc159349059"/>
            <w:bookmarkStart w:id="1067" w:name="_Toc112173959"/>
            <w:bookmarkStart w:id="1068" w:name="_Toc136794345"/>
            <w:bookmarkStart w:id="1069" w:name="_Toc160473830"/>
            <w:bookmarkStart w:id="1070" w:name="_Toc160730906"/>
            <w:bookmarkStart w:id="1071" w:name="_Toc112165664"/>
            <w:bookmarkStart w:id="1072" w:name="_Toc158491291"/>
            <w:bookmarkStart w:id="1073" w:name="_Toc136794220"/>
            <w:bookmarkStart w:id="1074" w:name="_Toc156137870"/>
            <w:bookmarkStart w:id="1075" w:name="_Toc181732827"/>
            <w:bookmarkStart w:id="1076" w:name="_Toc181738234"/>
            <w:bookmarkStart w:id="1077" w:name="_Toc181293549"/>
            <w:r>
              <w:rPr>
                <w:color w:val="auto"/>
              </w:rPr>
              <w:t>环境空气环境影响分析</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134AB860">
            <w:pPr>
              <w:ind w:firstLine="480"/>
              <w:rPr>
                <w:color w:val="auto"/>
                <w:szCs w:val="21"/>
              </w:rPr>
            </w:pPr>
            <w:r>
              <w:rPr>
                <w:rFonts w:hint="eastAsia"/>
                <w:color w:val="auto"/>
                <w:szCs w:val="21"/>
              </w:rPr>
              <w:t>本项目主要为光伏场区发电系统建设，建成后光伏发电板利用自然太阳能转变为电能，在生产过程中不消耗矿物燃料，不产生大气污染物。此外，集电线路运营期无废气产生，不会对大气环境产生影响。</w:t>
            </w:r>
          </w:p>
          <w:p w14:paraId="348FF22C">
            <w:pPr>
              <w:ind w:firstLine="480"/>
              <w:rPr>
                <w:color w:val="auto"/>
                <w:szCs w:val="21"/>
              </w:rPr>
            </w:pPr>
            <w:r>
              <w:rPr>
                <w:rFonts w:hint="eastAsia"/>
                <w:color w:val="auto"/>
                <w:szCs w:val="21"/>
              </w:rPr>
              <w:t>综上，本项目运营期对大气环境影响较小。</w:t>
            </w:r>
          </w:p>
          <w:p w14:paraId="114A5DC6">
            <w:pPr>
              <w:pStyle w:val="4"/>
              <w:spacing w:before="48" w:after="48"/>
              <w:rPr>
                <w:color w:val="auto"/>
              </w:rPr>
            </w:pPr>
            <w:bookmarkStart w:id="1078" w:name="_Toc136794346"/>
            <w:bookmarkStart w:id="1079" w:name="_Toc112424302"/>
            <w:bookmarkStart w:id="1080" w:name="_Toc136794221"/>
            <w:bookmarkStart w:id="1081" w:name="_Toc156144185"/>
            <w:bookmarkStart w:id="1082" w:name="_Toc158491292"/>
            <w:bookmarkStart w:id="1083" w:name="_Toc112165665"/>
            <w:bookmarkStart w:id="1084" w:name="_Toc177072413"/>
            <w:bookmarkStart w:id="1085" w:name="_Toc160473831"/>
            <w:bookmarkStart w:id="1086" w:name="_Toc159349060"/>
            <w:bookmarkStart w:id="1087" w:name="_Toc177482913"/>
            <w:bookmarkStart w:id="1088" w:name="_Toc177072841"/>
            <w:bookmarkStart w:id="1089" w:name="_Toc160730907"/>
            <w:bookmarkStart w:id="1090" w:name="_Toc18406"/>
            <w:bookmarkStart w:id="1091" w:name="_Toc161415585"/>
            <w:bookmarkStart w:id="1092" w:name="_Toc156137871"/>
            <w:bookmarkStart w:id="1093" w:name="_Toc177488225"/>
            <w:bookmarkStart w:id="1094" w:name="_Toc181293550"/>
            <w:bookmarkStart w:id="1095" w:name="_Toc112173960"/>
            <w:bookmarkStart w:id="1096" w:name="_Toc2642"/>
            <w:bookmarkStart w:id="1097" w:name="_Toc181738235"/>
            <w:bookmarkStart w:id="1098" w:name="_Toc181732828"/>
            <w:r>
              <w:rPr>
                <w:color w:val="auto"/>
              </w:rPr>
              <w:t>水环境影响分析</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6CFC3BF6">
            <w:pPr>
              <w:ind w:firstLine="480"/>
              <w:rPr>
                <w:color w:val="auto"/>
              </w:rPr>
            </w:pPr>
            <w:r>
              <w:rPr>
                <w:rFonts w:hint="eastAsia"/>
                <w:color w:val="auto"/>
              </w:rPr>
              <w:t>本项目营运期用水主要为光伏板清洗用水。本次运营期定期巡视依托德安光伏发电项目升压站内工作人员，因此本项目无生活污水；运营期污水主要为光伏板清洗用水，光伏板清洗用水采用水车从周边村庄取水。</w:t>
            </w:r>
          </w:p>
          <w:p w14:paraId="23952DB3">
            <w:pPr>
              <w:ind w:firstLine="482" w:firstLineChars="0"/>
              <w:rPr>
                <w:b/>
                <w:bCs/>
                <w:color w:val="auto"/>
              </w:rPr>
            </w:pPr>
            <w:r>
              <w:rPr>
                <w:rFonts w:hint="eastAsia"/>
                <w:b/>
                <w:bCs/>
                <w:color w:val="auto"/>
              </w:rPr>
              <w:t>1、用水</w:t>
            </w:r>
          </w:p>
          <w:p w14:paraId="2EA99234">
            <w:pPr>
              <w:ind w:firstLine="480"/>
              <w:rPr>
                <w:color w:val="auto"/>
                <w:szCs w:val="21"/>
              </w:rPr>
            </w:pPr>
            <w:r>
              <w:rPr>
                <w:rFonts w:hint="eastAsia"/>
                <w:color w:val="auto"/>
                <w:szCs w:val="21"/>
              </w:rPr>
              <w:t>本项目所在地污染源较少，考虑每年旱季清洗一次。</w:t>
            </w:r>
            <w:r>
              <w:rPr>
                <w:rFonts w:hint="eastAsia"/>
                <w:color w:val="auto"/>
              </w:rPr>
              <w:t>清洗用水采用罐车从附近水源运水至各用水点区域，以小型柴油泵加压进行光伏板清洗。</w:t>
            </w:r>
          </w:p>
          <w:p w14:paraId="3A5AA2AB">
            <w:pPr>
              <w:ind w:firstLine="480"/>
              <w:rPr>
                <w:color w:val="auto"/>
              </w:rPr>
            </w:pPr>
            <w:r>
              <w:rPr>
                <w:rFonts w:hint="eastAsia"/>
                <w:color w:val="auto"/>
                <w:szCs w:val="21"/>
              </w:rPr>
              <w:t>在每年雨季的时候，降雨冲刷能对电池组件表面起到自然清洗的作用；在旱季，为保证光伏组件的正常工作，需安排专人负责太阳能电池组件的清洗，以减少灰、杂物对光伏组件发电的影响由于并网光伏电站工程占地面积较大且场区地形复杂，距离道路较远处不利于机械清洗，故本光伏电站工程的清洗方式考虑靠近道路及方便清洗车辆进入的区域采用机械清洗，其他区域采用人工清洗。机械清洗分为粗洗和精洗两种方式。在组件表面积尘到一定程度后采用移动式空气压缩机吹洗电池组件表面进行粗洗，将电池组件表面较大的灰尘颗粒吹落，但由于二次扬尘的问题，细小的灰尘仍会落在电池组件表面。之后，采用移动式节能喷水设施进行精洗，电池组件清洗后应保持其表面干燥。</w:t>
            </w:r>
            <w:r>
              <w:rPr>
                <w:color w:val="auto"/>
              </w:rPr>
              <w:t>人工</w:t>
            </w:r>
            <w:r>
              <w:rPr>
                <w:rFonts w:hint="eastAsia"/>
                <w:color w:val="auto"/>
              </w:rPr>
              <w:t>清洗</w:t>
            </w:r>
            <w:r>
              <w:rPr>
                <w:color w:val="auto"/>
              </w:rPr>
              <w:t>主要用湿布擦拭或者玻璃刮刀进行清洁，且不使用清洁液。</w:t>
            </w:r>
          </w:p>
          <w:p w14:paraId="3FB520CE">
            <w:pPr>
              <w:ind w:firstLine="480"/>
              <w:rPr>
                <w:color w:val="auto"/>
                <w:szCs w:val="21"/>
              </w:rPr>
            </w:pPr>
            <w:r>
              <w:rPr>
                <w:color w:val="auto"/>
                <w:szCs w:val="21"/>
              </w:rPr>
              <w:t>本项目共设置</w:t>
            </w:r>
            <w:r>
              <w:rPr>
                <w:rFonts w:hint="eastAsia"/>
                <w:color w:val="auto"/>
                <w:szCs w:val="21"/>
              </w:rPr>
              <w:t>22</w:t>
            </w:r>
            <w:r>
              <w:rPr>
                <w:color w:val="auto"/>
                <w:szCs w:val="21"/>
              </w:rPr>
              <w:t>个光伏发电单元，共安装</w:t>
            </w:r>
            <w:r>
              <w:rPr>
                <w:rFonts w:hint="eastAsia"/>
                <w:color w:val="auto"/>
                <w:szCs w:val="21"/>
              </w:rPr>
              <w:t>104440</w:t>
            </w:r>
            <w:r>
              <w:rPr>
                <w:color w:val="auto"/>
                <w:szCs w:val="21"/>
              </w:rPr>
              <w:t>块光伏组件，每块光伏组件的面积为</w:t>
            </w:r>
            <w:r>
              <w:rPr>
                <w:rFonts w:hint="eastAsia"/>
                <w:color w:val="auto"/>
                <w:szCs w:val="21"/>
              </w:rPr>
              <w:t>3.1</w:t>
            </w:r>
            <w:r>
              <w:rPr>
                <w:color w:val="auto"/>
                <w:szCs w:val="21"/>
              </w:rPr>
              <w:t>m</w:t>
            </w:r>
            <w:r>
              <w:rPr>
                <w:color w:val="auto"/>
                <w:szCs w:val="21"/>
                <w:vertAlign w:val="superscript"/>
              </w:rPr>
              <w:t>2</w:t>
            </w:r>
            <w:r>
              <w:rPr>
                <w:color w:val="auto"/>
                <w:szCs w:val="21"/>
              </w:rPr>
              <w:t>（2</w:t>
            </w:r>
            <w:r>
              <w:rPr>
                <w:rFonts w:hint="eastAsia"/>
                <w:color w:val="auto"/>
                <w:szCs w:val="21"/>
              </w:rPr>
              <w:t>.</w:t>
            </w:r>
            <w:r>
              <w:rPr>
                <w:color w:val="auto"/>
                <w:szCs w:val="21"/>
              </w:rPr>
              <w:t>384</w:t>
            </w:r>
            <w:r>
              <w:rPr>
                <w:rFonts w:hint="eastAsia"/>
                <w:color w:val="auto"/>
                <w:szCs w:val="21"/>
              </w:rPr>
              <w:t>m</w:t>
            </w:r>
            <w:r>
              <w:rPr>
                <w:color w:val="auto"/>
                <w:szCs w:val="21"/>
              </w:rPr>
              <w:t>×1</w:t>
            </w:r>
            <w:r>
              <w:rPr>
                <w:rFonts w:hint="eastAsia"/>
                <w:color w:val="auto"/>
                <w:szCs w:val="21"/>
              </w:rPr>
              <w:t>.</w:t>
            </w:r>
            <w:r>
              <w:rPr>
                <w:color w:val="auto"/>
                <w:szCs w:val="21"/>
              </w:rPr>
              <w:t>303</w:t>
            </w:r>
            <w:r>
              <w:rPr>
                <w:rFonts w:hint="eastAsia"/>
                <w:color w:val="auto"/>
                <w:szCs w:val="21"/>
              </w:rPr>
              <w:t>m</w:t>
            </w:r>
            <w:r>
              <w:rPr>
                <w:color w:val="auto"/>
                <w:szCs w:val="21"/>
              </w:rPr>
              <w:t>），则本项目太阳能电池板表面积约</w:t>
            </w:r>
            <w:r>
              <w:rPr>
                <w:rFonts w:hint="eastAsia"/>
                <w:color w:val="auto"/>
                <w:szCs w:val="21"/>
              </w:rPr>
              <w:t>323764</w:t>
            </w:r>
            <w:r>
              <w:rPr>
                <w:color w:val="auto"/>
                <w:szCs w:val="21"/>
              </w:rPr>
              <w:t>m</w:t>
            </w:r>
            <w:r>
              <w:rPr>
                <w:color w:val="auto"/>
                <w:szCs w:val="21"/>
                <w:vertAlign w:val="superscript"/>
              </w:rPr>
              <w:t>2</w:t>
            </w:r>
            <w:r>
              <w:rPr>
                <w:color w:val="auto"/>
                <w:szCs w:val="21"/>
              </w:rPr>
              <w:t>，用水量以经验数据1.5L/m</w:t>
            </w:r>
            <w:r>
              <w:rPr>
                <w:color w:val="auto"/>
                <w:szCs w:val="21"/>
                <w:vertAlign w:val="superscript"/>
              </w:rPr>
              <w:t>2</w:t>
            </w:r>
            <w:r>
              <w:rPr>
                <w:color w:val="auto"/>
                <w:szCs w:val="21"/>
              </w:rPr>
              <w:t>计，经计算本</w:t>
            </w:r>
            <w:r>
              <w:rPr>
                <w:rFonts w:hint="eastAsia"/>
                <w:color w:val="auto"/>
                <w:szCs w:val="21"/>
              </w:rPr>
              <w:t>项目</w:t>
            </w:r>
            <w:r>
              <w:rPr>
                <w:color w:val="auto"/>
                <w:szCs w:val="21"/>
              </w:rPr>
              <w:t>每次清洗用水量为</w:t>
            </w:r>
            <w:r>
              <w:rPr>
                <w:rFonts w:hint="eastAsia"/>
                <w:color w:val="auto"/>
                <w:szCs w:val="21"/>
              </w:rPr>
              <w:t>485.6</w:t>
            </w:r>
            <w:r>
              <w:rPr>
                <w:color w:val="auto"/>
                <w:szCs w:val="21"/>
              </w:rPr>
              <w:t>m</w:t>
            </w:r>
            <w:r>
              <w:rPr>
                <w:color w:val="auto"/>
                <w:szCs w:val="21"/>
                <w:vertAlign w:val="superscript"/>
              </w:rPr>
              <w:t>3</w:t>
            </w:r>
            <w:r>
              <w:rPr>
                <w:color w:val="auto"/>
                <w:szCs w:val="21"/>
              </w:rPr>
              <w:t>，则年用水量为</w:t>
            </w:r>
            <w:r>
              <w:rPr>
                <w:rFonts w:hint="eastAsia"/>
                <w:color w:val="auto"/>
                <w:szCs w:val="21"/>
              </w:rPr>
              <w:t>485.6</w:t>
            </w:r>
            <w:r>
              <w:rPr>
                <w:color w:val="auto"/>
                <w:szCs w:val="21"/>
              </w:rPr>
              <w:t>m</w:t>
            </w:r>
            <w:r>
              <w:rPr>
                <w:color w:val="auto"/>
                <w:szCs w:val="21"/>
                <w:vertAlign w:val="superscript"/>
              </w:rPr>
              <w:t>3</w:t>
            </w:r>
            <w:r>
              <w:rPr>
                <w:color w:val="auto"/>
                <w:szCs w:val="21"/>
              </w:rPr>
              <w:t>/a。</w:t>
            </w:r>
          </w:p>
          <w:p w14:paraId="22B84413">
            <w:pPr>
              <w:ind w:firstLine="482"/>
              <w:rPr>
                <w:b/>
                <w:bCs/>
                <w:color w:val="auto"/>
                <w:szCs w:val="21"/>
              </w:rPr>
            </w:pPr>
            <w:r>
              <w:rPr>
                <w:b/>
                <w:bCs/>
                <w:color w:val="auto"/>
                <w:szCs w:val="21"/>
              </w:rPr>
              <w:t>2、排水</w:t>
            </w:r>
          </w:p>
          <w:p w14:paraId="1218458D">
            <w:pPr>
              <w:ind w:firstLine="480"/>
              <w:rPr>
                <w:color w:val="auto"/>
                <w:szCs w:val="21"/>
              </w:rPr>
            </w:pPr>
            <w:r>
              <w:rPr>
                <w:color w:val="auto"/>
                <w:szCs w:val="21"/>
              </w:rPr>
              <w:t>太阳能电池板清洗用水量为</w:t>
            </w:r>
            <w:r>
              <w:rPr>
                <w:rFonts w:hint="eastAsia"/>
                <w:color w:val="auto"/>
                <w:szCs w:val="21"/>
              </w:rPr>
              <w:t>485.6</w:t>
            </w:r>
            <w:r>
              <w:rPr>
                <w:color w:val="auto"/>
                <w:szCs w:val="21"/>
              </w:rPr>
              <w:t>m</w:t>
            </w:r>
            <w:r>
              <w:rPr>
                <w:color w:val="auto"/>
                <w:szCs w:val="21"/>
                <w:vertAlign w:val="superscript"/>
              </w:rPr>
              <w:t>3</w:t>
            </w:r>
            <w:r>
              <w:rPr>
                <w:color w:val="auto"/>
                <w:szCs w:val="21"/>
              </w:rPr>
              <w:t>/a，废水产生量按90%计算，则太阳能电池板清洗废水产生量为</w:t>
            </w:r>
            <w:r>
              <w:rPr>
                <w:rFonts w:hint="eastAsia"/>
                <w:color w:val="auto"/>
                <w:szCs w:val="21"/>
              </w:rPr>
              <w:t>437</w:t>
            </w:r>
            <w:r>
              <w:rPr>
                <w:color w:val="auto"/>
                <w:szCs w:val="21"/>
              </w:rPr>
              <w:t>m</w:t>
            </w:r>
            <w:r>
              <w:rPr>
                <w:color w:val="auto"/>
                <w:szCs w:val="21"/>
                <w:vertAlign w:val="superscript"/>
              </w:rPr>
              <w:t>3</w:t>
            </w:r>
            <w:r>
              <w:rPr>
                <w:color w:val="auto"/>
                <w:szCs w:val="21"/>
              </w:rPr>
              <w:t>/a。清洗废水污染物主要为悬浮物，分散于各个片区，不含有毒物质。由于电池板清洗为清水清洗，不需添加清洗剂，性质与雨水基本相同，因此，清洗废水通过太阳能电池板落入场地土壤中，用于光伏场区植被</w:t>
            </w:r>
            <w:r>
              <w:rPr>
                <w:rFonts w:hint="eastAsia"/>
                <w:color w:val="auto"/>
                <w:szCs w:val="21"/>
              </w:rPr>
              <w:t>绿化</w:t>
            </w:r>
            <w:r>
              <w:rPr>
                <w:color w:val="auto"/>
                <w:szCs w:val="21"/>
              </w:rPr>
              <w:t>。</w:t>
            </w:r>
          </w:p>
          <w:p w14:paraId="4830F1FD">
            <w:pPr>
              <w:ind w:firstLine="480"/>
              <w:rPr>
                <w:color w:val="auto"/>
                <w:szCs w:val="21"/>
              </w:rPr>
            </w:pPr>
            <w:r>
              <w:rPr>
                <w:color w:val="auto"/>
                <w:szCs w:val="21"/>
              </w:rPr>
              <w:t>项目用排水情况详见</w:t>
            </w:r>
            <w:r>
              <w:rPr>
                <w:rFonts w:hint="eastAsia"/>
                <w:color w:val="auto"/>
                <w:szCs w:val="21"/>
              </w:rPr>
              <w:t>下</w:t>
            </w:r>
            <w:r>
              <w:rPr>
                <w:color w:val="auto"/>
                <w:szCs w:val="21"/>
              </w:rPr>
              <w:t>表。</w:t>
            </w:r>
          </w:p>
          <w:p w14:paraId="18C0407E">
            <w:pPr>
              <w:pStyle w:val="63"/>
              <w:ind w:firstLine="422"/>
              <w:rPr>
                <w:color w:val="auto"/>
                <w:szCs w:val="21"/>
              </w:rPr>
            </w:pPr>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4.6</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1</w:t>
            </w:r>
            <w:r>
              <w:rPr>
                <w:color w:val="auto"/>
                <w:szCs w:val="24"/>
              </w:rPr>
              <w:fldChar w:fldCharType="end"/>
            </w:r>
            <w:r>
              <w:rPr>
                <w:color w:val="auto"/>
                <w:szCs w:val="24"/>
              </w:rPr>
              <w:t xml:space="preserve">  </w:t>
            </w:r>
            <w:r>
              <w:rPr>
                <w:color w:val="auto"/>
                <w:szCs w:val="21"/>
              </w:rPr>
              <w:t>本项目运行期用排水情况一览表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1166"/>
              <w:gridCol w:w="1445"/>
              <w:gridCol w:w="1147"/>
              <w:gridCol w:w="920"/>
              <w:gridCol w:w="962"/>
              <w:gridCol w:w="837"/>
              <w:gridCol w:w="685"/>
            </w:tblGrid>
            <w:tr w14:paraId="3A58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86" w:type="pct"/>
                  <w:vMerge w:val="restart"/>
                  <w:vAlign w:val="center"/>
                </w:tcPr>
                <w:p w14:paraId="2276E37D">
                  <w:pPr>
                    <w:pStyle w:val="167"/>
                    <w:rPr>
                      <w:rFonts w:hAnsi="Times New Roman"/>
                      <w:b/>
                      <w:color w:val="auto"/>
                      <w:sz w:val="21"/>
                      <w:szCs w:val="21"/>
                    </w:rPr>
                  </w:pPr>
                  <w:r>
                    <w:rPr>
                      <w:rFonts w:hAnsi="Times New Roman"/>
                      <w:b/>
                      <w:color w:val="auto"/>
                      <w:sz w:val="21"/>
                      <w:szCs w:val="21"/>
                    </w:rPr>
                    <w:t>序号</w:t>
                  </w:r>
                </w:p>
              </w:tc>
              <w:tc>
                <w:tcPr>
                  <w:tcW w:w="751" w:type="pct"/>
                  <w:vMerge w:val="restart"/>
                  <w:vAlign w:val="center"/>
                </w:tcPr>
                <w:p w14:paraId="4601F15A">
                  <w:pPr>
                    <w:pStyle w:val="167"/>
                    <w:rPr>
                      <w:rFonts w:hAnsi="Times New Roman"/>
                      <w:color w:val="auto"/>
                      <w:sz w:val="21"/>
                      <w:szCs w:val="21"/>
                    </w:rPr>
                  </w:pPr>
                  <w:r>
                    <w:rPr>
                      <w:rFonts w:hAnsi="Times New Roman"/>
                      <w:b/>
                      <w:bCs/>
                      <w:color w:val="auto"/>
                      <w:sz w:val="21"/>
                      <w:szCs w:val="21"/>
                    </w:rPr>
                    <w:t>用水对</w:t>
                  </w:r>
                  <w:r>
                    <w:rPr>
                      <w:rFonts w:hint="eastAsia" w:hAnsi="Times New Roman"/>
                      <w:b/>
                      <w:bCs/>
                      <w:color w:val="auto"/>
                      <w:sz w:val="21"/>
                      <w:szCs w:val="21"/>
                    </w:rPr>
                    <w:t>象</w:t>
                  </w:r>
                </w:p>
              </w:tc>
              <w:tc>
                <w:tcPr>
                  <w:tcW w:w="931" w:type="pct"/>
                  <w:vMerge w:val="restart"/>
                  <w:vAlign w:val="center"/>
                </w:tcPr>
                <w:p w14:paraId="5394D359">
                  <w:pPr>
                    <w:pStyle w:val="167"/>
                    <w:rPr>
                      <w:rFonts w:hAnsi="Times New Roman"/>
                      <w:color w:val="auto"/>
                      <w:sz w:val="21"/>
                      <w:szCs w:val="21"/>
                    </w:rPr>
                  </w:pPr>
                  <w:r>
                    <w:rPr>
                      <w:rFonts w:hAnsi="Times New Roman"/>
                      <w:b/>
                      <w:bCs/>
                      <w:color w:val="auto"/>
                      <w:sz w:val="21"/>
                      <w:szCs w:val="21"/>
                    </w:rPr>
                    <w:t>用水情况</w:t>
                  </w:r>
                </w:p>
              </w:tc>
              <w:tc>
                <w:tcPr>
                  <w:tcW w:w="739" w:type="pct"/>
                  <w:vMerge w:val="restart"/>
                  <w:vAlign w:val="center"/>
                </w:tcPr>
                <w:p w14:paraId="0F7CEC61">
                  <w:pPr>
                    <w:pStyle w:val="167"/>
                    <w:rPr>
                      <w:rFonts w:hAnsi="Times New Roman"/>
                      <w:color w:val="auto"/>
                      <w:sz w:val="21"/>
                      <w:szCs w:val="21"/>
                    </w:rPr>
                  </w:pPr>
                  <w:r>
                    <w:rPr>
                      <w:rFonts w:hAnsi="Times New Roman"/>
                      <w:b/>
                      <w:bCs/>
                      <w:color w:val="auto"/>
                      <w:sz w:val="21"/>
                      <w:szCs w:val="21"/>
                    </w:rPr>
                    <w:t>用水指标</w:t>
                  </w:r>
                </w:p>
              </w:tc>
              <w:tc>
                <w:tcPr>
                  <w:tcW w:w="1213" w:type="pct"/>
                  <w:gridSpan w:val="2"/>
                  <w:vAlign w:val="center"/>
                </w:tcPr>
                <w:p w14:paraId="4685000F">
                  <w:pPr>
                    <w:pStyle w:val="167"/>
                    <w:rPr>
                      <w:rFonts w:hAnsi="Times New Roman"/>
                      <w:color w:val="auto"/>
                      <w:sz w:val="21"/>
                      <w:szCs w:val="21"/>
                    </w:rPr>
                  </w:pPr>
                  <w:r>
                    <w:rPr>
                      <w:rFonts w:hAnsi="Times New Roman"/>
                      <w:b/>
                      <w:bCs/>
                      <w:color w:val="auto"/>
                      <w:sz w:val="21"/>
                      <w:szCs w:val="21"/>
                    </w:rPr>
                    <w:t>用水量</w:t>
                  </w:r>
                </w:p>
              </w:tc>
              <w:tc>
                <w:tcPr>
                  <w:tcW w:w="980" w:type="pct"/>
                  <w:gridSpan w:val="2"/>
                  <w:vAlign w:val="center"/>
                </w:tcPr>
                <w:p w14:paraId="7760097A">
                  <w:pPr>
                    <w:pStyle w:val="167"/>
                    <w:rPr>
                      <w:rFonts w:hAnsi="Times New Roman"/>
                      <w:color w:val="auto"/>
                      <w:sz w:val="21"/>
                      <w:szCs w:val="21"/>
                    </w:rPr>
                  </w:pPr>
                  <w:r>
                    <w:rPr>
                      <w:rFonts w:hAnsi="Times New Roman"/>
                      <w:b/>
                      <w:bCs/>
                      <w:color w:val="auto"/>
                      <w:sz w:val="21"/>
                      <w:szCs w:val="21"/>
                    </w:rPr>
                    <w:t>废水量</w:t>
                  </w:r>
                </w:p>
              </w:tc>
            </w:tr>
            <w:tr w14:paraId="1E01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86" w:type="pct"/>
                  <w:vMerge w:val="continue"/>
                  <w:vAlign w:val="center"/>
                </w:tcPr>
                <w:p w14:paraId="6F20C31E">
                  <w:pPr>
                    <w:pStyle w:val="167"/>
                    <w:rPr>
                      <w:rFonts w:hAnsi="Times New Roman"/>
                      <w:b/>
                      <w:color w:val="auto"/>
                      <w:sz w:val="21"/>
                      <w:szCs w:val="21"/>
                    </w:rPr>
                  </w:pPr>
                </w:p>
              </w:tc>
              <w:tc>
                <w:tcPr>
                  <w:tcW w:w="751" w:type="pct"/>
                  <w:vMerge w:val="continue"/>
                  <w:vAlign w:val="center"/>
                </w:tcPr>
                <w:p w14:paraId="56EA4F22">
                  <w:pPr>
                    <w:pStyle w:val="167"/>
                    <w:rPr>
                      <w:rFonts w:hAnsi="Times New Roman"/>
                      <w:b/>
                      <w:bCs/>
                      <w:color w:val="auto"/>
                      <w:sz w:val="21"/>
                      <w:szCs w:val="21"/>
                    </w:rPr>
                  </w:pPr>
                </w:p>
              </w:tc>
              <w:tc>
                <w:tcPr>
                  <w:tcW w:w="931" w:type="pct"/>
                  <w:vMerge w:val="continue"/>
                  <w:vAlign w:val="center"/>
                </w:tcPr>
                <w:p w14:paraId="75EAA14B">
                  <w:pPr>
                    <w:pStyle w:val="167"/>
                    <w:rPr>
                      <w:rFonts w:hAnsi="Times New Roman"/>
                      <w:b/>
                      <w:bCs/>
                      <w:color w:val="auto"/>
                      <w:sz w:val="21"/>
                      <w:szCs w:val="21"/>
                    </w:rPr>
                  </w:pPr>
                </w:p>
              </w:tc>
              <w:tc>
                <w:tcPr>
                  <w:tcW w:w="739" w:type="pct"/>
                  <w:vMerge w:val="continue"/>
                  <w:vAlign w:val="center"/>
                </w:tcPr>
                <w:p w14:paraId="453AA133">
                  <w:pPr>
                    <w:pStyle w:val="167"/>
                    <w:rPr>
                      <w:rFonts w:hAnsi="Times New Roman"/>
                      <w:b/>
                      <w:bCs/>
                      <w:color w:val="auto"/>
                      <w:sz w:val="21"/>
                      <w:szCs w:val="21"/>
                    </w:rPr>
                  </w:pPr>
                </w:p>
              </w:tc>
              <w:tc>
                <w:tcPr>
                  <w:tcW w:w="593" w:type="pct"/>
                  <w:vAlign w:val="center"/>
                </w:tcPr>
                <w:p w14:paraId="7546EB2E">
                  <w:pPr>
                    <w:pStyle w:val="167"/>
                    <w:rPr>
                      <w:rFonts w:hAnsi="Times New Roman"/>
                      <w:b/>
                      <w:bCs/>
                      <w:color w:val="auto"/>
                      <w:sz w:val="21"/>
                      <w:szCs w:val="21"/>
                    </w:rPr>
                  </w:pPr>
                  <w:r>
                    <w:rPr>
                      <w:rFonts w:hAnsi="Times New Roman"/>
                      <w:b/>
                      <w:bCs/>
                      <w:color w:val="auto"/>
                      <w:sz w:val="21"/>
                      <w:szCs w:val="21"/>
                    </w:rPr>
                    <w:t>新鲜水</w:t>
                  </w:r>
                </w:p>
              </w:tc>
              <w:tc>
                <w:tcPr>
                  <w:tcW w:w="620" w:type="pct"/>
                  <w:vAlign w:val="center"/>
                </w:tcPr>
                <w:p w14:paraId="3CB932C1">
                  <w:pPr>
                    <w:pStyle w:val="167"/>
                    <w:rPr>
                      <w:rFonts w:hAnsi="Times New Roman"/>
                      <w:b/>
                      <w:bCs/>
                      <w:color w:val="auto"/>
                      <w:sz w:val="21"/>
                      <w:szCs w:val="21"/>
                    </w:rPr>
                  </w:pPr>
                  <w:r>
                    <w:rPr>
                      <w:rFonts w:hAnsi="Times New Roman"/>
                      <w:b/>
                      <w:bCs/>
                      <w:color w:val="auto"/>
                      <w:sz w:val="21"/>
                      <w:szCs w:val="21"/>
                    </w:rPr>
                    <w:t>回用水</w:t>
                  </w:r>
                </w:p>
              </w:tc>
              <w:tc>
                <w:tcPr>
                  <w:tcW w:w="539" w:type="pct"/>
                  <w:vAlign w:val="center"/>
                </w:tcPr>
                <w:p w14:paraId="27DCF772">
                  <w:pPr>
                    <w:pStyle w:val="167"/>
                    <w:rPr>
                      <w:rFonts w:hAnsi="Times New Roman"/>
                      <w:b/>
                      <w:bCs/>
                      <w:color w:val="auto"/>
                      <w:sz w:val="21"/>
                      <w:szCs w:val="21"/>
                    </w:rPr>
                  </w:pPr>
                  <w:r>
                    <w:rPr>
                      <w:rFonts w:hAnsi="Times New Roman"/>
                      <w:b/>
                      <w:bCs/>
                      <w:color w:val="auto"/>
                      <w:sz w:val="21"/>
                      <w:szCs w:val="21"/>
                    </w:rPr>
                    <w:t>回用</w:t>
                  </w:r>
                </w:p>
              </w:tc>
              <w:tc>
                <w:tcPr>
                  <w:tcW w:w="441" w:type="pct"/>
                  <w:vAlign w:val="center"/>
                </w:tcPr>
                <w:p w14:paraId="630DA861">
                  <w:pPr>
                    <w:pStyle w:val="167"/>
                    <w:rPr>
                      <w:rFonts w:hAnsi="Times New Roman"/>
                      <w:b/>
                      <w:bCs/>
                      <w:color w:val="auto"/>
                      <w:sz w:val="21"/>
                      <w:szCs w:val="21"/>
                    </w:rPr>
                  </w:pPr>
                  <w:r>
                    <w:rPr>
                      <w:rFonts w:hAnsi="Times New Roman"/>
                      <w:b/>
                      <w:bCs/>
                      <w:color w:val="auto"/>
                      <w:sz w:val="21"/>
                      <w:szCs w:val="21"/>
                    </w:rPr>
                    <w:t>外排</w:t>
                  </w:r>
                </w:p>
              </w:tc>
            </w:tr>
            <w:tr w14:paraId="403A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86" w:type="pct"/>
                  <w:vMerge w:val="continue"/>
                  <w:vAlign w:val="center"/>
                </w:tcPr>
                <w:p w14:paraId="38DFDFA5">
                  <w:pPr>
                    <w:pStyle w:val="167"/>
                    <w:rPr>
                      <w:rFonts w:hAnsi="Times New Roman"/>
                      <w:color w:val="auto"/>
                      <w:sz w:val="21"/>
                      <w:szCs w:val="21"/>
                    </w:rPr>
                  </w:pPr>
                </w:p>
              </w:tc>
              <w:tc>
                <w:tcPr>
                  <w:tcW w:w="751" w:type="pct"/>
                  <w:vMerge w:val="continue"/>
                  <w:vAlign w:val="center"/>
                </w:tcPr>
                <w:p w14:paraId="7F9381CC">
                  <w:pPr>
                    <w:pStyle w:val="167"/>
                    <w:rPr>
                      <w:rFonts w:hAnsi="Times New Roman"/>
                      <w:color w:val="auto"/>
                      <w:sz w:val="21"/>
                      <w:szCs w:val="21"/>
                    </w:rPr>
                  </w:pPr>
                </w:p>
              </w:tc>
              <w:tc>
                <w:tcPr>
                  <w:tcW w:w="931" w:type="pct"/>
                  <w:vMerge w:val="continue"/>
                  <w:vAlign w:val="center"/>
                </w:tcPr>
                <w:p w14:paraId="58E76C8A">
                  <w:pPr>
                    <w:pStyle w:val="167"/>
                    <w:rPr>
                      <w:rFonts w:hAnsi="Times New Roman"/>
                      <w:color w:val="auto"/>
                      <w:sz w:val="21"/>
                      <w:szCs w:val="21"/>
                    </w:rPr>
                  </w:pPr>
                </w:p>
              </w:tc>
              <w:tc>
                <w:tcPr>
                  <w:tcW w:w="739" w:type="pct"/>
                  <w:vMerge w:val="continue"/>
                  <w:vAlign w:val="center"/>
                </w:tcPr>
                <w:p w14:paraId="413BC6AB">
                  <w:pPr>
                    <w:pStyle w:val="167"/>
                    <w:rPr>
                      <w:rFonts w:hAnsi="Times New Roman"/>
                      <w:color w:val="auto"/>
                      <w:sz w:val="21"/>
                      <w:szCs w:val="21"/>
                    </w:rPr>
                  </w:pPr>
                </w:p>
              </w:tc>
              <w:tc>
                <w:tcPr>
                  <w:tcW w:w="593" w:type="pct"/>
                  <w:vAlign w:val="center"/>
                </w:tcPr>
                <w:p w14:paraId="2D417479">
                  <w:pPr>
                    <w:pStyle w:val="167"/>
                    <w:rPr>
                      <w:rFonts w:hAnsi="Times New Roman"/>
                      <w:color w:val="auto"/>
                      <w:sz w:val="21"/>
                      <w:szCs w:val="21"/>
                    </w:rPr>
                  </w:pPr>
                  <w:r>
                    <w:rPr>
                      <w:rFonts w:hAnsi="Times New Roman"/>
                      <w:b/>
                      <w:bCs/>
                      <w:color w:val="auto"/>
                      <w:sz w:val="21"/>
                      <w:szCs w:val="21"/>
                    </w:rPr>
                    <w:t>m</w:t>
                  </w:r>
                  <w:r>
                    <w:rPr>
                      <w:rFonts w:hAnsi="Times New Roman"/>
                      <w:b/>
                      <w:bCs/>
                      <w:color w:val="auto"/>
                      <w:sz w:val="21"/>
                      <w:szCs w:val="21"/>
                      <w:vertAlign w:val="superscript"/>
                    </w:rPr>
                    <w:t>3</w:t>
                  </w:r>
                  <w:r>
                    <w:rPr>
                      <w:rFonts w:hAnsi="Times New Roman"/>
                      <w:b/>
                      <w:bCs/>
                      <w:color w:val="auto"/>
                      <w:sz w:val="21"/>
                      <w:szCs w:val="21"/>
                    </w:rPr>
                    <w:t>/a</w:t>
                  </w:r>
                </w:p>
              </w:tc>
              <w:tc>
                <w:tcPr>
                  <w:tcW w:w="620" w:type="pct"/>
                  <w:vAlign w:val="center"/>
                </w:tcPr>
                <w:p w14:paraId="431E2471">
                  <w:pPr>
                    <w:pStyle w:val="167"/>
                    <w:rPr>
                      <w:rFonts w:hAnsi="Times New Roman"/>
                      <w:color w:val="auto"/>
                      <w:sz w:val="21"/>
                      <w:szCs w:val="21"/>
                    </w:rPr>
                  </w:pPr>
                  <w:r>
                    <w:rPr>
                      <w:rFonts w:hAnsi="Times New Roman"/>
                      <w:b/>
                      <w:bCs/>
                      <w:color w:val="auto"/>
                      <w:sz w:val="21"/>
                      <w:szCs w:val="21"/>
                    </w:rPr>
                    <w:t>m</w:t>
                  </w:r>
                  <w:r>
                    <w:rPr>
                      <w:rFonts w:hAnsi="Times New Roman"/>
                      <w:b/>
                      <w:bCs/>
                      <w:color w:val="auto"/>
                      <w:sz w:val="21"/>
                      <w:szCs w:val="21"/>
                      <w:vertAlign w:val="superscript"/>
                    </w:rPr>
                    <w:t>3</w:t>
                  </w:r>
                  <w:r>
                    <w:rPr>
                      <w:rFonts w:hAnsi="Times New Roman"/>
                      <w:b/>
                      <w:bCs/>
                      <w:color w:val="auto"/>
                      <w:sz w:val="21"/>
                      <w:szCs w:val="21"/>
                    </w:rPr>
                    <w:t>/a</w:t>
                  </w:r>
                </w:p>
              </w:tc>
              <w:tc>
                <w:tcPr>
                  <w:tcW w:w="539" w:type="pct"/>
                  <w:vAlign w:val="center"/>
                </w:tcPr>
                <w:p w14:paraId="7668DEC3">
                  <w:pPr>
                    <w:pStyle w:val="167"/>
                    <w:rPr>
                      <w:rFonts w:hAnsi="Times New Roman"/>
                      <w:color w:val="auto"/>
                      <w:sz w:val="21"/>
                      <w:szCs w:val="21"/>
                    </w:rPr>
                  </w:pPr>
                  <w:r>
                    <w:rPr>
                      <w:rFonts w:hAnsi="Times New Roman"/>
                      <w:b/>
                      <w:bCs/>
                      <w:color w:val="auto"/>
                      <w:sz w:val="21"/>
                      <w:szCs w:val="21"/>
                    </w:rPr>
                    <w:t>m</w:t>
                  </w:r>
                  <w:r>
                    <w:rPr>
                      <w:rFonts w:hAnsi="Times New Roman"/>
                      <w:b/>
                      <w:bCs/>
                      <w:color w:val="auto"/>
                      <w:sz w:val="21"/>
                      <w:szCs w:val="21"/>
                      <w:vertAlign w:val="superscript"/>
                    </w:rPr>
                    <w:t>3</w:t>
                  </w:r>
                  <w:r>
                    <w:rPr>
                      <w:rFonts w:hAnsi="Times New Roman"/>
                      <w:b/>
                      <w:bCs/>
                      <w:color w:val="auto"/>
                      <w:sz w:val="21"/>
                      <w:szCs w:val="21"/>
                    </w:rPr>
                    <w:t>/a</w:t>
                  </w:r>
                </w:p>
              </w:tc>
              <w:tc>
                <w:tcPr>
                  <w:tcW w:w="441" w:type="pct"/>
                  <w:vAlign w:val="center"/>
                </w:tcPr>
                <w:p w14:paraId="3036C545">
                  <w:pPr>
                    <w:pStyle w:val="167"/>
                    <w:rPr>
                      <w:rFonts w:hAnsi="Times New Roman"/>
                      <w:color w:val="auto"/>
                      <w:sz w:val="21"/>
                      <w:szCs w:val="21"/>
                    </w:rPr>
                  </w:pPr>
                  <w:r>
                    <w:rPr>
                      <w:rFonts w:hAnsi="Times New Roman"/>
                      <w:b/>
                      <w:bCs/>
                      <w:color w:val="auto"/>
                      <w:sz w:val="21"/>
                      <w:szCs w:val="21"/>
                    </w:rPr>
                    <w:t>m</w:t>
                  </w:r>
                  <w:r>
                    <w:rPr>
                      <w:rFonts w:hAnsi="Times New Roman"/>
                      <w:b/>
                      <w:bCs/>
                      <w:color w:val="auto"/>
                      <w:sz w:val="21"/>
                      <w:szCs w:val="21"/>
                      <w:vertAlign w:val="superscript"/>
                    </w:rPr>
                    <w:t>3</w:t>
                  </w:r>
                  <w:r>
                    <w:rPr>
                      <w:rFonts w:hAnsi="Times New Roman"/>
                      <w:b/>
                      <w:bCs/>
                      <w:color w:val="auto"/>
                      <w:sz w:val="21"/>
                      <w:szCs w:val="21"/>
                    </w:rPr>
                    <w:t>/a</w:t>
                  </w:r>
                </w:p>
              </w:tc>
            </w:tr>
            <w:tr w14:paraId="701F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6" w:type="pct"/>
                  <w:vAlign w:val="center"/>
                </w:tcPr>
                <w:p w14:paraId="252E60FF">
                  <w:pPr>
                    <w:pStyle w:val="167"/>
                    <w:rPr>
                      <w:rFonts w:hAnsi="Times New Roman"/>
                      <w:color w:val="auto"/>
                      <w:sz w:val="21"/>
                      <w:szCs w:val="21"/>
                    </w:rPr>
                  </w:pPr>
                  <w:r>
                    <w:rPr>
                      <w:rFonts w:hint="eastAsia" w:hAnsi="Times New Roman"/>
                      <w:color w:val="auto"/>
                      <w:sz w:val="21"/>
                      <w:szCs w:val="21"/>
                    </w:rPr>
                    <w:t>1</w:t>
                  </w:r>
                </w:p>
              </w:tc>
              <w:tc>
                <w:tcPr>
                  <w:tcW w:w="751" w:type="pct"/>
                  <w:vAlign w:val="center"/>
                </w:tcPr>
                <w:p w14:paraId="7F4BD2F3">
                  <w:pPr>
                    <w:pStyle w:val="167"/>
                    <w:rPr>
                      <w:rFonts w:hAnsi="Times New Roman"/>
                      <w:color w:val="auto"/>
                      <w:sz w:val="21"/>
                      <w:szCs w:val="21"/>
                    </w:rPr>
                  </w:pPr>
                  <w:r>
                    <w:rPr>
                      <w:rFonts w:hAnsi="Times New Roman"/>
                      <w:color w:val="auto"/>
                      <w:sz w:val="21"/>
                      <w:szCs w:val="21"/>
                    </w:rPr>
                    <w:t>光伏板</w:t>
                  </w:r>
                </w:p>
              </w:tc>
              <w:tc>
                <w:tcPr>
                  <w:tcW w:w="931" w:type="pct"/>
                  <w:vAlign w:val="center"/>
                </w:tcPr>
                <w:p w14:paraId="1AE8BCF3">
                  <w:pPr>
                    <w:pStyle w:val="167"/>
                    <w:rPr>
                      <w:rFonts w:hAnsi="Times New Roman"/>
                      <w:color w:val="auto"/>
                      <w:sz w:val="21"/>
                      <w:szCs w:val="21"/>
                    </w:rPr>
                  </w:pPr>
                  <w:r>
                    <w:rPr>
                      <w:rFonts w:hAnsi="Times New Roman"/>
                      <w:color w:val="auto"/>
                      <w:sz w:val="21"/>
                      <w:szCs w:val="21"/>
                    </w:rPr>
                    <w:t>323764m</w:t>
                  </w:r>
                  <w:r>
                    <w:rPr>
                      <w:rFonts w:hAnsi="Times New Roman"/>
                      <w:color w:val="auto"/>
                      <w:sz w:val="21"/>
                      <w:szCs w:val="21"/>
                      <w:vertAlign w:val="superscript"/>
                    </w:rPr>
                    <w:t>2</w:t>
                  </w:r>
                </w:p>
              </w:tc>
              <w:tc>
                <w:tcPr>
                  <w:tcW w:w="739" w:type="pct"/>
                  <w:vAlign w:val="center"/>
                </w:tcPr>
                <w:p w14:paraId="6DA575BD">
                  <w:pPr>
                    <w:pStyle w:val="167"/>
                    <w:rPr>
                      <w:rFonts w:hAnsi="Times New Roman"/>
                      <w:color w:val="auto"/>
                      <w:sz w:val="21"/>
                      <w:szCs w:val="21"/>
                    </w:rPr>
                  </w:pPr>
                  <w:r>
                    <w:rPr>
                      <w:rFonts w:hAnsi="Times New Roman"/>
                      <w:color w:val="auto"/>
                      <w:sz w:val="21"/>
                      <w:szCs w:val="21"/>
                    </w:rPr>
                    <w:t>1.5L/m</w:t>
                  </w:r>
                  <w:r>
                    <w:rPr>
                      <w:rFonts w:hAnsi="Times New Roman"/>
                      <w:color w:val="auto"/>
                      <w:sz w:val="21"/>
                      <w:szCs w:val="21"/>
                      <w:vertAlign w:val="superscript"/>
                    </w:rPr>
                    <w:t>2</w:t>
                  </w:r>
                </w:p>
              </w:tc>
              <w:tc>
                <w:tcPr>
                  <w:tcW w:w="593" w:type="pct"/>
                  <w:vAlign w:val="center"/>
                </w:tcPr>
                <w:p w14:paraId="7FA2CE17">
                  <w:pPr>
                    <w:pStyle w:val="167"/>
                    <w:rPr>
                      <w:rFonts w:hAnsi="Times New Roman"/>
                      <w:color w:val="auto"/>
                      <w:sz w:val="21"/>
                      <w:szCs w:val="21"/>
                    </w:rPr>
                  </w:pPr>
                  <w:r>
                    <w:rPr>
                      <w:rFonts w:hAnsi="Times New Roman"/>
                      <w:color w:val="auto"/>
                      <w:sz w:val="21"/>
                      <w:szCs w:val="21"/>
                    </w:rPr>
                    <w:t>485.6</w:t>
                  </w:r>
                </w:p>
              </w:tc>
              <w:tc>
                <w:tcPr>
                  <w:tcW w:w="620" w:type="pct"/>
                  <w:vAlign w:val="center"/>
                </w:tcPr>
                <w:p w14:paraId="23C94111">
                  <w:pPr>
                    <w:pStyle w:val="167"/>
                    <w:rPr>
                      <w:rFonts w:hAnsi="Times New Roman"/>
                      <w:color w:val="auto"/>
                      <w:sz w:val="21"/>
                      <w:szCs w:val="21"/>
                    </w:rPr>
                  </w:pPr>
                  <w:r>
                    <w:rPr>
                      <w:rFonts w:hAnsi="Times New Roman"/>
                      <w:color w:val="auto"/>
                      <w:sz w:val="21"/>
                      <w:szCs w:val="21"/>
                    </w:rPr>
                    <w:t>0</w:t>
                  </w:r>
                </w:p>
              </w:tc>
              <w:tc>
                <w:tcPr>
                  <w:tcW w:w="539" w:type="pct"/>
                  <w:vAlign w:val="center"/>
                </w:tcPr>
                <w:p w14:paraId="7AD1F4A0">
                  <w:pPr>
                    <w:pStyle w:val="167"/>
                    <w:rPr>
                      <w:rFonts w:hAnsi="Times New Roman"/>
                      <w:color w:val="auto"/>
                      <w:sz w:val="21"/>
                      <w:szCs w:val="21"/>
                    </w:rPr>
                  </w:pPr>
                  <w:r>
                    <w:rPr>
                      <w:rFonts w:hAnsi="Times New Roman"/>
                      <w:color w:val="auto"/>
                      <w:sz w:val="21"/>
                      <w:szCs w:val="21"/>
                    </w:rPr>
                    <w:t>437</w:t>
                  </w:r>
                </w:p>
              </w:tc>
              <w:tc>
                <w:tcPr>
                  <w:tcW w:w="441" w:type="pct"/>
                  <w:vAlign w:val="center"/>
                </w:tcPr>
                <w:p w14:paraId="63A29AF4">
                  <w:pPr>
                    <w:pStyle w:val="167"/>
                    <w:rPr>
                      <w:rFonts w:hAnsi="Times New Roman"/>
                      <w:color w:val="auto"/>
                      <w:sz w:val="21"/>
                      <w:szCs w:val="21"/>
                    </w:rPr>
                  </w:pPr>
                  <w:r>
                    <w:rPr>
                      <w:rFonts w:hint="eastAsia" w:hAnsi="Times New Roman"/>
                      <w:color w:val="auto"/>
                      <w:sz w:val="21"/>
                      <w:szCs w:val="21"/>
                    </w:rPr>
                    <w:t>0</w:t>
                  </w:r>
                </w:p>
              </w:tc>
            </w:tr>
            <w:tr w14:paraId="5575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7" w:type="pct"/>
                  <w:gridSpan w:val="4"/>
                  <w:vAlign w:val="center"/>
                </w:tcPr>
                <w:p w14:paraId="01B8037E">
                  <w:pPr>
                    <w:pStyle w:val="167"/>
                    <w:rPr>
                      <w:rFonts w:hAnsi="Times New Roman"/>
                      <w:color w:val="auto"/>
                      <w:sz w:val="21"/>
                      <w:szCs w:val="21"/>
                    </w:rPr>
                  </w:pPr>
                  <w:r>
                    <w:rPr>
                      <w:rFonts w:hAnsi="Times New Roman"/>
                      <w:color w:val="auto"/>
                      <w:sz w:val="21"/>
                      <w:szCs w:val="21"/>
                    </w:rPr>
                    <w:t>总计</w:t>
                  </w:r>
                </w:p>
              </w:tc>
              <w:tc>
                <w:tcPr>
                  <w:tcW w:w="593" w:type="pct"/>
                  <w:vAlign w:val="center"/>
                </w:tcPr>
                <w:p w14:paraId="0B6AAE0D">
                  <w:pPr>
                    <w:pStyle w:val="167"/>
                    <w:rPr>
                      <w:rFonts w:hAnsi="Times New Roman"/>
                      <w:color w:val="auto"/>
                      <w:sz w:val="21"/>
                      <w:szCs w:val="21"/>
                    </w:rPr>
                  </w:pPr>
                  <w:r>
                    <w:rPr>
                      <w:rFonts w:hAnsi="Times New Roman"/>
                      <w:color w:val="auto"/>
                      <w:sz w:val="21"/>
                      <w:szCs w:val="21"/>
                    </w:rPr>
                    <w:t>485.6</w:t>
                  </w:r>
                </w:p>
              </w:tc>
              <w:tc>
                <w:tcPr>
                  <w:tcW w:w="620" w:type="pct"/>
                  <w:vAlign w:val="center"/>
                </w:tcPr>
                <w:p w14:paraId="16A3E1D3">
                  <w:pPr>
                    <w:pStyle w:val="167"/>
                    <w:rPr>
                      <w:rFonts w:hAnsi="Times New Roman"/>
                      <w:color w:val="auto"/>
                      <w:sz w:val="21"/>
                      <w:szCs w:val="21"/>
                    </w:rPr>
                  </w:pPr>
                  <w:r>
                    <w:rPr>
                      <w:rFonts w:hint="eastAsia" w:hAnsi="Times New Roman"/>
                      <w:color w:val="auto"/>
                      <w:sz w:val="21"/>
                      <w:szCs w:val="21"/>
                    </w:rPr>
                    <w:t>0</w:t>
                  </w:r>
                </w:p>
              </w:tc>
              <w:tc>
                <w:tcPr>
                  <w:tcW w:w="539" w:type="pct"/>
                  <w:vAlign w:val="center"/>
                </w:tcPr>
                <w:p w14:paraId="281B0F7F">
                  <w:pPr>
                    <w:pStyle w:val="167"/>
                    <w:rPr>
                      <w:rFonts w:hAnsi="Times New Roman"/>
                      <w:color w:val="auto"/>
                      <w:sz w:val="21"/>
                      <w:szCs w:val="21"/>
                    </w:rPr>
                  </w:pPr>
                  <w:r>
                    <w:rPr>
                      <w:rFonts w:hAnsi="Times New Roman"/>
                      <w:color w:val="auto"/>
                      <w:sz w:val="21"/>
                      <w:szCs w:val="21"/>
                    </w:rPr>
                    <w:t>437</w:t>
                  </w:r>
                </w:p>
              </w:tc>
              <w:tc>
                <w:tcPr>
                  <w:tcW w:w="441" w:type="pct"/>
                  <w:vAlign w:val="center"/>
                </w:tcPr>
                <w:p w14:paraId="312E3A0A">
                  <w:pPr>
                    <w:pStyle w:val="167"/>
                    <w:rPr>
                      <w:rFonts w:hAnsi="Times New Roman"/>
                      <w:color w:val="auto"/>
                      <w:sz w:val="21"/>
                      <w:szCs w:val="21"/>
                    </w:rPr>
                  </w:pPr>
                  <w:r>
                    <w:rPr>
                      <w:rFonts w:hint="eastAsia" w:hAnsi="Times New Roman"/>
                      <w:color w:val="auto"/>
                      <w:sz w:val="21"/>
                      <w:szCs w:val="21"/>
                    </w:rPr>
                    <w:t>0</w:t>
                  </w:r>
                </w:p>
              </w:tc>
            </w:tr>
          </w:tbl>
          <w:p w14:paraId="14962379">
            <w:pPr>
              <w:pStyle w:val="167"/>
              <w:ind w:firstLine="480"/>
              <w:rPr>
                <w:rFonts w:hAnsi="Times New Roman"/>
                <w:color w:val="auto"/>
                <w:szCs w:val="21"/>
              </w:rPr>
            </w:pPr>
          </w:p>
          <w:p w14:paraId="5EDB938D">
            <w:pPr>
              <w:pStyle w:val="65"/>
              <w:rPr>
                <w:color w:val="auto"/>
                <w:szCs w:val="21"/>
              </w:rPr>
            </w:pPr>
            <w:r>
              <w:rPr>
                <w:color w:val="auto"/>
              </w:rPr>
              <w:drawing>
                <wp:inline distT="0" distB="0" distL="0" distR="0">
                  <wp:extent cx="3547745" cy="778510"/>
                  <wp:effectExtent l="0" t="0" r="14605" b="2540"/>
                  <wp:docPr id="1211112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12497" name="图片 1"/>
                          <pic:cNvPicPr>
                            <a:picLocks noChangeAspect="1"/>
                          </pic:cNvPicPr>
                        </pic:nvPicPr>
                        <pic:blipFill>
                          <a:blip r:embed="rId50"/>
                          <a:stretch>
                            <a:fillRect/>
                          </a:stretch>
                        </pic:blipFill>
                        <pic:spPr>
                          <a:xfrm>
                            <a:off x="0" y="0"/>
                            <a:ext cx="3547745" cy="781966"/>
                          </a:xfrm>
                          <a:prstGeom prst="rect">
                            <a:avLst/>
                          </a:prstGeom>
                        </pic:spPr>
                      </pic:pic>
                    </a:graphicData>
                  </a:graphic>
                </wp:inline>
              </w:drawing>
            </w:r>
          </w:p>
          <w:p w14:paraId="28B863B6">
            <w:pPr>
              <w:pStyle w:val="63"/>
              <w:rPr>
                <w:color w:val="auto"/>
                <w:szCs w:val="21"/>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4.6</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color w:val="auto"/>
                <w:szCs w:val="21"/>
              </w:rPr>
              <w:t xml:space="preserve">项目水平衡图   </w:t>
            </w:r>
            <w:r>
              <w:rPr>
                <w:rFonts w:hint="eastAsia"/>
                <w:color w:val="auto"/>
                <w:szCs w:val="21"/>
              </w:rPr>
              <w:t>单位：</w:t>
            </w:r>
            <w:r>
              <w:rPr>
                <w:color w:val="auto"/>
                <w:szCs w:val="21"/>
              </w:rPr>
              <w:t>m</w:t>
            </w:r>
            <w:r>
              <w:rPr>
                <w:color w:val="auto"/>
                <w:szCs w:val="21"/>
                <w:vertAlign w:val="superscript"/>
              </w:rPr>
              <w:t>3</w:t>
            </w:r>
            <w:r>
              <w:rPr>
                <w:color w:val="auto"/>
                <w:szCs w:val="21"/>
              </w:rPr>
              <w:t>/a</w:t>
            </w:r>
          </w:p>
          <w:p w14:paraId="44D60EA4">
            <w:pPr>
              <w:ind w:firstLine="480"/>
              <w:rPr>
                <w:color w:val="auto"/>
                <w:szCs w:val="21"/>
              </w:rPr>
            </w:pPr>
            <w:r>
              <w:rPr>
                <w:color w:val="auto"/>
                <w:szCs w:val="21"/>
              </w:rPr>
              <w:t>综上可知，</w:t>
            </w:r>
            <w:r>
              <w:rPr>
                <w:rFonts w:hint="eastAsia"/>
                <w:color w:val="auto"/>
                <w:szCs w:val="21"/>
              </w:rPr>
              <w:t>本项目无新增劳动定员，无新增生活污水；</w:t>
            </w:r>
            <w:r>
              <w:rPr>
                <w:color w:val="auto"/>
                <w:szCs w:val="21"/>
              </w:rPr>
              <w:t>工程运行期年用水量大于废水产生量，运行期可实现水量平衡。</w:t>
            </w:r>
          </w:p>
          <w:p w14:paraId="62FC7507">
            <w:pPr>
              <w:ind w:firstLine="482"/>
              <w:rPr>
                <w:b/>
                <w:bCs/>
                <w:color w:val="auto"/>
                <w:szCs w:val="21"/>
              </w:rPr>
            </w:pPr>
            <w:r>
              <w:rPr>
                <w:b/>
                <w:bCs/>
                <w:color w:val="auto"/>
                <w:szCs w:val="21"/>
              </w:rPr>
              <w:t>3、废水回用可行性</w:t>
            </w:r>
          </w:p>
          <w:p w14:paraId="0A228A61">
            <w:pPr>
              <w:ind w:firstLine="480"/>
              <w:rPr>
                <w:rFonts w:cs="Times New Roman"/>
                <w:color w:val="auto"/>
                <w:szCs w:val="21"/>
              </w:rPr>
            </w:pPr>
            <w:r>
              <w:rPr>
                <w:rFonts w:hint="eastAsia" w:cs="Times New Roman"/>
                <w:color w:val="auto"/>
                <w:szCs w:val="21"/>
              </w:rPr>
              <w:t>产生的废水顺电池组件倾斜角度直接淋洒于下方茶树上，不外排。从水质情况看，由于组件清洗过程中不添加清洗剂，产生的废水无特殊污染物，主要为SS，且光伏板最外层主要为特种钢化玻璃，清洗过程中不会含有锈等金属污染物，用于茶树浇洒不会对阐述生长造成不良影响，也不会对项目区土壤造成严重污染，清洗废水被光伏板下茶树吸收后不会直接进入地表水体。从废水产生量的角度，由于组件清洗废水是分散产生的，每平方米组件清洗用水量仅1.5L/（m</w:t>
            </w:r>
            <w:r>
              <w:rPr>
                <w:rFonts w:hint="eastAsia" w:cs="Times New Roman"/>
                <w:color w:val="auto"/>
                <w:szCs w:val="21"/>
                <w:vertAlign w:val="superscript"/>
              </w:rPr>
              <w:t>2</w:t>
            </w:r>
            <w:r>
              <w:rPr>
                <w:rFonts w:hint="eastAsia" w:cs="Times New Roman"/>
                <w:color w:val="auto"/>
                <w:szCs w:val="21"/>
              </w:rPr>
              <w:t>.次），而参照《云南省地方标准用水定额》（DB53/T168-2019），绿化灌溉用水量定额为3L/（m</w:t>
            </w:r>
            <w:r>
              <w:rPr>
                <w:rFonts w:hint="eastAsia" w:cs="Times New Roman"/>
                <w:color w:val="auto"/>
                <w:szCs w:val="21"/>
                <w:vertAlign w:val="superscript"/>
              </w:rPr>
              <w:t>2</w:t>
            </w:r>
            <w:r>
              <w:rPr>
                <w:rFonts w:hint="eastAsia" w:cs="Times New Roman"/>
                <w:color w:val="auto"/>
                <w:szCs w:val="21"/>
              </w:rPr>
              <w:t>.次），光伏组件清洗仅在非雨天进行，清洗废水污染物成分简单，主要污染物是悬浮物，清洗废水经光伏板流入下方茶树地，用于浇灌用水，不外排，对项目区水环境影响不大，因此，光伏板清洗废水回用是可行的。</w:t>
            </w:r>
          </w:p>
          <w:p w14:paraId="6A234FE0">
            <w:pPr>
              <w:ind w:firstLine="482"/>
              <w:rPr>
                <w:b/>
                <w:bCs/>
                <w:color w:val="auto"/>
              </w:rPr>
            </w:pPr>
            <w:r>
              <w:rPr>
                <w:rFonts w:hint="eastAsia"/>
                <w:b/>
                <w:bCs/>
                <w:color w:val="auto"/>
              </w:rPr>
              <w:t>4</w:t>
            </w:r>
            <w:r>
              <w:rPr>
                <w:b/>
                <w:bCs/>
                <w:color w:val="auto"/>
              </w:rPr>
              <w:t>、</w:t>
            </w:r>
            <w:r>
              <w:rPr>
                <w:rFonts w:hint="eastAsia"/>
                <w:b/>
                <w:bCs/>
                <w:color w:val="auto"/>
              </w:rPr>
              <w:t>项目运营期对周边水体影响分析</w:t>
            </w:r>
          </w:p>
          <w:p w14:paraId="3B9A1F35">
            <w:pPr>
              <w:ind w:firstLine="480"/>
              <w:rPr>
                <w:color w:val="auto"/>
              </w:rPr>
            </w:pPr>
            <w:r>
              <w:rPr>
                <w:color w:val="auto"/>
              </w:rPr>
              <w:t>项目周边主要地表水体为</w:t>
            </w:r>
            <w:r>
              <w:rPr>
                <w:rFonts w:hint="eastAsia"/>
                <w:color w:val="auto"/>
              </w:rPr>
              <w:t>沙乐河（S10方阵用地红线东南侧距离约1.24km）、磨房河（S12方阵用地红线南侧距离约43m，S18方阵用地红线南侧距离约307m）、安照河（S11方阵用地红线西南侧距离约43m）和澜沧江（S21方阵用地红线西南侧距离约4.7km）。根据《</w:t>
            </w:r>
            <w:r>
              <w:rPr>
                <w:color w:val="auto"/>
              </w:rPr>
              <w:fldChar w:fldCharType="begin"/>
            </w:r>
            <w:r>
              <w:rPr>
                <w:color w:val="auto"/>
              </w:rPr>
              <w:instrText xml:space="preserve"> </w:instrText>
            </w:r>
            <w:r>
              <w:rPr>
                <w:rFonts w:hint="eastAsia"/>
                <w:color w:val="auto"/>
              </w:rPr>
              <w:instrText xml:space="preserve">REF _Ref218542484 \h</w:instrText>
            </w:r>
            <w:r>
              <w:rPr>
                <w:color w:val="auto"/>
              </w:rPr>
              <w:instrText xml:space="preserve"> </w:instrText>
            </w:r>
            <w:r>
              <w:rPr>
                <w:color w:val="auto"/>
              </w:rPr>
              <w:fldChar w:fldCharType="separate"/>
            </w:r>
            <w:r>
              <w:rPr>
                <w:rFonts w:hint="eastAsia"/>
                <w:color w:val="auto"/>
              </w:rPr>
              <w:t>大理白族自治州生态环境局南涧分局关于沙乐光伏发电项目二次选址的意见</w:t>
            </w:r>
            <w:r>
              <w:rPr>
                <w:color w:val="auto"/>
              </w:rPr>
              <w:fldChar w:fldCharType="end"/>
            </w:r>
            <w:r>
              <w:rPr>
                <w:rFonts w:hint="eastAsia"/>
                <w:color w:val="auto"/>
              </w:rPr>
              <w:t>》，项目区范围内不涉及饮用水水源保护区范围。光伏组件清洗废水通过光伏组件落入场地土壤中，用于光伏场区植被绿化，不外排。</w:t>
            </w:r>
          </w:p>
          <w:p w14:paraId="22AC0507">
            <w:pPr>
              <w:ind w:firstLine="480"/>
              <w:rPr>
                <w:color w:val="auto"/>
              </w:rPr>
            </w:pPr>
            <w:r>
              <w:rPr>
                <w:color w:val="auto"/>
              </w:rPr>
              <w:t>综上所述，项目</w:t>
            </w:r>
            <w:r>
              <w:rPr>
                <w:rFonts w:hint="eastAsia"/>
                <w:color w:val="auto"/>
              </w:rPr>
              <w:t>运营期</w:t>
            </w:r>
            <w:r>
              <w:rPr>
                <w:color w:val="auto"/>
              </w:rPr>
              <w:t>产生的废水</w:t>
            </w:r>
            <w:r>
              <w:rPr>
                <w:rFonts w:hint="eastAsia"/>
                <w:color w:val="auto"/>
              </w:rPr>
              <w:t>均</w:t>
            </w:r>
            <w:r>
              <w:rPr>
                <w:color w:val="auto"/>
              </w:rPr>
              <w:t>得到妥善处理，</w:t>
            </w:r>
            <w:r>
              <w:rPr>
                <w:rFonts w:hint="eastAsia"/>
                <w:color w:val="auto"/>
              </w:rPr>
              <w:t>污水不排入周边地表水体，对项目周边地表水体的水质、水量影响</w:t>
            </w:r>
            <w:r>
              <w:rPr>
                <w:color w:val="auto"/>
              </w:rPr>
              <w:t>较小。</w:t>
            </w:r>
          </w:p>
          <w:p w14:paraId="3C49B00A">
            <w:pPr>
              <w:pStyle w:val="4"/>
              <w:spacing w:before="48" w:after="48"/>
              <w:rPr>
                <w:color w:val="auto"/>
              </w:rPr>
            </w:pPr>
            <w:bookmarkStart w:id="1099" w:name="_Toc27442"/>
            <w:bookmarkStart w:id="1100" w:name="_Toc112165666"/>
            <w:bookmarkStart w:id="1101" w:name="_Toc28149"/>
            <w:bookmarkStart w:id="1102" w:name="_Toc156144186"/>
            <w:bookmarkStart w:id="1103" w:name="_Toc158491293"/>
            <w:bookmarkStart w:id="1104" w:name="_Toc136794222"/>
            <w:bookmarkStart w:id="1105" w:name="_Toc159349061"/>
            <w:bookmarkStart w:id="1106" w:name="_Toc160473832"/>
            <w:bookmarkStart w:id="1107" w:name="_Toc160730908"/>
            <w:bookmarkStart w:id="1108" w:name="_Toc112424303"/>
            <w:bookmarkStart w:id="1109" w:name="_Toc112173961"/>
            <w:bookmarkStart w:id="1110" w:name="_Toc136794347"/>
            <w:bookmarkStart w:id="1111" w:name="_Toc156137872"/>
            <w:bookmarkStart w:id="1112" w:name="_Toc161415586"/>
            <w:bookmarkStart w:id="1113" w:name="_Toc177482914"/>
            <w:bookmarkStart w:id="1114" w:name="_Toc177488226"/>
            <w:bookmarkStart w:id="1115" w:name="_Toc177072414"/>
            <w:bookmarkStart w:id="1116" w:name="_Toc181732829"/>
            <w:bookmarkStart w:id="1117" w:name="_Toc177072842"/>
            <w:bookmarkStart w:id="1118" w:name="_Toc181293551"/>
            <w:bookmarkStart w:id="1119" w:name="_Toc181738236"/>
            <w:r>
              <w:rPr>
                <w:color w:val="auto"/>
              </w:rPr>
              <w:t>声环境影响分析</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71F348F2">
            <w:pPr>
              <w:ind w:firstLine="482"/>
              <w:rPr>
                <w:b/>
                <w:bCs/>
                <w:color w:val="auto"/>
                <w:szCs w:val="21"/>
              </w:rPr>
            </w:pPr>
            <w:r>
              <w:rPr>
                <w:rFonts w:hint="eastAsia"/>
                <w:b/>
                <w:bCs/>
                <w:color w:val="auto"/>
                <w:szCs w:val="21"/>
              </w:rPr>
              <w:t>（1）噪声源强</w:t>
            </w:r>
          </w:p>
          <w:p w14:paraId="1D425989">
            <w:pPr>
              <w:ind w:firstLine="480"/>
              <w:rPr>
                <w:color w:val="auto"/>
                <w:szCs w:val="21"/>
              </w:rPr>
            </w:pPr>
            <w:r>
              <w:rPr>
                <w:color w:val="auto"/>
                <w:szCs w:val="21"/>
              </w:rPr>
              <w:t>拟建项目运营期</w:t>
            </w:r>
            <w:r>
              <w:rPr>
                <w:rFonts w:hint="eastAsia"/>
                <w:color w:val="auto"/>
                <w:szCs w:val="21"/>
              </w:rPr>
              <w:t>光伏板区和地埋电缆</w:t>
            </w:r>
            <w:r>
              <w:rPr>
                <w:color w:val="auto"/>
                <w:szCs w:val="21"/>
              </w:rPr>
              <w:t>基本没有机械传动或运动部件，设备噪声源强较小</w:t>
            </w:r>
            <w:r>
              <w:rPr>
                <w:rFonts w:hint="eastAsia"/>
                <w:color w:val="auto"/>
                <w:szCs w:val="21"/>
              </w:rPr>
              <w:t>，光伏发电运行过程中产生噪声的声源有箱变、逆变器，类比同类项目，本项目箱变、逆变器选用噪声值均为50dB（A）~65dB（A）</w:t>
            </w:r>
            <w:r>
              <w:rPr>
                <w:color w:val="auto"/>
                <w:szCs w:val="21"/>
              </w:rPr>
              <w:t>。</w:t>
            </w:r>
          </w:p>
          <w:p w14:paraId="1571ACB9">
            <w:pPr>
              <w:ind w:firstLine="482"/>
              <w:rPr>
                <w:b/>
                <w:bCs/>
                <w:color w:val="auto"/>
                <w:szCs w:val="21"/>
              </w:rPr>
            </w:pPr>
            <w:r>
              <w:rPr>
                <w:rFonts w:hint="eastAsia"/>
                <w:b/>
                <w:bCs/>
                <w:color w:val="auto"/>
                <w:szCs w:val="21"/>
              </w:rPr>
              <w:t>（2）影响分析</w:t>
            </w:r>
          </w:p>
          <w:p w14:paraId="44FBE16A">
            <w:pPr>
              <w:adjustRightInd w:val="0"/>
              <w:ind w:firstLine="480"/>
              <w:rPr>
                <w:color w:val="auto"/>
                <w:szCs w:val="21"/>
              </w:rPr>
            </w:pPr>
            <w:r>
              <w:rPr>
                <w:rFonts w:cs="Times New Roman"/>
                <w:color w:val="auto"/>
                <w:szCs w:val="21"/>
              </w:rPr>
              <w:t>本环评采用噪声衰减模型对噪声影响进行预测。</w:t>
            </w:r>
          </w:p>
          <w:p w14:paraId="0E037FCB">
            <w:pPr>
              <w:adjustRightInd w:val="0"/>
              <w:ind w:firstLine="480"/>
              <w:jc w:val="center"/>
              <w:rPr>
                <w:bCs/>
                <w:color w:val="auto"/>
                <w:szCs w:val="21"/>
              </w:rPr>
            </w:pPr>
            <w:r>
              <w:rPr>
                <w:rFonts w:cs="Times New Roman"/>
                <w:bCs/>
                <w:color w:val="auto"/>
                <w:position w:val="-10"/>
                <w:szCs w:val="21"/>
              </w:rPr>
              <w:object>
                <v:shape id="_x0000_i1026" o:spt="75" type="#_x0000_t75" style="height:15.75pt;width:149.25pt;" o:ole="t" filled="f" o:preferrelative="t" stroked="f" coordsize="21600,21600">
                  <v:path/>
                  <v:fill on="f" focussize="0,0"/>
                  <v:stroke on="f" joinstyle="miter"/>
                  <v:imagedata r:id="rId52" o:title=""/>
                  <o:lock v:ext="edit" aspectratio="t"/>
                  <w10:wrap type="none"/>
                  <w10:anchorlock/>
                </v:shape>
                <o:OLEObject Type="Embed" ProgID="Equation.3" ShapeID="_x0000_i1026" DrawAspect="Content" ObjectID="_1468075725" r:id="rId51">
                  <o:LockedField>false</o:LockedField>
                </o:OLEObject>
              </w:object>
            </w:r>
          </w:p>
          <w:p w14:paraId="374A51E2">
            <w:pPr>
              <w:adjustRightInd w:val="0"/>
              <w:ind w:firstLine="480"/>
              <w:rPr>
                <w:bCs/>
                <w:color w:val="auto"/>
                <w:szCs w:val="21"/>
              </w:rPr>
            </w:pPr>
            <w:r>
              <w:rPr>
                <w:rFonts w:cs="Times New Roman"/>
                <w:bCs/>
                <w:color w:val="auto"/>
                <w:szCs w:val="21"/>
              </w:rPr>
              <w:t>式中：Lr—点源在预测点产生的声压级，dB（A）；</w:t>
            </w:r>
          </w:p>
          <w:p w14:paraId="39341B5A">
            <w:pPr>
              <w:adjustRightInd w:val="0"/>
              <w:ind w:firstLine="480"/>
              <w:rPr>
                <w:bCs/>
                <w:color w:val="auto"/>
                <w:szCs w:val="21"/>
              </w:rPr>
            </w:pPr>
            <w:r>
              <w:rPr>
                <w:rFonts w:cs="Times New Roman"/>
                <w:bCs/>
                <w:color w:val="auto"/>
                <w:szCs w:val="21"/>
              </w:rPr>
              <w:t xml:space="preserve">      Lr</w:t>
            </w:r>
            <w:r>
              <w:rPr>
                <w:rFonts w:cs="Times New Roman"/>
                <w:bCs/>
                <w:color w:val="auto"/>
                <w:szCs w:val="21"/>
                <w:vertAlign w:val="subscript"/>
              </w:rPr>
              <w:t>0</w:t>
            </w:r>
            <w:r>
              <w:rPr>
                <w:rFonts w:cs="Times New Roman"/>
                <w:bCs/>
                <w:color w:val="auto"/>
                <w:szCs w:val="21"/>
              </w:rPr>
              <w:t>—参考位置处的声压级，dB（A）；</w:t>
            </w:r>
          </w:p>
          <w:p w14:paraId="1F0A13C7">
            <w:pPr>
              <w:adjustRightInd w:val="0"/>
              <w:ind w:firstLine="480"/>
              <w:rPr>
                <w:bCs/>
                <w:color w:val="auto"/>
                <w:szCs w:val="21"/>
              </w:rPr>
            </w:pPr>
            <w:r>
              <w:rPr>
                <w:rFonts w:cs="Times New Roman"/>
                <w:bCs/>
                <w:color w:val="auto"/>
                <w:szCs w:val="21"/>
              </w:rPr>
              <w:t xml:space="preserve">      r—预测点与声源之间的距离，m；</w:t>
            </w:r>
          </w:p>
          <w:p w14:paraId="60A58917">
            <w:pPr>
              <w:adjustRightInd w:val="0"/>
              <w:ind w:firstLine="480"/>
              <w:rPr>
                <w:bCs/>
                <w:color w:val="auto"/>
                <w:szCs w:val="21"/>
              </w:rPr>
            </w:pPr>
            <w:r>
              <w:rPr>
                <w:rFonts w:cs="Times New Roman"/>
                <w:bCs/>
                <w:color w:val="auto"/>
                <w:szCs w:val="21"/>
              </w:rPr>
              <w:t xml:space="preserve">      r</w:t>
            </w:r>
            <w:r>
              <w:rPr>
                <w:rFonts w:cs="Times New Roman"/>
                <w:bCs/>
                <w:color w:val="auto"/>
                <w:szCs w:val="21"/>
                <w:vertAlign w:val="subscript"/>
              </w:rPr>
              <w:t>0</w:t>
            </w:r>
            <w:r>
              <w:rPr>
                <w:rFonts w:cs="Times New Roman"/>
                <w:bCs/>
                <w:color w:val="auto"/>
                <w:szCs w:val="21"/>
              </w:rPr>
              <w:t>—参考位置测点与声源之间的距离，m；</w:t>
            </w:r>
          </w:p>
          <w:p w14:paraId="4989225A">
            <w:pPr>
              <w:adjustRightInd w:val="0"/>
              <w:ind w:firstLine="480"/>
              <w:rPr>
                <w:color w:val="auto"/>
                <w:szCs w:val="21"/>
              </w:rPr>
            </w:pPr>
            <w:r>
              <w:rPr>
                <w:rFonts w:cs="Times New Roman"/>
                <w:bCs/>
                <w:color w:val="auto"/>
                <w:szCs w:val="21"/>
              </w:rPr>
              <w:t xml:space="preserve">      ΔL—</w:t>
            </w:r>
            <w:r>
              <w:rPr>
                <w:rFonts w:cs="Times New Roman"/>
                <w:color w:val="auto"/>
                <w:szCs w:val="21"/>
              </w:rPr>
              <w:t>各种因素引起的衰减量（包括声屏障、遮挡物、空气吸收、地面效应引起的衰减量）。本项目</w:t>
            </w:r>
            <w:r>
              <w:rPr>
                <w:rFonts w:cs="Times New Roman"/>
                <w:bCs/>
                <w:color w:val="auto"/>
                <w:szCs w:val="21"/>
              </w:rPr>
              <w:t>ΔL</w:t>
            </w:r>
            <w:r>
              <w:rPr>
                <w:rFonts w:cs="Times New Roman"/>
                <w:color w:val="auto"/>
                <w:szCs w:val="21"/>
              </w:rPr>
              <w:t>取0dB(A)。</w:t>
            </w:r>
          </w:p>
          <w:p w14:paraId="2CF7BF39">
            <w:pPr>
              <w:adjustRightInd w:val="0"/>
              <w:ind w:firstLine="480"/>
              <w:rPr>
                <w:color w:val="auto"/>
                <w:szCs w:val="21"/>
              </w:rPr>
            </w:pPr>
            <w:r>
              <w:rPr>
                <w:rFonts w:cs="Times New Roman"/>
                <w:color w:val="auto"/>
                <w:szCs w:val="21"/>
              </w:rPr>
              <w:t>噪声叠加公式：</w:t>
            </w:r>
          </w:p>
          <w:p w14:paraId="376FB018">
            <w:pPr>
              <w:adjustRightInd w:val="0"/>
              <w:ind w:firstLine="480"/>
              <w:jc w:val="center"/>
              <w:rPr>
                <w:bCs/>
                <w:color w:val="auto"/>
                <w:position w:val="-10"/>
                <w:szCs w:val="21"/>
              </w:rPr>
            </w:pPr>
            <w:r>
              <w:rPr>
                <w:rFonts w:cs="Times New Roman"/>
                <w:bCs/>
                <w:color w:val="auto"/>
                <w:position w:val="-28"/>
                <w:szCs w:val="21"/>
              </w:rPr>
              <w:object>
                <v:shape id="_x0000_i1027" o:spt="75" type="#_x0000_t75" style="height:36pt;width:103.5pt;" o:ole="t" filled="f" o:preferrelative="t" stroked="f" coordsize="21600,21600">
                  <v:path/>
                  <v:fill on="f" focussize="0,0"/>
                  <v:stroke on="f" joinstyle="miter"/>
                  <v:imagedata r:id="rId54" o:title=""/>
                  <o:lock v:ext="edit" aspectratio="t"/>
                  <w10:wrap type="none"/>
                  <w10:anchorlock/>
                </v:shape>
                <o:OLEObject Type="Embed" ProgID="Equation.KSEE3" ShapeID="_x0000_i1027" DrawAspect="Content" ObjectID="_1468075726" r:id="rId53">
                  <o:LockedField>false</o:LockedField>
                </o:OLEObject>
              </w:object>
            </w:r>
          </w:p>
          <w:p w14:paraId="52C36002">
            <w:pPr>
              <w:adjustRightInd w:val="0"/>
              <w:ind w:firstLine="480"/>
              <w:rPr>
                <w:bCs/>
                <w:color w:val="auto"/>
                <w:szCs w:val="21"/>
              </w:rPr>
            </w:pPr>
            <w:r>
              <w:rPr>
                <w:rFonts w:cs="Times New Roman"/>
                <w:bCs/>
                <w:color w:val="auto"/>
                <w:szCs w:val="21"/>
              </w:rPr>
              <w:t>式中：L—噪声源叠加声级值，dB（A）；</w:t>
            </w:r>
          </w:p>
          <w:p w14:paraId="2C471E05">
            <w:pPr>
              <w:adjustRightInd w:val="0"/>
              <w:ind w:firstLine="480"/>
              <w:rPr>
                <w:bCs/>
                <w:color w:val="auto"/>
                <w:szCs w:val="21"/>
              </w:rPr>
            </w:pPr>
            <w:r>
              <w:rPr>
                <w:rFonts w:cs="Times New Roman"/>
                <w:bCs/>
                <w:color w:val="auto"/>
                <w:szCs w:val="21"/>
              </w:rPr>
              <w:t xml:space="preserve">      Li—每台设备最大声级值，dB（A）；</w:t>
            </w:r>
          </w:p>
          <w:p w14:paraId="3F5771DE">
            <w:pPr>
              <w:ind w:firstLine="1200" w:firstLineChars="500"/>
              <w:rPr>
                <w:color w:val="auto"/>
                <w:szCs w:val="21"/>
              </w:rPr>
            </w:pPr>
            <w:r>
              <w:rPr>
                <w:rFonts w:cs="Times New Roman"/>
                <w:bCs/>
                <w:color w:val="auto"/>
                <w:szCs w:val="21"/>
              </w:rPr>
              <w:t>n—设备总台数，m。</w:t>
            </w:r>
          </w:p>
          <w:p w14:paraId="18B83980">
            <w:pPr>
              <w:adjustRightInd w:val="0"/>
              <w:ind w:firstLine="480"/>
              <w:rPr>
                <w:color w:val="auto"/>
                <w:szCs w:val="24"/>
              </w:rPr>
            </w:pPr>
            <w:r>
              <w:rPr>
                <w:rFonts w:cs="Times New Roman"/>
                <w:color w:val="auto"/>
                <w:szCs w:val="21"/>
              </w:rPr>
              <w:t>项目主要设备分布</w:t>
            </w:r>
            <w:r>
              <w:rPr>
                <w:rFonts w:hint="eastAsia" w:cs="Times New Roman"/>
                <w:color w:val="auto"/>
                <w:szCs w:val="21"/>
              </w:rPr>
              <w:t>情况、</w:t>
            </w:r>
            <w:r>
              <w:rPr>
                <w:rFonts w:cs="Times New Roman"/>
                <w:color w:val="auto"/>
                <w:szCs w:val="21"/>
              </w:rPr>
              <w:t>噪声源</w:t>
            </w:r>
            <w:r>
              <w:rPr>
                <w:rFonts w:hint="eastAsia" w:cs="Times New Roman"/>
                <w:color w:val="auto"/>
                <w:szCs w:val="21"/>
              </w:rPr>
              <w:t>以及</w:t>
            </w:r>
            <w:r>
              <w:rPr>
                <w:rFonts w:cs="Times New Roman"/>
                <w:color w:val="auto"/>
                <w:szCs w:val="21"/>
              </w:rPr>
              <w:t>预测结果见</w:t>
            </w:r>
            <w:r>
              <w:rPr>
                <w:rFonts w:cs="Times New Roman"/>
                <w:color w:val="auto"/>
                <w:szCs w:val="21"/>
              </w:rPr>
              <w:fldChar w:fldCharType="begin"/>
            </w:r>
            <w:r>
              <w:rPr>
                <w:rFonts w:cs="Times New Roman"/>
                <w:color w:val="auto"/>
                <w:szCs w:val="21"/>
              </w:rPr>
              <w:instrText xml:space="preserve"> REF _Ref159142884 \h  \* MERGEFORMAT </w:instrText>
            </w:r>
            <w:r>
              <w:rPr>
                <w:rFonts w:cs="Times New Roman"/>
                <w:color w:val="auto"/>
                <w:szCs w:val="21"/>
              </w:rPr>
              <w:fldChar w:fldCharType="separate"/>
            </w:r>
            <w:r>
              <w:rPr>
                <w:color w:val="auto"/>
                <w:szCs w:val="24"/>
              </w:rPr>
              <w:t>表 4.6</w:t>
            </w:r>
            <w:r>
              <w:rPr>
                <w:color w:val="auto"/>
                <w:szCs w:val="24"/>
              </w:rPr>
              <w:noBreakHyphen/>
            </w:r>
            <w:r>
              <w:rPr>
                <w:color w:val="auto"/>
                <w:szCs w:val="24"/>
              </w:rPr>
              <w:t>2</w:t>
            </w:r>
            <w:r>
              <w:rPr>
                <w:rFonts w:cs="Times New Roman"/>
                <w:color w:val="auto"/>
                <w:szCs w:val="21"/>
              </w:rPr>
              <w:fldChar w:fldCharType="end"/>
            </w:r>
            <w:r>
              <w:rPr>
                <w:rFonts w:cs="Times New Roman"/>
                <w:color w:val="auto"/>
                <w:szCs w:val="21"/>
              </w:rPr>
              <w:t>。</w:t>
            </w:r>
          </w:p>
          <w:p w14:paraId="6E82B3E5">
            <w:pPr>
              <w:adjustRightInd w:val="0"/>
              <w:ind w:firstLine="482" w:firstLineChars="0"/>
              <w:rPr>
                <w:b/>
                <w:bCs/>
                <w:color w:val="auto"/>
                <w:szCs w:val="21"/>
              </w:rPr>
            </w:pPr>
            <w:r>
              <w:rPr>
                <w:rFonts w:hint="eastAsia" w:cs="Times New Roman"/>
                <w:b/>
                <w:bCs/>
                <w:color w:val="auto"/>
                <w:szCs w:val="21"/>
              </w:rPr>
              <w:t>1）</w:t>
            </w:r>
            <w:r>
              <w:rPr>
                <w:rFonts w:hint="eastAsia"/>
                <w:b/>
                <w:bCs/>
                <w:color w:val="auto"/>
                <w:szCs w:val="21"/>
              </w:rPr>
              <w:t>光伏阵列区</w:t>
            </w:r>
          </w:p>
          <w:p w14:paraId="273C5493">
            <w:pPr>
              <w:ind w:firstLine="480"/>
              <w:rPr>
                <w:color w:val="auto"/>
              </w:rPr>
            </w:pPr>
            <w:r>
              <w:rPr>
                <w:color w:val="auto"/>
              </w:rPr>
              <w:t>项目运营期的噪声源主要为</w:t>
            </w:r>
            <w:r>
              <w:rPr>
                <w:rFonts w:hint="eastAsia"/>
                <w:color w:val="auto"/>
              </w:rPr>
              <w:t>光伏板区</w:t>
            </w:r>
            <w:r>
              <w:rPr>
                <w:color w:val="auto"/>
              </w:rPr>
              <w:t>设备运行噪声，主要为电站箱式变压器和逆变器</w:t>
            </w:r>
            <w:r>
              <w:rPr>
                <w:rFonts w:hint="eastAsia"/>
                <w:color w:val="auto"/>
              </w:rPr>
              <w:t>等</w:t>
            </w:r>
            <w:r>
              <w:rPr>
                <w:color w:val="auto"/>
              </w:rPr>
              <w:t>运行时产生的设备噪声。</w:t>
            </w:r>
            <w:r>
              <w:rPr>
                <w:rFonts w:hint="eastAsia"/>
                <w:color w:val="auto"/>
              </w:rPr>
              <w:t>项目光伏板区设置188台逆变器、22台箱式变压器，</w:t>
            </w:r>
            <w:r>
              <w:rPr>
                <w:bCs/>
                <w:color w:val="auto"/>
              </w:rPr>
              <w:t>逆变器及箱式变压器相对分散，且箱式变压器设置于箱变房内，逆变器设置于逆变器箱内，进行密封隔声。</w:t>
            </w:r>
            <w:r>
              <w:rPr>
                <w:rFonts w:hint="eastAsia"/>
                <w:color w:val="auto"/>
              </w:rPr>
              <w:t>箱式变压器运行过程中噪声源取值为60</w:t>
            </w:r>
            <w:r>
              <w:rPr>
                <w:color w:val="auto"/>
              </w:rPr>
              <w:t>dB</w:t>
            </w:r>
            <w:r>
              <w:rPr>
                <w:rFonts w:hint="eastAsia"/>
                <w:color w:val="auto"/>
              </w:rPr>
              <w:t>（A），逆变器运行过程中噪声源取值为55</w:t>
            </w:r>
            <w:r>
              <w:rPr>
                <w:color w:val="auto"/>
              </w:rPr>
              <w:t>dB</w:t>
            </w:r>
            <w:r>
              <w:rPr>
                <w:rFonts w:hint="eastAsia"/>
                <w:color w:val="auto"/>
              </w:rPr>
              <w:t>（A），</w:t>
            </w:r>
            <w:r>
              <w:rPr>
                <w:color w:val="auto"/>
              </w:rPr>
              <w:t>可近似视为点源</w:t>
            </w:r>
            <w:r>
              <w:rPr>
                <w:rFonts w:hint="eastAsia"/>
                <w:color w:val="auto"/>
              </w:rPr>
              <w:t>噪声</w:t>
            </w:r>
            <w:r>
              <w:rPr>
                <w:color w:val="auto"/>
              </w:rPr>
              <w:t>处理。</w:t>
            </w:r>
            <w:r>
              <w:rPr>
                <w:rFonts w:hint="eastAsia"/>
                <w:color w:val="auto"/>
              </w:rPr>
              <w:t>项目运行期间光伏发电区噪声预测如下表所示。</w:t>
            </w:r>
          </w:p>
          <w:p w14:paraId="508552F5">
            <w:pPr>
              <w:adjustRightInd w:val="0"/>
              <w:spacing w:line="240" w:lineRule="auto"/>
              <w:ind w:firstLine="482"/>
              <w:jc w:val="center"/>
              <w:rPr>
                <w:rFonts w:cs="Times New Roman"/>
                <w:b/>
                <w:bCs/>
                <w:color w:val="auto"/>
                <w:szCs w:val="21"/>
              </w:rPr>
            </w:pPr>
            <w:bookmarkStart w:id="1120" w:name="_Ref159142884"/>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4.6</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2</w:t>
            </w:r>
            <w:r>
              <w:rPr>
                <w:b/>
                <w:bCs/>
                <w:color w:val="auto"/>
                <w:szCs w:val="24"/>
              </w:rPr>
              <w:fldChar w:fldCharType="end"/>
            </w:r>
            <w:bookmarkEnd w:id="1120"/>
            <w:r>
              <w:rPr>
                <w:b/>
                <w:bCs/>
                <w:color w:val="auto"/>
                <w:szCs w:val="24"/>
              </w:rPr>
              <w:t xml:space="preserve">  </w:t>
            </w:r>
            <w:r>
              <w:rPr>
                <w:rFonts w:cs="Times New Roman"/>
                <w:b/>
                <w:bCs/>
                <w:color w:val="auto"/>
                <w:szCs w:val="21"/>
              </w:rPr>
              <w:t>项目光伏阵列区</w:t>
            </w:r>
            <w:r>
              <w:rPr>
                <w:rFonts w:hint="eastAsia" w:cs="Times New Roman"/>
                <w:b/>
                <w:bCs/>
                <w:color w:val="auto"/>
                <w:szCs w:val="21"/>
              </w:rPr>
              <w:t xml:space="preserve">噪声预测值一览表  </w:t>
            </w:r>
            <w:r>
              <w:rPr>
                <w:rStyle w:val="64"/>
                <w:rFonts w:hint="eastAsia"/>
                <w:color w:val="auto"/>
              </w:rPr>
              <w:t xml:space="preserve"> 单位：</w:t>
            </w:r>
            <w:r>
              <w:rPr>
                <w:rStyle w:val="64"/>
                <w:color w:val="auto"/>
              </w:rPr>
              <w:t>dB（A）</w:t>
            </w:r>
          </w:p>
          <w:tbl>
            <w:tblPr>
              <w:tblStyle w:val="41"/>
              <w:tblpPr w:leftFromText="180" w:rightFromText="180" w:vertAnchor="text" w:horzAnchor="page" w:tblpX="122" w:tblpY="93"/>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62"/>
              <w:gridCol w:w="888"/>
              <w:gridCol w:w="577"/>
              <w:gridCol w:w="649"/>
              <w:gridCol w:w="667"/>
              <w:gridCol w:w="667"/>
              <w:gridCol w:w="667"/>
              <w:gridCol w:w="669"/>
              <w:gridCol w:w="785"/>
              <w:gridCol w:w="790"/>
            </w:tblGrid>
            <w:tr w14:paraId="6BE0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trPr>
              <w:tc>
                <w:tcPr>
                  <w:tcW w:w="541" w:type="pct"/>
                  <w:vMerge w:val="restart"/>
                  <w:tcBorders>
                    <w:tl2br w:val="nil"/>
                    <w:tr2bl w:val="nil"/>
                  </w:tcBorders>
                  <w:vAlign w:val="center"/>
                </w:tcPr>
                <w:p w14:paraId="25CC6CC1">
                  <w:pPr>
                    <w:pStyle w:val="182"/>
                    <w:spacing w:line="240" w:lineRule="auto"/>
                    <w:ind w:firstLine="0" w:firstLineChars="0"/>
                    <w:jc w:val="center"/>
                    <w:rPr>
                      <w:rFonts w:hint="eastAsia" w:ascii="Times New Roman"/>
                      <w:b/>
                      <w:color w:val="auto"/>
                      <w:sz w:val="20"/>
                      <w:szCs w:val="18"/>
                    </w:rPr>
                  </w:pPr>
                  <w:r>
                    <w:rPr>
                      <w:rFonts w:ascii="Times New Roman"/>
                      <w:b/>
                      <w:color w:val="auto"/>
                      <w:sz w:val="20"/>
                      <w:szCs w:val="18"/>
                    </w:rPr>
                    <w:t>项目</w:t>
                  </w:r>
                </w:p>
              </w:tc>
              <w:tc>
                <w:tcPr>
                  <w:tcW w:w="362" w:type="pct"/>
                  <w:vMerge w:val="restart"/>
                  <w:tcBorders>
                    <w:tl2br w:val="nil"/>
                    <w:tr2bl w:val="nil"/>
                  </w:tcBorders>
                  <w:vAlign w:val="center"/>
                </w:tcPr>
                <w:p w14:paraId="2E74E33C">
                  <w:pPr>
                    <w:pStyle w:val="182"/>
                    <w:spacing w:line="240" w:lineRule="auto"/>
                    <w:ind w:firstLine="0" w:firstLineChars="0"/>
                    <w:jc w:val="center"/>
                    <w:rPr>
                      <w:rFonts w:hint="eastAsia" w:ascii="Times New Roman"/>
                      <w:b/>
                      <w:color w:val="auto"/>
                      <w:sz w:val="20"/>
                      <w:szCs w:val="18"/>
                    </w:rPr>
                  </w:pPr>
                  <w:r>
                    <w:rPr>
                      <w:rFonts w:ascii="Times New Roman"/>
                      <w:b/>
                      <w:color w:val="auto"/>
                      <w:sz w:val="20"/>
                      <w:szCs w:val="18"/>
                    </w:rPr>
                    <w:t>噪声源</w:t>
                  </w:r>
                </w:p>
              </w:tc>
              <w:tc>
                <w:tcPr>
                  <w:tcW w:w="572" w:type="pct"/>
                  <w:vMerge w:val="restart"/>
                  <w:tcBorders>
                    <w:tl2br w:val="nil"/>
                    <w:tr2bl w:val="nil"/>
                  </w:tcBorders>
                  <w:vAlign w:val="center"/>
                </w:tcPr>
                <w:p w14:paraId="553E3456">
                  <w:pPr>
                    <w:pStyle w:val="182"/>
                    <w:spacing w:line="240" w:lineRule="auto"/>
                    <w:ind w:firstLine="0" w:firstLineChars="0"/>
                    <w:jc w:val="center"/>
                    <w:rPr>
                      <w:rFonts w:hint="eastAsia" w:ascii="Times New Roman"/>
                      <w:b/>
                      <w:color w:val="auto"/>
                      <w:sz w:val="20"/>
                      <w:szCs w:val="18"/>
                    </w:rPr>
                  </w:pPr>
                  <w:r>
                    <w:rPr>
                      <w:rFonts w:hint="eastAsia" w:ascii="Times New Roman"/>
                      <w:b/>
                      <w:color w:val="auto"/>
                      <w:sz w:val="20"/>
                      <w:szCs w:val="18"/>
                    </w:rPr>
                    <w:t>噪声源强</w:t>
                  </w:r>
                </w:p>
              </w:tc>
              <w:tc>
                <w:tcPr>
                  <w:tcW w:w="3526" w:type="pct"/>
                  <w:gridSpan w:val="8"/>
                  <w:tcBorders>
                    <w:tl2br w:val="nil"/>
                    <w:tr2bl w:val="nil"/>
                  </w:tcBorders>
                  <w:vAlign w:val="center"/>
                </w:tcPr>
                <w:p w14:paraId="4E6AA248">
                  <w:pPr>
                    <w:pStyle w:val="182"/>
                    <w:spacing w:line="240" w:lineRule="auto"/>
                    <w:ind w:firstLine="0" w:firstLineChars="0"/>
                    <w:jc w:val="center"/>
                    <w:rPr>
                      <w:rFonts w:hint="eastAsia" w:ascii="Times New Roman"/>
                      <w:b/>
                      <w:color w:val="auto"/>
                      <w:sz w:val="20"/>
                      <w:szCs w:val="18"/>
                    </w:rPr>
                  </w:pPr>
                  <w:r>
                    <w:rPr>
                      <w:rFonts w:ascii="Times New Roman"/>
                      <w:b/>
                      <w:color w:val="auto"/>
                      <w:sz w:val="20"/>
                      <w:szCs w:val="18"/>
                    </w:rPr>
                    <w:t>噪声</w:t>
                  </w:r>
                  <w:r>
                    <w:rPr>
                      <w:rFonts w:hint="eastAsia" w:ascii="Times New Roman"/>
                      <w:b/>
                      <w:color w:val="auto"/>
                      <w:sz w:val="20"/>
                      <w:szCs w:val="18"/>
                    </w:rPr>
                    <w:t>随距离衰减</w:t>
                  </w:r>
                  <w:r>
                    <w:rPr>
                      <w:rFonts w:ascii="Times New Roman"/>
                      <w:b/>
                      <w:color w:val="auto"/>
                      <w:sz w:val="20"/>
                      <w:szCs w:val="18"/>
                    </w:rPr>
                    <w:t>预测</w:t>
                  </w:r>
                  <w:r>
                    <w:rPr>
                      <w:rFonts w:hint="eastAsia" w:ascii="Times New Roman"/>
                      <w:b/>
                      <w:color w:val="auto"/>
                      <w:sz w:val="20"/>
                      <w:szCs w:val="18"/>
                    </w:rPr>
                    <w:t>值</w:t>
                  </w:r>
                </w:p>
              </w:tc>
            </w:tr>
            <w:tr w14:paraId="5237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541" w:type="pct"/>
                  <w:vMerge w:val="continue"/>
                  <w:tcBorders>
                    <w:tl2br w:val="nil"/>
                    <w:tr2bl w:val="nil"/>
                  </w:tcBorders>
                  <w:vAlign w:val="center"/>
                </w:tcPr>
                <w:p w14:paraId="1C8B259D">
                  <w:pPr>
                    <w:pStyle w:val="182"/>
                    <w:spacing w:line="240" w:lineRule="auto"/>
                    <w:ind w:firstLine="0" w:firstLineChars="0"/>
                    <w:jc w:val="center"/>
                    <w:rPr>
                      <w:rFonts w:hint="eastAsia" w:ascii="Times New Roman"/>
                      <w:b/>
                      <w:color w:val="auto"/>
                      <w:sz w:val="20"/>
                      <w:szCs w:val="18"/>
                    </w:rPr>
                  </w:pPr>
                </w:p>
              </w:tc>
              <w:tc>
                <w:tcPr>
                  <w:tcW w:w="362" w:type="pct"/>
                  <w:vMerge w:val="continue"/>
                  <w:tcBorders>
                    <w:tl2br w:val="nil"/>
                    <w:tr2bl w:val="nil"/>
                  </w:tcBorders>
                  <w:vAlign w:val="center"/>
                </w:tcPr>
                <w:p w14:paraId="212ECC55">
                  <w:pPr>
                    <w:pStyle w:val="182"/>
                    <w:spacing w:line="240" w:lineRule="auto"/>
                    <w:ind w:firstLine="0" w:firstLineChars="0"/>
                    <w:jc w:val="center"/>
                    <w:rPr>
                      <w:rFonts w:hint="eastAsia" w:ascii="Times New Roman"/>
                      <w:b/>
                      <w:color w:val="auto"/>
                      <w:sz w:val="20"/>
                      <w:szCs w:val="18"/>
                    </w:rPr>
                  </w:pPr>
                </w:p>
              </w:tc>
              <w:tc>
                <w:tcPr>
                  <w:tcW w:w="572" w:type="pct"/>
                  <w:vMerge w:val="continue"/>
                  <w:tcBorders>
                    <w:tl2br w:val="nil"/>
                    <w:tr2bl w:val="nil"/>
                  </w:tcBorders>
                  <w:vAlign w:val="center"/>
                </w:tcPr>
                <w:p w14:paraId="1B61999F">
                  <w:pPr>
                    <w:pStyle w:val="182"/>
                    <w:spacing w:line="240" w:lineRule="auto"/>
                    <w:ind w:firstLine="0" w:firstLineChars="0"/>
                    <w:jc w:val="center"/>
                    <w:rPr>
                      <w:rFonts w:hint="eastAsia" w:ascii="Times New Roman"/>
                      <w:b/>
                      <w:color w:val="auto"/>
                      <w:sz w:val="20"/>
                      <w:szCs w:val="18"/>
                    </w:rPr>
                  </w:pPr>
                </w:p>
              </w:tc>
              <w:tc>
                <w:tcPr>
                  <w:tcW w:w="372" w:type="pct"/>
                  <w:tcBorders>
                    <w:tl2br w:val="nil"/>
                    <w:tr2bl w:val="nil"/>
                  </w:tcBorders>
                  <w:vAlign w:val="center"/>
                </w:tcPr>
                <w:p w14:paraId="0A4F19D8">
                  <w:pPr>
                    <w:pStyle w:val="182"/>
                    <w:spacing w:line="240" w:lineRule="auto"/>
                    <w:ind w:firstLine="0" w:firstLineChars="0"/>
                    <w:jc w:val="center"/>
                    <w:rPr>
                      <w:rFonts w:hint="eastAsia" w:ascii="Times New Roman"/>
                      <w:b/>
                      <w:color w:val="auto"/>
                      <w:sz w:val="20"/>
                      <w:szCs w:val="18"/>
                    </w:rPr>
                  </w:pPr>
                  <w:r>
                    <w:rPr>
                      <w:rFonts w:hint="eastAsia" w:ascii="Times New Roman"/>
                      <w:b/>
                      <w:color w:val="auto"/>
                      <w:sz w:val="20"/>
                      <w:szCs w:val="18"/>
                    </w:rPr>
                    <w:t>1m</w:t>
                  </w:r>
                </w:p>
              </w:tc>
              <w:tc>
                <w:tcPr>
                  <w:tcW w:w="418" w:type="pct"/>
                  <w:tcBorders>
                    <w:tl2br w:val="nil"/>
                    <w:tr2bl w:val="nil"/>
                  </w:tcBorders>
                  <w:vAlign w:val="center"/>
                </w:tcPr>
                <w:p w14:paraId="179F25F9">
                  <w:pPr>
                    <w:pStyle w:val="182"/>
                    <w:spacing w:line="240" w:lineRule="auto"/>
                    <w:ind w:firstLine="0" w:firstLineChars="0"/>
                    <w:jc w:val="center"/>
                    <w:rPr>
                      <w:rFonts w:hint="eastAsia" w:ascii="Times New Roman"/>
                      <w:b/>
                      <w:color w:val="auto"/>
                      <w:sz w:val="20"/>
                      <w:szCs w:val="18"/>
                    </w:rPr>
                  </w:pPr>
                  <w:r>
                    <w:rPr>
                      <w:rFonts w:hint="eastAsia" w:ascii="Times New Roman"/>
                      <w:b/>
                      <w:color w:val="auto"/>
                      <w:sz w:val="20"/>
                      <w:szCs w:val="18"/>
                    </w:rPr>
                    <w:t>5m</w:t>
                  </w:r>
                </w:p>
              </w:tc>
              <w:tc>
                <w:tcPr>
                  <w:tcW w:w="430" w:type="pct"/>
                  <w:tcBorders>
                    <w:tl2br w:val="nil"/>
                    <w:tr2bl w:val="nil"/>
                  </w:tcBorders>
                  <w:vAlign w:val="center"/>
                </w:tcPr>
                <w:p w14:paraId="4F808544">
                  <w:pPr>
                    <w:pStyle w:val="182"/>
                    <w:spacing w:line="240" w:lineRule="auto"/>
                    <w:ind w:firstLine="0" w:firstLineChars="0"/>
                    <w:jc w:val="center"/>
                    <w:rPr>
                      <w:rFonts w:hint="eastAsia" w:ascii="Times New Roman"/>
                      <w:b/>
                      <w:color w:val="auto"/>
                      <w:sz w:val="20"/>
                      <w:szCs w:val="18"/>
                    </w:rPr>
                  </w:pPr>
                  <w:r>
                    <w:rPr>
                      <w:rFonts w:hint="eastAsia" w:ascii="Times New Roman"/>
                      <w:b/>
                      <w:color w:val="auto"/>
                      <w:sz w:val="20"/>
                      <w:szCs w:val="18"/>
                    </w:rPr>
                    <w:t>10m</w:t>
                  </w:r>
                </w:p>
              </w:tc>
              <w:tc>
                <w:tcPr>
                  <w:tcW w:w="430" w:type="pct"/>
                  <w:tcBorders>
                    <w:tl2br w:val="nil"/>
                    <w:tr2bl w:val="nil"/>
                  </w:tcBorders>
                  <w:vAlign w:val="center"/>
                </w:tcPr>
                <w:p w14:paraId="10856A4E">
                  <w:pPr>
                    <w:pStyle w:val="182"/>
                    <w:spacing w:line="240" w:lineRule="auto"/>
                    <w:ind w:firstLine="0" w:firstLineChars="0"/>
                    <w:jc w:val="center"/>
                    <w:rPr>
                      <w:rFonts w:hint="eastAsia" w:ascii="Times New Roman"/>
                      <w:b/>
                      <w:color w:val="auto"/>
                      <w:sz w:val="20"/>
                      <w:szCs w:val="18"/>
                    </w:rPr>
                  </w:pPr>
                  <w:r>
                    <w:rPr>
                      <w:rFonts w:ascii="Times New Roman"/>
                      <w:b/>
                      <w:color w:val="auto"/>
                      <w:sz w:val="20"/>
                      <w:szCs w:val="18"/>
                    </w:rPr>
                    <w:t>20m</w:t>
                  </w:r>
                </w:p>
              </w:tc>
              <w:tc>
                <w:tcPr>
                  <w:tcW w:w="430" w:type="pct"/>
                  <w:tcBorders>
                    <w:tl2br w:val="nil"/>
                    <w:tr2bl w:val="nil"/>
                  </w:tcBorders>
                  <w:vAlign w:val="center"/>
                </w:tcPr>
                <w:p w14:paraId="694BFBB0">
                  <w:pPr>
                    <w:pStyle w:val="182"/>
                    <w:spacing w:line="240" w:lineRule="auto"/>
                    <w:ind w:firstLine="0" w:firstLineChars="0"/>
                    <w:jc w:val="center"/>
                    <w:rPr>
                      <w:rFonts w:hint="eastAsia" w:ascii="Times New Roman"/>
                      <w:b/>
                      <w:color w:val="auto"/>
                      <w:sz w:val="20"/>
                      <w:szCs w:val="18"/>
                    </w:rPr>
                  </w:pPr>
                  <w:r>
                    <w:rPr>
                      <w:rFonts w:hint="eastAsia" w:ascii="Times New Roman"/>
                      <w:b/>
                      <w:color w:val="auto"/>
                      <w:sz w:val="20"/>
                      <w:szCs w:val="18"/>
                    </w:rPr>
                    <w:t>3</w:t>
                  </w:r>
                  <w:r>
                    <w:rPr>
                      <w:rFonts w:ascii="Times New Roman"/>
                      <w:b/>
                      <w:color w:val="auto"/>
                      <w:sz w:val="20"/>
                      <w:szCs w:val="18"/>
                    </w:rPr>
                    <w:t>0m</w:t>
                  </w:r>
                </w:p>
              </w:tc>
              <w:tc>
                <w:tcPr>
                  <w:tcW w:w="431" w:type="pct"/>
                  <w:tcBorders>
                    <w:tl2br w:val="nil"/>
                    <w:tr2bl w:val="nil"/>
                  </w:tcBorders>
                  <w:vAlign w:val="center"/>
                </w:tcPr>
                <w:p w14:paraId="23038879">
                  <w:pPr>
                    <w:pStyle w:val="182"/>
                    <w:spacing w:line="240" w:lineRule="auto"/>
                    <w:ind w:firstLine="0" w:firstLineChars="0"/>
                    <w:jc w:val="center"/>
                    <w:rPr>
                      <w:rFonts w:hint="eastAsia" w:ascii="Times New Roman"/>
                      <w:b/>
                      <w:color w:val="auto"/>
                      <w:sz w:val="20"/>
                      <w:szCs w:val="18"/>
                    </w:rPr>
                  </w:pPr>
                  <w:r>
                    <w:rPr>
                      <w:rFonts w:ascii="Times New Roman"/>
                      <w:b/>
                      <w:color w:val="auto"/>
                      <w:sz w:val="20"/>
                      <w:szCs w:val="18"/>
                    </w:rPr>
                    <w:t>50m</w:t>
                  </w:r>
                </w:p>
              </w:tc>
              <w:tc>
                <w:tcPr>
                  <w:tcW w:w="506" w:type="pct"/>
                  <w:tcBorders>
                    <w:tl2br w:val="nil"/>
                    <w:tr2bl w:val="nil"/>
                  </w:tcBorders>
                  <w:vAlign w:val="center"/>
                </w:tcPr>
                <w:p w14:paraId="59975542">
                  <w:pPr>
                    <w:pStyle w:val="182"/>
                    <w:spacing w:line="240" w:lineRule="auto"/>
                    <w:ind w:firstLine="0" w:firstLineChars="0"/>
                    <w:jc w:val="center"/>
                    <w:rPr>
                      <w:rFonts w:hint="eastAsia" w:ascii="Times New Roman"/>
                      <w:b/>
                      <w:color w:val="auto"/>
                      <w:sz w:val="20"/>
                      <w:szCs w:val="18"/>
                    </w:rPr>
                  </w:pPr>
                  <w:r>
                    <w:rPr>
                      <w:rFonts w:ascii="Times New Roman"/>
                      <w:b/>
                      <w:color w:val="auto"/>
                      <w:sz w:val="20"/>
                      <w:szCs w:val="18"/>
                    </w:rPr>
                    <w:t>100m</w:t>
                  </w:r>
                </w:p>
              </w:tc>
              <w:tc>
                <w:tcPr>
                  <w:tcW w:w="509" w:type="pct"/>
                  <w:tcBorders>
                    <w:tl2br w:val="nil"/>
                    <w:tr2bl w:val="nil"/>
                  </w:tcBorders>
                  <w:vAlign w:val="center"/>
                </w:tcPr>
                <w:p w14:paraId="1DAEB3DF">
                  <w:pPr>
                    <w:pStyle w:val="182"/>
                    <w:spacing w:line="240" w:lineRule="auto"/>
                    <w:ind w:firstLine="0" w:firstLineChars="0"/>
                    <w:jc w:val="center"/>
                    <w:rPr>
                      <w:rFonts w:hint="eastAsia" w:ascii="Times New Roman"/>
                      <w:b/>
                      <w:color w:val="auto"/>
                      <w:sz w:val="20"/>
                      <w:szCs w:val="18"/>
                    </w:rPr>
                  </w:pPr>
                  <w:r>
                    <w:rPr>
                      <w:rFonts w:ascii="Times New Roman"/>
                      <w:b/>
                      <w:color w:val="auto"/>
                      <w:sz w:val="20"/>
                      <w:szCs w:val="18"/>
                    </w:rPr>
                    <w:t>200m</w:t>
                  </w:r>
                </w:p>
              </w:tc>
            </w:tr>
            <w:tr w14:paraId="34C6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2" w:type="pct"/>
                  <w:gridSpan w:val="2"/>
                  <w:tcBorders>
                    <w:tl2br w:val="nil"/>
                    <w:tr2bl w:val="nil"/>
                  </w:tcBorders>
                  <w:vAlign w:val="center"/>
                </w:tcPr>
                <w:p w14:paraId="2D68C740">
                  <w:pPr>
                    <w:pStyle w:val="182"/>
                    <w:spacing w:line="240" w:lineRule="auto"/>
                    <w:ind w:firstLine="0" w:firstLineChars="0"/>
                    <w:jc w:val="center"/>
                    <w:rPr>
                      <w:rFonts w:hint="eastAsia" w:ascii="Times New Roman"/>
                      <w:bCs/>
                      <w:color w:val="auto"/>
                      <w:sz w:val="20"/>
                      <w:szCs w:val="18"/>
                    </w:rPr>
                  </w:pPr>
                  <w:r>
                    <w:rPr>
                      <w:rFonts w:hint="eastAsia" w:ascii="Times New Roman"/>
                      <w:bCs/>
                      <w:color w:val="auto"/>
                      <w:sz w:val="20"/>
                      <w:szCs w:val="18"/>
                    </w:rPr>
                    <w:t>箱式变压器</w:t>
                  </w:r>
                </w:p>
              </w:tc>
              <w:tc>
                <w:tcPr>
                  <w:tcW w:w="572" w:type="pct"/>
                  <w:tcBorders>
                    <w:tl2br w:val="nil"/>
                    <w:tr2bl w:val="nil"/>
                  </w:tcBorders>
                  <w:vAlign w:val="center"/>
                </w:tcPr>
                <w:p w14:paraId="27B0A6A9">
                  <w:pPr>
                    <w:pStyle w:val="182"/>
                    <w:spacing w:line="240" w:lineRule="auto"/>
                    <w:ind w:firstLine="0" w:firstLineChars="0"/>
                    <w:jc w:val="center"/>
                    <w:rPr>
                      <w:rFonts w:hint="eastAsia" w:ascii="Times New Roman"/>
                      <w:bCs/>
                      <w:color w:val="auto"/>
                      <w:sz w:val="20"/>
                      <w:szCs w:val="18"/>
                    </w:rPr>
                  </w:pPr>
                  <w:r>
                    <w:rPr>
                      <w:rFonts w:hint="eastAsia" w:ascii="Times New Roman"/>
                      <w:bCs/>
                      <w:color w:val="auto"/>
                      <w:sz w:val="20"/>
                      <w:szCs w:val="18"/>
                    </w:rPr>
                    <w:t>60</w:t>
                  </w:r>
                </w:p>
              </w:tc>
              <w:tc>
                <w:tcPr>
                  <w:tcW w:w="372" w:type="pct"/>
                  <w:tcBorders>
                    <w:tl2br w:val="nil"/>
                    <w:tr2bl w:val="nil"/>
                  </w:tcBorders>
                  <w:vAlign w:val="center"/>
                </w:tcPr>
                <w:p w14:paraId="3EF67504">
                  <w:pPr>
                    <w:pStyle w:val="65"/>
                    <w:rPr>
                      <w:bCs/>
                      <w:color w:val="auto"/>
                      <w:sz w:val="20"/>
                      <w:szCs w:val="18"/>
                    </w:rPr>
                  </w:pPr>
                  <w:r>
                    <w:rPr>
                      <w:rFonts w:hint="eastAsia"/>
                      <w:bCs/>
                      <w:color w:val="auto"/>
                      <w:sz w:val="20"/>
                      <w:szCs w:val="18"/>
                    </w:rPr>
                    <w:t>60</w:t>
                  </w:r>
                </w:p>
              </w:tc>
              <w:tc>
                <w:tcPr>
                  <w:tcW w:w="418" w:type="pct"/>
                  <w:tcBorders>
                    <w:tl2br w:val="nil"/>
                    <w:tr2bl w:val="nil"/>
                  </w:tcBorders>
                  <w:vAlign w:val="center"/>
                </w:tcPr>
                <w:p w14:paraId="0FF3E935">
                  <w:pPr>
                    <w:pStyle w:val="65"/>
                    <w:rPr>
                      <w:bCs/>
                      <w:color w:val="auto"/>
                      <w:sz w:val="20"/>
                      <w:szCs w:val="18"/>
                    </w:rPr>
                  </w:pPr>
                  <w:r>
                    <w:rPr>
                      <w:rFonts w:hint="eastAsia"/>
                      <w:bCs/>
                      <w:color w:val="auto"/>
                      <w:sz w:val="20"/>
                      <w:szCs w:val="18"/>
                    </w:rPr>
                    <w:t>46</w:t>
                  </w:r>
                </w:p>
              </w:tc>
              <w:tc>
                <w:tcPr>
                  <w:tcW w:w="430" w:type="pct"/>
                  <w:tcBorders>
                    <w:tl2br w:val="nil"/>
                    <w:tr2bl w:val="nil"/>
                  </w:tcBorders>
                  <w:vAlign w:val="center"/>
                </w:tcPr>
                <w:p w14:paraId="1B464610">
                  <w:pPr>
                    <w:pStyle w:val="65"/>
                    <w:rPr>
                      <w:bCs/>
                      <w:color w:val="auto"/>
                      <w:sz w:val="20"/>
                      <w:szCs w:val="18"/>
                    </w:rPr>
                  </w:pPr>
                  <w:r>
                    <w:rPr>
                      <w:rFonts w:hint="eastAsia"/>
                      <w:bCs/>
                      <w:color w:val="auto"/>
                      <w:sz w:val="20"/>
                      <w:szCs w:val="18"/>
                    </w:rPr>
                    <w:t>40</w:t>
                  </w:r>
                </w:p>
              </w:tc>
              <w:tc>
                <w:tcPr>
                  <w:tcW w:w="430" w:type="pct"/>
                  <w:tcBorders>
                    <w:tl2br w:val="nil"/>
                    <w:tr2bl w:val="nil"/>
                  </w:tcBorders>
                  <w:vAlign w:val="center"/>
                </w:tcPr>
                <w:p w14:paraId="71FA82F1">
                  <w:pPr>
                    <w:pStyle w:val="65"/>
                    <w:rPr>
                      <w:bCs/>
                      <w:color w:val="auto"/>
                      <w:sz w:val="20"/>
                      <w:szCs w:val="18"/>
                    </w:rPr>
                  </w:pPr>
                  <w:r>
                    <w:rPr>
                      <w:rFonts w:hint="eastAsia"/>
                      <w:bCs/>
                      <w:color w:val="auto"/>
                      <w:sz w:val="20"/>
                      <w:szCs w:val="18"/>
                    </w:rPr>
                    <w:t>34</w:t>
                  </w:r>
                </w:p>
              </w:tc>
              <w:tc>
                <w:tcPr>
                  <w:tcW w:w="430" w:type="pct"/>
                  <w:tcBorders>
                    <w:tl2br w:val="nil"/>
                    <w:tr2bl w:val="nil"/>
                  </w:tcBorders>
                  <w:vAlign w:val="center"/>
                </w:tcPr>
                <w:p w14:paraId="327E3B0F">
                  <w:pPr>
                    <w:pStyle w:val="65"/>
                    <w:rPr>
                      <w:bCs/>
                      <w:color w:val="auto"/>
                      <w:sz w:val="20"/>
                      <w:szCs w:val="18"/>
                    </w:rPr>
                  </w:pPr>
                  <w:r>
                    <w:rPr>
                      <w:rFonts w:hint="eastAsia"/>
                      <w:bCs/>
                      <w:color w:val="auto"/>
                      <w:sz w:val="20"/>
                      <w:szCs w:val="18"/>
                    </w:rPr>
                    <w:t>30</w:t>
                  </w:r>
                </w:p>
              </w:tc>
              <w:tc>
                <w:tcPr>
                  <w:tcW w:w="431" w:type="pct"/>
                  <w:tcBorders>
                    <w:tl2br w:val="nil"/>
                    <w:tr2bl w:val="nil"/>
                  </w:tcBorders>
                  <w:vAlign w:val="center"/>
                </w:tcPr>
                <w:p w14:paraId="2FAC6A51">
                  <w:pPr>
                    <w:pStyle w:val="65"/>
                    <w:rPr>
                      <w:bCs/>
                      <w:color w:val="auto"/>
                      <w:sz w:val="20"/>
                      <w:szCs w:val="18"/>
                    </w:rPr>
                  </w:pPr>
                  <w:r>
                    <w:rPr>
                      <w:rFonts w:hint="eastAsia"/>
                      <w:bCs/>
                      <w:color w:val="auto"/>
                      <w:sz w:val="20"/>
                      <w:szCs w:val="18"/>
                    </w:rPr>
                    <w:t>26</w:t>
                  </w:r>
                </w:p>
              </w:tc>
              <w:tc>
                <w:tcPr>
                  <w:tcW w:w="506" w:type="pct"/>
                  <w:tcBorders>
                    <w:tl2br w:val="nil"/>
                    <w:tr2bl w:val="nil"/>
                  </w:tcBorders>
                  <w:vAlign w:val="center"/>
                </w:tcPr>
                <w:p w14:paraId="0477844A">
                  <w:pPr>
                    <w:pStyle w:val="65"/>
                    <w:rPr>
                      <w:bCs/>
                      <w:color w:val="auto"/>
                      <w:sz w:val="20"/>
                      <w:szCs w:val="18"/>
                    </w:rPr>
                  </w:pPr>
                  <w:r>
                    <w:rPr>
                      <w:rFonts w:hint="eastAsia"/>
                      <w:bCs/>
                      <w:color w:val="auto"/>
                      <w:sz w:val="20"/>
                      <w:szCs w:val="18"/>
                    </w:rPr>
                    <w:t>20</w:t>
                  </w:r>
                </w:p>
              </w:tc>
              <w:tc>
                <w:tcPr>
                  <w:tcW w:w="509" w:type="pct"/>
                  <w:tcBorders>
                    <w:tl2br w:val="nil"/>
                    <w:tr2bl w:val="nil"/>
                  </w:tcBorders>
                  <w:vAlign w:val="center"/>
                </w:tcPr>
                <w:p w14:paraId="781ABCB5">
                  <w:pPr>
                    <w:pStyle w:val="65"/>
                    <w:rPr>
                      <w:bCs/>
                      <w:color w:val="auto"/>
                      <w:sz w:val="20"/>
                      <w:szCs w:val="18"/>
                    </w:rPr>
                  </w:pPr>
                  <w:r>
                    <w:rPr>
                      <w:rFonts w:hint="eastAsia"/>
                      <w:bCs/>
                      <w:color w:val="auto"/>
                      <w:sz w:val="20"/>
                      <w:szCs w:val="18"/>
                    </w:rPr>
                    <w:t>14</w:t>
                  </w:r>
                </w:p>
              </w:tc>
            </w:tr>
            <w:tr w14:paraId="5EF2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2" w:type="pct"/>
                  <w:gridSpan w:val="2"/>
                  <w:tcBorders>
                    <w:tl2br w:val="nil"/>
                    <w:tr2bl w:val="nil"/>
                  </w:tcBorders>
                  <w:vAlign w:val="center"/>
                </w:tcPr>
                <w:p w14:paraId="39F4D584">
                  <w:pPr>
                    <w:pStyle w:val="182"/>
                    <w:spacing w:line="240" w:lineRule="auto"/>
                    <w:ind w:firstLine="0" w:firstLineChars="0"/>
                    <w:jc w:val="center"/>
                    <w:rPr>
                      <w:rFonts w:hint="eastAsia" w:ascii="Times New Roman"/>
                      <w:bCs/>
                      <w:color w:val="auto"/>
                      <w:sz w:val="20"/>
                      <w:szCs w:val="18"/>
                    </w:rPr>
                  </w:pPr>
                  <w:r>
                    <w:rPr>
                      <w:rFonts w:hint="eastAsia" w:ascii="Times New Roman"/>
                      <w:bCs/>
                      <w:color w:val="auto"/>
                      <w:sz w:val="20"/>
                      <w:szCs w:val="18"/>
                    </w:rPr>
                    <w:t>逆变器</w:t>
                  </w:r>
                </w:p>
              </w:tc>
              <w:tc>
                <w:tcPr>
                  <w:tcW w:w="572" w:type="pct"/>
                  <w:tcBorders>
                    <w:tl2br w:val="nil"/>
                    <w:tr2bl w:val="nil"/>
                  </w:tcBorders>
                  <w:vAlign w:val="center"/>
                </w:tcPr>
                <w:p w14:paraId="00AFEEF1">
                  <w:pPr>
                    <w:pStyle w:val="182"/>
                    <w:spacing w:line="240" w:lineRule="auto"/>
                    <w:ind w:firstLine="0" w:firstLineChars="0"/>
                    <w:jc w:val="center"/>
                    <w:rPr>
                      <w:rFonts w:hint="eastAsia" w:ascii="Times New Roman"/>
                      <w:bCs/>
                      <w:color w:val="auto"/>
                      <w:sz w:val="20"/>
                      <w:szCs w:val="18"/>
                    </w:rPr>
                  </w:pPr>
                  <w:r>
                    <w:rPr>
                      <w:rFonts w:hint="eastAsia" w:ascii="Times New Roman"/>
                      <w:bCs/>
                      <w:color w:val="auto"/>
                      <w:sz w:val="20"/>
                      <w:szCs w:val="18"/>
                    </w:rPr>
                    <w:t>55</w:t>
                  </w:r>
                </w:p>
              </w:tc>
              <w:tc>
                <w:tcPr>
                  <w:tcW w:w="372" w:type="pct"/>
                  <w:tcBorders>
                    <w:tl2br w:val="nil"/>
                    <w:tr2bl w:val="nil"/>
                  </w:tcBorders>
                  <w:vAlign w:val="center"/>
                </w:tcPr>
                <w:p w14:paraId="786E39B0">
                  <w:pPr>
                    <w:pStyle w:val="65"/>
                    <w:rPr>
                      <w:color w:val="auto"/>
                      <w:sz w:val="20"/>
                      <w:szCs w:val="18"/>
                    </w:rPr>
                  </w:pPr>
                  <w:r>
                    <w:rPr>
                      <w:rFonts w:hint="eastAsia"/>
                      <w:color w:val="auto"/>
                      <w:sz w:val="20"/>
                      <w:szCs w:val="18"/>
                    </w:rPr>
                    <w:t>55</w:t>
                  </w:r>
                </w:p>
              </w:tc>
              <w:tc>
                <w:tcPr>
                  <w:tcW w:w="418" w:type="pct"/>
                  <w:tcBorders>
                    <w:tl2br w:val="nil"/>
                    <w:tr2bl w:val="nil"/>
                  </w:tcBorders>
                  <w:vAlign w:val="center"/>
                </w:tcPr>
                <w:p w14:paraId="37A8003D">
                  <w:pPr>
                    <w:pStyle w:val="65"/>
                    <w:rPr>
                      <w:color w:val="auto"/>
                      <w:sz w:val="20"/>
                      <w:szCs w:val="18"/>
                    </w:rPr>
                  </w:pPr>
                  <w:r>
                    <w:rPr>
                      <w:rFonts w:hint="eastAsia"/>
                      <w:color w:val="auto"/>
                      <w:sz w:val="20"/>
                      <w:szCs w:val="18"/>
                    </w:rPr>
                    <w:t>41</w:t>
                  </w:r>
                </w:p>
              </w:tc>
              <w:tc>
                <w:tcPr>
                  <w:tcW w:w="430" w:type="pct"/>
                  <w:tcBorders>
                    <w:tl2br w:val="nil"/>
                    <w:tr2bl w:val="nil"/>
                  </w:tcBorders>
                  <w:vAlign w:val="center"/>
                </w:tcPr>
                <w:p w14:paraId="431DE75F">
                  <w:pPr>
                    <w:pStyle w:val="65"/>
                    <w:rPr>
                      <w:color w:val="auto"/>
                      <w:sz w:val="20"/>
                      <w:szCs w:val="18"/>
                    </w:rPr>
                  </w:pPr>
                  <w:r>
                    <w:rPr>
                      <w:rFonts w:hint="eastAsia"/>
                      <w:color w:val="auto"/>
                      <w:sz w:val="20"/>
                      <w:szCs w:val="18"/>
                    </w:rPr>
                    <w:t>35</w:t>
                  </w:r>
                </w:p>
              </w:tc>
              <w:tc>
                <w:tcPr>
                  <w:tcW w:w="430" w:type="pct"/>
                  <w:tcBorders>
                    <w:tl2br w:val="nil"/>
                    <w:tr2bl w:val="nil"/>
                  </w:tcBorders>
                  <w:vAlign w:val="center"/>
                </w:tcPr>
                <w:p w14:paraId="6D41FEBA">
                  <w:pPr>
                    <w:pStyle w:val="65"/>
                    <w:rPr>
                      <w:color w:val="auto"/>
                      <w:sz w:val="20"/>
                      <w:szCs w:val="18"/>
                    </w:rPr>
                  </w:pPr>
                  <w:r>
                    <w:rPr>
                      <w:rFonts w:hint="eastAsia"/>
                      <w:color w:val="auto"/>
                      <w:sz w:val="20"/>
                      <w:szCs w:val="18"/>
                    </w:rPr>
                    <w:t>29</w:t>
                  </w:r>
                </w:p>
              </w:tc>
              <w:tc>
                <w:tcPr>
                  <w:tcW w:w="430" w:type="pct"/>
                  <w:tcBorders>
                    <w:tl2br w:val="nil"/>
                    <w:tr2bl w:val="nil"/>
                  </w:tcBorders>
                  <w:vAlign w:val="center"/>
                </w:tcPr>
                <w:p w14:paraId="17D60FE5">
                  <w:pPr>
                    <w:pStyle w:val="65"/>
                    <w:rPr>
                      <w:color w:val="auto"/>
                      <w:sz w:val="20"/>
                      <w:szCs w:val="18"/>
                    </w:rPr>
                  </w:pPr>
                  <w:r>
                    <w:rPr>
                      <w:rFonts w:hint="eastAsia"/>
                      <w:color w:val="auto"/>
                      <w:sz w:val="20"/>
                      <w:szCs w:val="18"/>
                    </w:rPr>
                    <w:t>25</w:t>
                  </w:r>
                </w:p>
              </w:tc>
              <w:tc>
                <w:tcPr>
                  <w:tcW w:w="431" w:type="pct"/>
                  <w:tcBorders>
                    <w:tl2br w:val="nil"/>
                    <w:tr2bl w:val="nil"/>
                  </w:tcBorders>
                  <w:vAlign w:val="center"/>
                </w:tcPr>
                <w:p w14:paraId="0A2C9471">
                  <w:pPr>
                    <w:pStyle w:val="65"/>
                    <w:rPr>
                      <w:color w:val="auto"/>
                      <w:sz w:val="20"/>
                      <w:szCs w:val="18"/>
                    </w:rPr>
                  </w:pPr>
                  <w:r>
                    <w:rPr>
                      <w:rFonts w:hint="eastAsia"/>
                      <w:color w:val="auto"/>
                      <w:sz w:val="20"/>
                      <w:szCs w:val="18"/>
                    </w:rPr>
                    <w:t>21</w:t>
                  </w:r>
                </w:p>
              </w:tc>
              <w:tc>
                <w:tcPr>
                  <w:tcW w:w="506" w:type="pct"/>
                  <w:tcBorders>
                    <w:tl2br w:val="nil"/>
                    <w:tr2bl w:val="nil"/>
                  </w:tcBorders>
                  <w:vAlign w:val="center"/>
                </w:tcPr>
                <w:p w14:paraId="6B477B21">
                  <w:pPr>
                    <w:pStyle w:val="65"/>
                    <w:rPr>
                      <w:color w:val="auto"/>
                      <w:sz w:val="20"/>
                      <w:szCs w:val="18"/>
                    </w:rPr>
                  </w:pPr>
                  <w:r>
                    <w:rPr>
                      <w:rFonts w:hint="eastAsia"/>
                      <w:color w:val="auto"/>
                      <w:sz w:val="20"/>
                      <w:szCs w:val="18"/>
                    </w:rPr>
                    <w:t>15</w:t>
                  </w:r>
                </w:p>
              </w:tc>
              <w:tc>
                <w:tcPr>
                  <w:tcW w:w="509" w:type="pct"/>
                  <w:tcBorders>
                    <w:tl2br w:val="nil"/>
                    <w:tr2bl w:val="nil"/>
                  </w:tcBorders>
                  <w:vAlign w:val="center"/>
                </w:tcPr>
                <w:p w14:paraId="304B9727">
                  <w:pPr>
                    <w:pStyle w:val="65"/>
                    <w:rPr>
                      <w:color w:val="auto"/>
                      <w:sz w:val="20"/>
                      <w:szCs w:val="18"/>
                    </w:rPr>
                  </w:pPr>
                  <w:r>
                    <w:rPr>
                      <w:rFonts w:hint="eastAsia"/>
                      <w:color w:val="auto"/>
                      <w:sz w:val="20"/>
                      <w:szCs w:val="18"/>
                    </w:rPr>
                    <w:t>9</w:t>
                  </w:r>
                </w:p>
              </w:tc>
            </w:tr>
          </w:tbl>
          <w:p w14:paraId="16EDBBDF">
            <w:pPr>
              <w:ind w:firstLine="480"/>
              <w:rPr>
                <w:color w:val="auto"/>
              </w:rPr>
            </w:pPr>
            <w:r>
              <w:rPr>
                <w:rFonts w:cs="Times New Roman"/>
                <w:color w:val="auto"/>
                <w:szCs w:val="21"/>
              </w:rPr>
              <w:t>根据</w:t>
            </w:r>
            <w:r>
              <w:rPr>
                <w:rFonts w:cs="Times New Roman"/>
                <w:color w:val="auto"/>
                <w:szCs w:val="21"/>
              </w:rPr>
              <w:fldChar w:fldCharType="begin"/>
            </w:r>
            <w:r>
              <w:rPr>
                <w:rFonts w:cs="Times New Roman"/>
                <w:color w:val="auto"/>
                <w:szCs w:val="21"/>
              </w:rPr>
              <w:instrText xml:space="preserve"> REF _Ref159142884 \h  \* MERGEFORMAT </w:instrText>
            </w:r>
            <w:r>
              <w:rPr>
                <w:rFonts w:cs="Times New Roman"/>
                <w:color w:val="auto"/>
                <w:szCs w:val="21"/>
              </w:rPr>
              <w:fldChar w:fldCharType="separate"/>
            </w:r>
            <w:r>
              <w:rPr>
                <w:color w:val="auto"/>
                <w:szCs w:val="24"/>
              </w:rPr>
              <w:t>表 4.6</w:t>
            </w:r>
            <w:r>
              <w:rPr>
                <w:color w:val="auto"/>
                <w:szCs w:val="24"/>
              </w:rPr>
              <w:noBreakHyphen/>
            </w:r>
            <w:r>
              <w:rPr>
                <w:color w:val="auto"/>
                <w:szCs w:val="24"/>
              </w:rPr>
              <w:t>2</w:t>
            </w:r>
            <w:r>
              <w:rPr>
                <w:rFonts w:cs="Times New Roman"/>
                <w:color w:val="auto"/>
                <w:szCs w:val="21"/>
              </w:rPr>
              <w:fldChar w:fldCharType="end"/>
            </w:r>
            <w:r>
              <w:rPr>
                <w:rFonts w:cs="Times New Roman"/>
                <w:color w:val="auto"/>
                <w:szCs w:val="21"/>
              </w:rPr>
              <w:t>预测结果可知，</w:t>
            </w:r>
            <w:r>
              <w:rPr>
                <w:rFonts w:hint="eastAsia"/>
                <w:color w:val="auto"/>
              </w:rPr>
              <w:t>运营期逆变器厂界处噪声预测值可以满足《工业企业厂界环境噪声排放标准》（GB12348-2008）中1类标准</w:t>
            </w:r>
            <w:r>
              <w:rPr>
                <w:rFonts w:hint="eastAsia"/>
                <w:bCs/>
                <w:color w:val="auto"/>
              </w:rPr>
              <w:t>（昼间）</w:t>
            </w:r>
            <w:r>
              <w:rPr>
                <w:rFonts w:hint="eastAsia"/>
                <w:color w:val="auto"/>
              </w:rPr>
              <w:t>；</w:t>
            </w:r>
            <w:r>
              <w:rPr>
                <w:rFonts w:hint="eastAsia"/>
                <w:bCs/>
                <w:color w:val="auto"/>
              </w:rPr>
              <w:t>箱式变压器可以在2m处噪声预测值可以满足《工业企业厂界环境噪声排放标准》（GB12348-2008）中1类标准（昼间）</w:t>
            </w:r>
            <w:r>
              <w:rPr>
                <w:rFonts w:hint="eastAsia"/>
                <w:color w:val="auto"/>
              </w:rPr>
              <w:t>。</w:t>
            </w:r>
          </w:p>
          <w:p w14:paraId="394D1847">
            <w:pPr>
              <w:ind w:firstLine="480"/>
              <w:rPr>
                <w:color w:val="auto"/>
              </w:rPr>
            </w:pPr>
            <w:r>
              <w:rPr>
                <w:rFonts w:hint="eastAsia"/>
                <w:color w:val="auto"/>
              </w:rPr>
              <w:t>本项目光伏区设置有箱式变压器和逆变器，箱式变压器噪声源强大于逆变器，本次运营期噪声预测采用最不利因素进行预测分析，选用箱变噪声源强作为噪声源强进行运营期对周边敏感点的影响分析。根据现场调查，距离本项目箱变200m范围内的敏感点有：旧村、包茂村、包茂村散户、大歇场、大平掌、下朵么。本次评价按最不利情况考虑，即有箱变和逆变器布置在同一位置，预测其噪声叠加后通过距离衰减对环境的影响，运营期光伏区对敏感点的影响详见下表。</w:t>
            </w:r>
          </w:p>
          <w:p w14:paraId="5DA93375">
            <w:pPr>
              <w:tabs>
                <w:tab w:val="left" w:pos="3134"/>
              </w:tabs>
              <w:ind w:firstLine="0" w:firstLineChars="0"/>
              <w:rPr>
                <w:b/>
                <w:bCs/>
                <w:color w:val="auto"/>
                <w:szCs w:val="21"/>
              </w:rPr>
            </w:pPr>
            <w:bookmarkStart w:id="1121" w:name="_Ref160731429"/>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4.6</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3</w:t>
            </w:r>
            <w:r>
              <w:rPr>
                <w:b/>
                <w:bCs/>
                <w:color w:val="auto"/>
                <w:szCs w:val="24"/>
              </w:rPr>
              <w:fldChar w:fldCharType="end"/>
            </w:r>
            <w:bookmarkEnd w:id="1121"/>
            <w:r>
              <w:rPr>
                <w:b/>
                <w:bCs/>
                <w:color w:val="auto"/>
                <w:szCs w:val="24"/>
              </w:rPr>
              <w:t xml:space="preserve">  </w:t>
            </w:r>
            <w:r>
              <w:rPr>
                <w:rFonts w:hint="eastAsia"/>
                <w:b/>
                <w:bCs/>
                <w:color w:val="auto"/>
                <w:szCs w:val="24"/>
              </w:rPr>
              <w:t>项目</w:t>
            </w:r>
            <w:r>
              <w:rPr>
                <w:rFonts w:hint="eastAsia"/>
                <w:b/>
                <w:bCs/>
                <w:color w:val="auto"/>
                <w:szCs w:val="21"/>
              </w:rPr>
              <w:t>箱变和逆变</w:t>
            </w:r>
            <w:r>
              <w:rPr>
                <w:b/>
                <w:bCs/>
                <w:color w:val="auto"/>
                <w:szCs w:val="21"/>
              </w:rPr>
              <w:t>运转时</w:t>
            </w:r>
            <w:r>
              <w:rPr>
                <w:rFonts w:hint="eastAsia"/>
                <w:b/>
                <w:bCs/>
                <w:color w:val="auto"/>
                <w:szCs w:val="21"/>
              </w:rPr>
              <w:t>敏感目标处噪声预测值（单位：dB（A））</w:t>
            </w:r>
          </w:p>
          <w:tbl>
            <w:tblPr>
              <w:tblStyle w:val="41"/>
              <w:tblW w:w="5000" w:type="pct"/>
              <w:tblInd w:w="0" w:type="dxa"/>
              <w:tblLayout w:type="autofit"/>
              <w:tblCellMar>
                <w:top w:w="0" w:type="dxa"/>
                <w:left w:w="108" w:type="dxa"/>
                <w:bottom w:w="0" w:type="dxa"/>
                <w:right w:w="108" w:type="dxa"/>
              </w:tblCellMar>
            </w:tblPr>
            <w:tblGrid>
              <w:gridCol w:w="971"/>
              <w:gridCol w:w="971"/>
              <w:gridCol w:w="971"/>
              <w:gridCol w:w="1125"/>
              <w:gridCol w:w="819"/>
              <w:gridCol w:w="971"/>
              <w:gridCol w:w="972"/>
              <w:gridCol w:w="971"/>
            </w:tblGrid>
            <w:tr w14:paraId="65C7D5F2">
              <w:tblPrEx>
                <w:tblCellMar>
                  <w:top w:w="0" w:type="dxa"/>
                  <w:left w:w="108" w:type="dxa"/>
                  <w:bottom w:w="0" w:type="dxa"/>
                  <w:right w:w="108" w:type="dxa"/>
                </w:tblCellMar>
              </w:tblPrEx>
              <w:trPr>
                <w:trHeight w:val="454" w:hRule="atLeast"/>
                <w:tblHeader/>
              </w:trPr>
              <w:tc>
                <w:tcPr>
                  <w:tcW w:w="625" w:type="pct"/>
                  <w:tcBorders>
                    <w:top w:val="single" w:color="auto" w:sz="4" w:space="0"/>
                    <w:left w:val="single" w:color="auto" w:sz="4" w:space="0"/>
                    <w:bottom w:val="single" w:color="auto" w:sz="4" w:space="0"/>
                    <w:right w:val="single" w:color="auto" w:sz="4" w:space="0"/>
                  </w:tcBorders>
                  <w:vAlign w:val="center"/>
                </w:tcPr>
                <w:p w14:paraId="266488DA">
                  <w:pPr>
                    <w:pStyle w:val="65"/>
                    <w:rPr>
                      <w:rFonts w:cs="Times New Roman"/>
                      <w:b/>
                      <w:bCs/>
                      <w:color w:val="auto"/>
                      <w:szCs w:val="21"/>
                    </w:rPr>
                  </w:pPr>
                  <w:r>
                    <w:rPr>
                      <w:rFonts w:cs="Times New Roman"/>
                      <w:b/>
                      <w:bCs/>
                      <w:color w:val="auto"/>
                      <w:szCs w:val="21"/>
                    </w:rPr>
                    <w:t>名称</w:t>
                  </w:r>
                </w:p>
              </w:tc>
              <w:tc>
                <w:tcPr>
                  <w:tcW w:w="625" w:type="pct"/>
                  <w:tcBorders>
                    <w:top w:val="single" w:color="auto" w:sz="4" w:space="0"/>
                    <w:left w:val="nil"/>
                    <w:bottom w:val="single" w:color="auto" w:sz="4" w:space="0"/>
                    <w:right w:val="single" w:color="auto" w:sz="4" w:space="0"/>
                  </w:tcBorders>
                  <w:vAlign w:val="center"/>
                </w:tcPr>
                <w:p w14:paraId="79E2E371">
                  <w:pPr>
                    <w:pStyle w:val="65"/>
                    <w:rPr>
                      <w:rFonts w:cs="Times New Roman"/>
                      <w:b/>
                      <w:bCs/>
                      <w:color w:val="auto"/>
                      <w:szCs w:val="21"/>
                    </w:rPr>
                  </w:pPr>
                  <w:r>
                    <w:rPr>
                      <w:rFonts w:cs="Times New Roman"/>
                      <w:b/>
                      <w:bCs/>
                      <w:color w:val="auto"/>
                      <w:szCs w:val="21"/>
                    </w:rPr>
                    <w:t>噪声源强</w:t>
                  </w:r>
                </w:p>
              </w:tc>
              <w:tc>
                <w:tcPr>
                  <w:tcW w:w="625" w:type="pct"/>
                  <w:tcBorders>
                    <w:top w:val="single" w:color="auto" w:sz="4" w:space="0"/>
                    <w:left w:val="nil"/>
                    <w:bottom w:val="single" w:color="auto" w:sz="4" w:space="0"/>
                    <w:right w:val="single" w:color="auto" w:sz="4" w:space="0"/>
                  </w:tcBorders>
                  <w:vAlign w:val="center"/>
                </w:tcPr>
                <w:p w14:paraId="103C5480">
                  <w:pPr>
                    <w:pStyle w:val="65"/>
                    <w:rPr>
                      <w:rFonts w:cs="Times New Roman"/>
                      <w:b/>
                      <w:bCs/>
                      <w:color w:val="auto"/>
                      <w:szCs w:val="21"/>
                    </w:rPr>
                  </w:pPr>
                  <w:r>
                    <w:rPr>
                      <w:rFonts w:cs="Times New Roman"/>
                      <w:b/>
                      <w:bCs/>
                      <w:color w:val="auto"/>
                      <w:szCs w:val="21"/>
                    </w:rPr>
                    <w:t>与敏感目标距离（m）</w:t>
                  </w:r>
                </w:p>
              </w:tc>
              <w:tc>
                <w:tcPr>
                  <w:tcW w:w="724" w:type="pct"/>
                  <w:tcBorders>
                    <w:top w:val="single" w:color="auto" w:sz="4" w:space="0"/>
                    <w:left w:val="nil"/>
                    <w:bottom w:val="single" w:color="auto" w:sz="4" w:space="0"/>
                    <w:right w:val="single" w:color="auto" w:sz="4" w:space="0"/>
                  </w:tcBorders>
                  <w:vAlign w:val="center"/>
                </w:tcPr>
                <w:p w14:paraId="75825C15">
                  <w:pPr>
                    <w:pStyle w:val="65"/>
                    <w:rPr>
                      <w:rFonts w:cs="Times New Roman"/>
                      <w:b/>
                      <w:bCs/>
                      <w:color w:val="auto"/>
                      <w:szCs w:val="21"/>
                    </w:rPr>
                  </w:pPr>
                  <w:r>
                    <w:rPr>
                      <w:rFonts w:cs="Times New Roman"/>
                      <w:b/>
                      <w:bCs/>
                      <w:color w:val="auto"/>
                      <w:szCs w:val="21"/>
                    </w:rPr>
                    <w:t>设备随距离衰减后的贡献值</w:t>
                  </w:r>
                </w:p>
              </w:tc>
              <w:tc>
                <w:tcPr>
                  <w:tcW w:w="527" w:type="pct"/>
                  <w:tcBorders>
                    <w:top w:val="single" w:color="auto" w:sz="4" w:space="0"/>
                    <w:left w:val="nil"/>
                    <w:bottom w:val="single" w:color="auto" w:sz="4" w:space="0"/>
                    <w:right w:val="single" w:color="auto" w:sz="4" w:space="0"/>
                  </w:tcBorders>
                  <w:vAlign w:val="center"/>
                </w:tcPr>
                <w:p w14:paraId="25138A91">
                  <w:pPr>
                    <w:pStyle w:val="65"/>
                    <w:rPr>
                      <w:rFonts w:cs="Times New Roman"/>
                      <w:b/>
                      <w:bCs/>
                      <w:color w:val="auto"/>
                      <w:szCs w:val="21"/>
                    </w:rPr>
                  </w:pPr>
                  <w:r>
                    <w:rPr>
                      <w:rFonts w:cs="Times New Roman"/>
                      <w:b/>
                      <w:bCs/>
                      <w:color w:val="auto"/>
                      <w:szCs w:val="21"/>
                    </w:rPr>
                    <w:t>背景值*</w:t>
                  </w:r>
                </w:p>
              </w:tc>
              <w:tc>
                <w:tcPr>
                  <w:tcW w:w="625" w:type="pct"/>
                  <w:tcBorders>
                    <w:top w:val="single" w:color="auto" w:sz="4" w:space="0"/>
                    <w:left w:val="nil"/>
                    <w:bottom w:val="single" w:color="auto" w:sz="4" w:space="0"/>
                    <w:right w:val="single" w:color="auto" w:sz="4" w:space="0"/>
                  </w:tcBorders>
                  <w:vAlign w:val="center"/>
                </w:tcPr>
                <w:p w14:paraId="79B796BE">
                  <w:pPr>
                    <w:pStyle w:val="65"/>
                    <w:rPr>
                      <w:rFonts w:cs="Times New Roman"/>
                      <w:b/>
                      <w:bCs/>
                      <w:color w:val="auto"/>
                      <w:szCs w:val="21"/>
                    </w:rPr>
                  </w:pPr>
                  <w:r>
                    <w:rPr>
                      <w:rFonts w:cs="Times New Roman"/>
                      <w:b/>
                      <w:bCs/>
                      <w:color w:val="auto"/>
                      <w:szCs w:val="21"/>
                    </w:rPr>
                    <w:t>预测值</w:t>
                  </w:r>
                </w:p>
              </w:tc>
              <w:tc>
                <w:tcPr>
                  <w:tcW w:w="625" w:type="pct"/>
                  <w:tcBorders>
                    <w:top w:val="single" w:color="auto" w:sz="4" w:space="0"/>
                    <w:left w:val="nil"/>
                    <w:bottom w:val="single" w:color="auto" w:sz="4" w:space="0"/>
                    <w:right w:val="single" w:color="auto" w:sz="4" w:space="0"/>
                  </w:tcBorders>
                  <w:vAlign w:val="center"/>
                </w:tcPr>
                <w:p w14:paraId="131EEE76">
                  <w:pPr>
                    <w:pStyle w:val="65"/>
                    <w:rPr>
                      <w:rFonts w:cs="Times New Roman"/>
                      <w:b/>
                      <w:bCs/>
                      <w:color w:val="auto"/>
                      <w:szCs w:val="21"/>
                    </w:rPr>
                  </w:pPr>
                  <w:r>
                    <w:rPr>
                      <w:rFonts w:cs="Times New Roman"/>
                      <w:b/>
                      <w:bCs/>
                      <w:color w:val="auto"/>
                      <w:szCs w:val="21"/>
                    </w:rPr>
                    <w:t>标准值（昼间）</w:t>
                  </w:r>
                </w:p>
              </w:tc>
              <w:tc>
                <w:tcPr>
                  <w:tcW w:w="625" w:type="pct"/>
                  <w:tcBorders>
                    <w:top w:val="single" w:color="auto" w:sz="4" w:space="0"/>
                    <w:left w:val="nil"/>
                    <w:bottom w:val="single" w:color="auto" w:sz="4" w:space="0"/>
                    <w:right w:val="single" w:color="auto" w:sz="4" w:space="0"/>
                  </w:tcBorders>
                  <w:vAlign w:val="center"/>
                </w:tcPr>
                <w:p w14:paraId="24AEED06">
                  <w:pPr>
                    <w:pStyle w:val="65"/>
                    <w:rPr>
                      <w:rFonts w:cs="Times New Roman"/>
                      <w:b/>
                      <w:bCs/>
                      <w:color w:val="auto"/>
                      <w:szCs w:val="21"/>
                    </w:rPr>
                  </w:pPr>
                  <w:r>
                    <w:rPr>
                      <w:rFonts w:cs="Times New Roman"/>
                      <w:b/>
                      <w:bCs/>
                      <w:color w:val="auto"/>
                      <w:szCs w:val="21"/>
                    </w:rPr>
                    <w:t>达标情况</w:t>
                  </w:r>
                </w:p>
              </w:tc>
            </w:tr>
            <w:tr w14:paraId="7F519BA0">
              <w:tblPrEx>
                <w:tblCellMar>
                  <w:top w:w="0" w:type="dxa"/>
                  <w:left w:w="108" w:type="dxa"/>
                  <w:bottom w:w="0" w:type="dxa"/>
                  <w:right w:w="108" w:type="dxa"/>
                </w:tblCellMar>
              </w:tblPrEx>
              <w:trPr>
                <w:trHeight w:val="454" w:hRule="atLeast"/>
              </w:trPr>
              <w:tc>
                <w:tcPr>
                  <w:tcW w:w="625" w:type="pct"/>
                  <w:tcBorders>
                    <w:top w:val="nil"/>
                    <w:left w:val="single" w:color="auto" w:sz="4" w:space="0"/>
                    <w:bottom w:val="single" w:color="auto" w:sz="4" w:space="0"/>
                    <w:right w:val="single" w:color="auto" w:sz="4" w:space="0"/>
                  </w:tcBorders>
                  <w:vAlign w:val="center"/>
                </w:tcPr>
                <w:p w14:paraId="3E678BCB">
                  <w:pPr>
                    <w:pStyle w:val="65"/>
                    <w:rPr>
                      <w:rFonts w:cs="Times New Roman"/>
                      <w:color w:val="auto"/>
                      <w:szCs w:val="21"/>
                    </w:rPr>
                  </w:pPr>
                  <w:r>
                    <w:rPr>
                      <w:rFonts w:cs="Times New Roman"/>
                      <w:color w:val="auto"/>
                      <w:szCs w:val="21"/>
                    </w:rPr>
                    <w:t>旧村</w:t>
                  </w:r>
                </w:p>
              </w:tc>
              <w:tc>
                <w:tcPr>
                  <w:tcW w:w="625" w:type="pct"/>
                  <w:tcBorders>
                    <w:top w:val="nil"/>
                    <w:left w:val="nil"/>
                    <w:bottom w:val="single" w:color="auto" w:sz="4" w:space="0"/>
                    <w:right w:val="single" w:color="auto" w:sz="4" w:space="0"/>
                  </w:tcBorders>
                  <w:noWrap/>
                  <w:vAlign w:val="center"/>
                </w:tcPr>
                <w:p w14:paraId="256AAD49">
                  <w:pPr>
                    <w:pStyle w:val="65"/>
                    <w:rPr>
                      <w:rFonts w:cs="Times New Roman"/>
                      <w:color w:val="auto"/>
                      <w:szCs w:val="21"/>
                    </w:rPr>
                  </w:pPr>
                  <w:r>
                    <w:rPr>
                      <w:rFonts w:cs="Times New Roman"/>
                      <w:color w:val="auto"/>
                      <w:szCs w:val="21"/>
                    </w:rPr>
                    <w:t>61.2</w:t>
                  </w:r>
                </w:p>
              </w:tc>
              <w:tc>
                <w:tcPr>
                  <w:tcW w:w="625" w:type="pct"/>
                  <w:tcBorders>
                    <w:top w:val="nil"/>
                    <w:left w:val="nil"/>
                    <w:bottom w:val="single" w:color="auto" w:sz="4" w:space="0"/>
                    <w:right w:val="single" w:color="auto" w:sz="4" w:space="0"/>
                  </w:tcBorders>
                  <w:vAlign w:val="center"/>
                </w:tcPr>
                <w:p w14:paraId="08868863">
                  <w:pPr>
                    <w:pStyle w:val="65"/>
                    <w:rPr>
                      <w:rFonts w:cs="Times New Roman"/>
                      <w:color w:val="auto"/>
                      <w:szCs w:val="21"/>
                    </w:rPr>
                  </w:pPr>
                  <w:r>
                    <w:rPr>
                      <w:rFonts w:cs="Times New Roman"/>
                      <w:color w:val="auto"/>
                      <w:szCs w:val="21"/>
                    </w:rPr>
                    <w:t>181</w:t>
                  </w:r>
                </w:p>
              </w:tc>
              <w:tc>
                <w:tcPr>
                  <w:tcW w:w="724" w:type="pct"/>
                  <w:tcBorders>
                    <w:top w:val="nil"/>
                    <w:left w:val="nil"/>
                    <w:bottom w:val="single" w:color="auto" w:sz="4" w:space="0"/>
                    <w:right w:val="single" w:color="auto" w:sz="4" w:space="0"/>
                  </w:tcBorders>
                  <w:noWrap/>
                  <w:vAlign w:val="center"/>
                </w:tcPr>
                <w:p w14:paraId="2C2B00A7">
                  <w:pPr>
                    <w:pStyle w:val="65"/>
                    <w:rPr>
                      <w:rFonts w:cs="Times New Roman"/>
                      <w:color w:val="auto"/>
                      <w:szCs w:val="21"/>
                    </w:rPr>
                  </w:pPr>
                  <w:r>
                    <w:rPr>
                      <w:rFonts w:cs="Times New Roman"/>
                      <w:color w:val="auto"/>
                      <w:szCs w:val="21"/>
                    </w:rPr>
                    <w:t xml:space="preserve">16 </w:t>
                  </w:r>
                </w:p>
              </w:tc>
              <w:tc>
                <w:tcPr>
                  <w:tcW w:w="527" w:type="pct"/>
                  <w:tcBorders>
                    <w:top w:val="nil"/>
                    <w:left w:val="nil"/>
                    <w:bottom w:val="single" w:color="auto" w:sz="4" w:space="0"/>
                    <w:right w:val="single" w:color="auto" w:sz="4" w:space="0"/>
                  </w:tcBorders>
                  <w:noWrap/>
                  <w:vAlign w:val="center"/>
                </w:tcPr>
                <w:p w14:paraId="08C4D379">
                  <w:pPr>
                    <w:pStyle w:val="65"/>
                    <w:rPr>
                      <w:rFonts w:cs="Times New Roman"/>
                      <w:color w:val="auto"/>
                      <w:szCs w:val="21"/>
                    </w:rPr>
                  </w:pPr>
                  <w:r>
                    <w:rPr>
                      <w:rFonts w:cs="Times New Roman"/>
                      <w:color w:val="auto"/>
                      <w:szCs w:val="21"/>
                    </w:rPr>
                    <w:t>43</w:t>
                  </w:r>
                </w:p>
              </w:tc>
              <w:tc>
                <w:tcPr>
                  <w:tcW w:w="625" w:type="pct"/>
                  <w:tcBorders>
                    <w:top w:val="nil"/>
                    <w:left w:val="nil"/>
                    <w:bottom w:val="single" w:color="auto" w:sz="4" w:space="0"/>
                    <w:right w:val="single" w:color="auto" w:sz="4" w:space="0"/>
                  </w:tcBorders>
                  <w:noWrap/>
                  <w:vAlign w:val="center"/>
                </w:tcPr>
                <w:p w14:paraId="01F18368">
                  <w:pPr>
                    <w:pStyle w:val="65"/>
                    <w:rPr>
                      <w:rFonts w:cs="Times New Roman"/>
                      <w:color w:val="auto"/>
                      <w:szCs w:val="21"/>
                    </w:rPr>
                  </w:pPr>
                  <w:r>
                    <w:rPr>
                      <w:rFonts w:cs="Times New Roman"/>
                      <w:color w:val="auto"/>
                      <w:szCs w:val="21"/>
                    </w:rPr>
                    <w:t>43</w:t>
                  </w:r>
                </w:p>
              </w:tc>
              <w:tc>
                <w:tcPr>
                  <w:tcW w:w="625" w:type="pct"/>
                  <w:tcBorders>
                    <w:top w:val="nil"/>
                    <w:left w:val="nil"/>
                    <w:bottom w:val="single" w:color="auto" w:sz="4" w:space="0"/>
                    <w:right w:val="single" w:color="auto" w:sz="4" w:space="0"/>
                  </w:tcBorders>
                  <w:noWrap/>
                  <w:vAlign w:val="center"/>
                </w:tcPr>
                <w:p w14:paraId="294AD3F8">
                  <w:pPr>
                    <w:pStyle w:val="65"/>
                    <w:rPr>
                      <w:rFonts w:cs="Times New Roman"/>
                      <w:color w:val="auto"/>
                      <w:szCs w:val="21"/>
                    </w:rPr>
                  </w:pPr>
                  <w:r>
                    <w:rPr>
                      <w:rFonts w:cs="Times New Roman"/>
                      <w:color w:val="auto"/>
                      <w:szCs w:val="21"/>
                    </w:rPr>
                    <w:t>55</w:t>
                  </w:r>
                </w:p>
              </w:tc>
              <w:tc>
                <w:tcPr>
                  <w:tcW w:w="625" w:type="pct"/>
                  <w:tcBorders>
                    <w:top w:val="nil"/>
                    <w:left w:val="nil"/>
                    <w:bottom w:val="single" w:color="auto" w:sz="4" w:space="0"/>
                    <w:right w:val="single" w:color="auto" w:sz="4" w:space="0"/>
                  </w:tcBorders>
                  <w:noWrap/>
                  <w:vAlign w:val="center"/>
                </w:tcPr>
                <w:p w14:paraId="36B2AADC">
                  <w:pPr>
                    <w:pStyle w:val="65"/>
                    <w:rPr>
                      <w:rFonts w:cs="Times New Roman"/>
                      <w:color w:val="auto"/>
                      <w:szCs w:val="21"/>
                    </w:rPr>
                  </w:pPr>
                  <w:r>
                    <w:rPr>
                      <w:rFonts w:cs="Times New Roman"/>
                      <w:color w:val="auto"/>
                      <w:szCs w:val="21"/>
                    </w:rPr>
                    <w:t>达标</w:t>
                  </w:r>
                </w:p>
              </w:tc>
            </w:tr>
            <w:tr w14:paraId="5A9B8DE3">
              <w:tblPrEx>
                <w:tblCellMar>
                  <w:top w:w="0" w:type="dxa"/>
                  <w:left w:w="108" w:type="dxa"/>
                  <w:bottom w:w="0" w:type="dxa"/>
                  <w:right w:w="108" w:type="dxa"/>
                </w:tblCellMar>
              </w:tblPrEx>
              <w:trPr>
                <w:trHeight w:val="454" w:hRule="atLeast"/>
              </w:trPr>
              <w:tc>
                <w:tcPr>
                  <w:tcW w:w="625" w:type="pct"/>
                  <w:tcBorders>
                    <w:top w:val="nil"/>
                    <w:left w:val="single" w:color="auto" w:sz="4" w:space="0"/>
                    <w:bottom w:val="single" w:color="auto" w:sz="4" w:space="0"/>
                    <w:right w:val="single" w:color="auto" w:sz="4" w:space="0"/>
                  </w:tcBorders>
                  <w:vAlign w:val="center"/>
                </w:tcPr>
                <w:p w14:paraId="78CC43EE">
                  <w:pPr>
                    <w:pStyle w:val="65"/>
                    <w:rPr>
                      <w:rFonts w:cs="Times New Roman"/>
                      <w:color w:val="auto"/>
                      <w:szCs w:val="21"/>
                    </w:rPr>
                  </w:pPr>
                  <w:r>
                    <w:rPr>
                      <w:rFonts w:cs="Times New Roman"/>
                      <w:color w:val="auto"/>
                      <w:szCs w:val="21"/>
                    </w:rPr>
                    <w:t>包茂村</w:t>
                  </w:r>
                </w:p>
              </w:tc>
              <w:tc>
                <w:tcPr>
                  <w:tcW w:w="625" w:type="pct"/>
                  <w:tcBorders>
                    <w:top w:val="nil"/>
                    <w:left w:val="nil"/>
                    <w:bottom w:val="single" w:color="auto" w:sz="4" w:space="0"/>
                    <w:right w:val="single" w:color="auto" w:sz="4" w:space="0"/>
                  </w:tcBorders>
                  <w:noWrap/>
                  <w:vAlign w:val="center"/>
                </w:tcPr>
                <w:p w14:paraId="4F56F693">
                  <w:pPr>
                    <w:pStyle w:val="65"/>
                    <w:rPr>
                      <w:rFonts w:cs="Times New Roman"/>
                      <w:color w:val="auto"/>
                      <w:szCs w:val="21"/>
                    </w:rPr>
                  </w:pPr>
                  <w:r>
                    <w:rPr>
                      <w:rFonts w:cs="Times New Roman"/>
                      <w:color w:val="auto"/>
                      <w:szCs w:val="21"/>
                    </w:rPr>
                    <w:t>61.2</w:t>
                  </w:r>
                </w:p>
              </w:tc>
              <w:tc>
                <w:tcPr>
                  <w:tcW w:w="625" w:type="pct"/>
                  <w:tcBorders>
                    <w:top w:val="nil"/>
                    <w:left w:val="nil"/>
                    <w:bottom w:val="single" w:color="auto" w:sz="4" w:space="0"/>
                    <w:right w:val="single" w:color="auto" w:sz="4" w:space="0"/>
                  </w:tcBorders>
                  <w:vAlign w:val="center"/>
                </w:tcPr>
                <w:p w14:paraId="563E3BA5">
                  <w:pPr>
                    <w:pStyle w:val="65"/>
                    <w:rPr>
                      <w:rFonts w:cs="Times New Roman"/>
                      <w:color w:val="auto"/>
                      <w:szCs w:val="21"/>
                    </w:rPr>
                  </w:pPr>
                  <w:r>
                    <w:rPr>
                      <w:rFonts w:cs="Times New Roman"/>
                      <w:color w:val="auto"/>
                      <w:szCs w:val="21"/>
                    </w:rPr>
                    <w:t>109</w:t>
                  </w:r>
                </w:p>
              </w:tc>
              <w:tc>
                <w:tcPr>
                  <w:tcW w:w="724" w:type="pct"/>
                  <w:tcBorders>
                    <w:top w:val="nil"/>
                    <w:left w:val="nil"/>
                    <w:bottom w:val="single" w:color="auto" w:sz="4" w:space="0"/>
                    <w:right w:val="single" w:color="auto" w:sz="4" w:space="0"/>
                  </w:tcBorders>
                  <w:noWrap/>
                  <w:vAlign w:val="center"/>
                </w:tcPr>
                <w:p w14:paraId="2C830568">
                  <w:pPr>
                    <w:pStyle w:val="65"/>
                    <w:rPr>
                      <w:rFonts w:cs="Times New Roman"/>
                      <w:color w:val="auto"/>
                      <w:szCs w:val="21"/>
                    </w:rPr>
                  </w:pPr>
                  <w:r>
                    <w:rPr>
                      <w:rFonts w:cs="Times New Roman"/>
                      <w:color w:val="auto"/>
                      <w:szCs w:val="21"/>
                    </w:rPr>
                    <w:t xml:space="preserve">20 </w:t>
                  </w:r>
                </w:p>
              </w:tc>
              <w:tc>
                <w:tcPr>
                  <w:tcW w:w="527" w:type="pct"/>
                  <w:tcBorders>
                    <w:top w:val="nil"/>
                    <w:left w:val="nil"/>
                    <w:bottom w:val="single" w:color="auto" w:sz="4" w:space="0"/>
                    <w:right w:val="single" w:color="auto" w:sz="4" w:space="0"/>
                  </w:tcBorders>
                  <w:noWrap/>
                  <w:vAlign w:val="center"/>
                </w:tcPr>
                <w:p w14:paraId="39731FCD">
                  <w:pPr>
                    <w:pStyle w:val="65"/>
                    <w:rPr>
                      <w:rFonts w:cs="Times New Roman"/>
                      <w:color w:val="auto"/>
                      <w:szCs w:val="21"/>
                    </w:rPr>
                  </w:pPr>
                  <w:r>
                    <w:rPr>
                      <w:rFonts w:cs="Times New Roman"/>
                      <w:color w:val="auto"/>
                      <w:szCs w:val="21"/>
                    </w:rPr>
                    <w:t>45</w:t>
                  </w:r>
                </w:p>
              </w:tc>
              <w:tc>
                <w:tcPr>
                  <w:tcW w:w="625" w:type="pct"/>
                  <w:tcBorders>
                    <w:top w:val="nil"/>
                    <w:left w:val="nil"/>
                    <w:bottom w:val="single" w:color="auto" w:sz="4" w:space="0"/>
                    <w:right w:val="single" w:color="auto" w:sz="4" w:space="0"/>
                  </w:tcBorders>
                  <w:noWrap/>
                  <w:vAlign w:val="center"/>
                </w:tcPr>
                <w:p w14:paraId="1097DE15">
                  <w:pPr>
                    <w:pStyle w:val="65"/>
                    <w:rPr>
                      <w:rFonts w:cs="Times New Roman"/>
                      <w:color w:val="auto"/>
                      <w:szCs w:val="21"/>
                    </w:rPr>
                  </w:pPr>
                  <w:r>
                    <w:rPr>
                      <w:rFonts w:cs="Times New Roman"/>
                      <w:color w:val="auto"/>
                      <w:szCs w:val="21"/>
                    </w:rPr>
                    <w:t>45</w:t>
                  </w:r>
                </w:p>
              </w:tc>
              <w:tc>
                <w:tcPr>
                  <w:tcW w:w="625" w:type="pct"/>
                  <w:tcBorders>
                    <w:top w:val="nil"/>
                    <w:left w:val="nil"/>
                    <w:bottom w:val="single" w:color="auto" w:sz="4" w:space="0"/>
                    <w:right w:val="single" w:color="auto" w:sz="4" w:space="0"/>
                  </w:tcBorders>
                  <w:noWrap/>
                  <w:vAlign w:val="center"/>
                </w:tcPr>
                <w:p w14:paraId="2D2F809B">
                  <w:pPr>
                    <w:pStyle w:val="65"/>
                    <w:rPr>
                      <w:rFonts w:cs="Times New Roman"/>
                      <w:color w:val="auto"/>
                      <w:szCs w:val="21"/>
                    </w:rPr>
                  </w:pPr>
                  <w:r>
                    <w:rPr>
                      <w:rFonts w:cs="Times New Roman"/>
                      <w:color w:val="auto"/>
                      <w:szCs w:val="21"/>
                    </w:rPr>
                    <w:t>55</w:t>
                  </w:r>
                </w:p>
              </w:tc>
              <w:tc>
                <w:tcPr>
                  <w:tcW w:w="625" w:type="pct"/>
                  <w:tcBorders>
                    <w:top w:val="nil"/>
                    <w:left w:val="nil"/>
                    <w:bottom w:val="single" w:color="auto" w:sz="4" w:space="0"/>
                    <w:right w:val="single" w:color="auto" w:sz="4" w:space="0"/>
                  </w:tcBorders>
                  <w:noWrap/>
                  <w:vAlign w:val="center"/>
                </w:tcPr>
                <w:p w14:paraId="12657DE6">
                  <w:pPr>
                    <w:pStyle w:val="65"/>
                    <w:rPr>
                      <w:rFonts w:cs="Times New Roman"/>
                      <w:color w:val="auto"/>
                      <w:szCs w:val="21"/>
                    </w:rPr>
                  </w:pPr>
                  <w:r>
                    <w:rPr>
                      <w:rFonts w:cs="Times New Roman"/>
                      <w:color w:val="auto"/>
                      <w:szCs w:val="21"/>
                    </w:rPr>
                    <w:t>达标</w:t>
                  </w:r>
                </w:p>
              </w:tc>
            </w:tr>
            <w:tr w14:paraId="008BB51F">
              <w:tblPrEx>
                <w:tblCellMar>
                  <w:top w:w="0" w:type="dxa"/>
                  <w:left w:w="108" w:type="dxa"/>
                  <w:bottom w:w="0" w:type="dxa"/>
                  <w:right w:w="108" w:type="dxa"/>
                </w:tblCellMar>
              </w:tblPrEx>
              <w:trPr>
                <w:trHeight w:val="454" w:hRule="atLeast"/>
              </w:trPr>
              <w:tc>
                <w:tcPr>
                  <w:tcW w:w="625" w:type="pct"/>
                  <w:tcBorders>
                    <w:top w:val="nil"/>
                    <w:left w:val="single" w:color="auto" w:sz="4" w:space="0"/>
                    <w:bottom w:val="single" w:color="auto" w:sz="4" w:space="0"/>
                    <w:right w:val="single" w:color="auto" w:sz="4" w:space="0"/>
                  </w:tcBorders>
                  <w:vAlign w:val="center"/>
                </w:tcPr>
                <w:p w14:paraId="1C9F132F">
                  <w:pPr>
                    <w:pStyle w:val="65"/>
                    <w:rPr>
                      <w:rFonts w:cs="Times New Roman"/>
                      <w:color w:val="auto"/>
                      <w:szCs w:val="21"/>
                    </w:rPr>
                  </w:pPr>
                  <w:r>
                    <w:rPr>
                      <w:rFonts w:cs="Times New Roman"/>
                      <w:color w:val="auto"/>
                      <w:szCs w:val="21"/>
                    </w:rPr>
                    <w:t>包茂村散户</w:t>
                  </w:r>
                </w:p>
              </w:tc>
              <w:tc>
                <w:tcPr>
                  <w:tcW w:w="625" w:type="pct"/>
                  <w:tcBorders>
                    <w:top w:val="nil"/>
                    <w:left w:val="nil"/>
                    <w:bottom w:val="single" w:color="auto" w:sz="4" w:space="0"/>
                    <w:right w:val="single" w:color="auto" w:sz="4" w:space="0"/>
                  </w:tcBorders>
                  <w:noWrap/>
                  <w:vAlign w:val="center"/>
                </w:tcPr>
                <w:p w14:paraId="1DAFC420">
                  <w:pPr>
                    <w:pStyle w:val="65"/>
                    <w:rPr>
                      <w:rFonts w:cs="Times New Roman"/>
                      <w:color w:val="auto"/>
                      <w:szCs w:val="21"/>
                    </w:rPr>
                  </w:pPr>
                  <w:r>
                    <w:rPr>
                      <w:rFonts w:cs="Times New Roman"/>
                      <w:color w:val="auto"/>
                      <w:szCs w:val="21"/>
                    </w:rPr>
                    <w:t>61.2</w:t>
                  </w:r>
                </w:p>
              </w:tc>
              <w:tc>
                <w:tcPr>
                  <w:tcW w:w="625" w:type="pct"/>
                  <w:tcBorders>
                    <w:top w:val="nil"/>
                    <w:left w:val="nil"/>
                    <w:bottom w:val="single" w:color="auto" w:sz="4" w:space="0"/>
                    <w:right w:val="single" w:color="auto" w:sz="4" w:space="0"/>
                  </w:tcBorders>
                  <w:vAlign w:val="center"/>
                </w:tcPr>
                <w:p w14:paraId="7B03AF20">
                  <w:pPr>
                    <w:pStyle w:val="65"/>
                    <w:rPr>
                      <w:rFonts w:cs="Times New Roman"/>
                      <w:color w:val="auto"/>
                      <w:szCs w:val="21"/>
                    </w:rPr>
                  </w:pPr>
                  <w:r>
                    <w:rPr>
                      <w:rFonts w:cs="Times New Roman"/>
                      <w:color w:val="auto"/>
                      <w:szCs w:val="21"/>
                    </w:rPr>
                    <w:t>89</w:t>
                  </w:r>
                </w:p>
              </w:tc>
              <w:tc>
                <w:tcPr>
                  <w:tcW w:w="724" w:type="pct"/>
                  <w:tcBorders>
                    <w:top w:val="nil"/>
                    <w:left w:val="nil"/>
                    <w:bottom w:val="single" w:color="auto" w:sz="4" w:space="0"/>
                    <w:right w:val="single" w:color="auto" w:sz="4" w:space="0"/>
                  </w:tcBorders>
                  <w:noWrap/>
                  <w:vAlign w:val="center"/>
                </w:tcPr>
                <w:p w14:paraId="576264F8">
                  <w:pPr>
                    <w:pStyle w:val="65"/>
                    <w:rPr>
                      <w:rFonts w:cs="Times New Roman"/>
                      <w:color w:val="auto"/>
                      <w:szCs w:val="21"/>
                    </w:rPr>
                  </w:pPr>
                  <w:r>
                    <w:rPr>
                      <w:rFonts w:cs="Times New Roman"/>
                      <w:color w:val="auto"/>
                      <w:szCs w:val="21"/>
                    </w:rPr>
                    <w:t xml:space="preserve">22 </w:t>
                  </w:r>
                </w:p>
              </w:tc>
              <w:tc>
                <w:tcPr>
                  <w:tcW w:w="527" w:type="pct"/>
                  <w:tcBorders>
                    <w:top w:val="nil"/>
                    <w:left w:val="nil"/>
                    <w:bottom w:val="single" w:color="auto" w:sz="4" w:space="0"/>
                    <w:right w:val="single" w:color="auto" w:sz="4" w:space="0"/>
                  </w:tcBorders>
                  <w:noWrap/>
                  <w:vAlign w:val="center"/>
                </w:tcPr>
                <w:p w14:paraId="74C87228">
                  <w:pPr>
                    <w:pStyle w:val="65"/>
                    <w:rPr>
                      <w:rFonts w:cs="Times New Roman"/>
                      <w:color w:val="auto"/>
                      <w:szCs w:val="21"/>
                    </w:rPr>
                  </w:pPr>
                  <w:r>
                    <w:rPr>
                      <w:rFonts w:cs="Times New Roman"/>
                      <w:color w:val="auto"/>
                      <w:szCs w:val="21"/>
                    </w:rPr>
                    <w:t>43</w:t>
                  </w:r>
                </w:p>
              </w:tc>
              <w:tc>
                <w:tcPr>
                  <w:tcW w:w="625" w:type="pct"/>
                  <w:tcBorders>
                    <w:top w:val="nil"/>
                    <w:left w:val="nil"/>
                    <w:bottom w:val="single" w:color="auto" w:sz="4" w:space="0"/>
                    <w:right w:val="single" w:color="auto" w:sz="4" w:space="0"/>
                  </w:tcBorders>
                  <w:noWrap/>
                  <w:vAlign w:val="center"/>
                </w:tcPr>
                <w:p w14:paraId="48D0503B">
                  <w:pPr>
                    <w:pStyle w:val="65"/>
                    <w:rPr>
                      <w:rFonts w:cs="Times New Roman"/>
                      <w:color w:val="auto"/>
                      <w:szCs w:val="21"/>
                    </w:rPr>
                  </w:pPr>
                  <w:r>
                    <w:rPr>
                      <w:rFonts w:cs="Times New Roman"/>
                      <w:color w:val="auto"/>
                      <w:szCs w:val="21"/>
                    </w:rPr>
                    <w:t>43</w:t>
                  </w:r>
                </w:p>
              </w:tc>
              <w:tc>
                <w:tcPr>
                  <w:tcW w:w="625" w:type="pct"/>
                  <w:tcBorders>
                    <w:top w:val="nil"/>
                    <w:left w:val="nil"/>
                    <w:bottom w:val="single" w:color="auto" w:sz="4" w:space="0"/>
                    <w:right w:val="single" w:color="auto" w:sz="4" w:space="0"/>
                  </w:tcBorders>
                  <w:noWrap/>
                  <w:vAlign w:val="center"/>
                </w:tcPr>
                <w:p w14:paraId="7AA2D041">
                  <w:pPr>
                    <w:pStyle w:val="65"/>
                    <w:rPr>
                      <w:rFonts w:cs="Times New Roman"/>
                      <w:color w:val="auto"/>
                      <w:szCs w:val="21"/>
                    </w:rPr>
                  </w:pPr>
                  <w:r>
                    <w:rPr>
                      <w:rFonts w:cs="Times New Roman"/>
                      <w:color w:val="auto"/>
                      <w:szCs w:val="21"/>
                    </w:rPr>
                    <w:t>55</w:t>
                  </w:r>
                </w:p>
              </w:tc>
              <w:tc>
                <w:tcPr>
                  <w:tcW w:w="625" w:type="pct"/>
                  <w:tcBorders>
                    <w:top w:val="nil"/>
                    <w:left w:val="nil"/>
                    <w:bottom w:val="single" w:color="auto" w:sz="4" w:space="0"/>
                    <w:right w:val="single" w:color="auto" w:sz="4" w:space="0"/>
                  </w:tcBorders>
                  <w:noWrap/>
                  <w:vAlign w:val="center"/>
                </w:tcPr>
                <w:p w14:paraId="531C523C">
                  <w:pPr>
                    <w:pStyle w:val="65"/>
                    <w:rPr>
                      <w:rFonts w:cs="Times New Roman"/>
                      <w:color w:val="auto"/>
                      <w:szCs w:val="21"/>
                    </w:rPr>
                  </w:pPr>
                  <w:r>
                    <w:rPr>
                      <w:rFonts w:cs="Times New Roman"/>
                      <w:color w:val="auto"/>
                      <w:szCs w:val="21"/>
                    </w:rPr>
                    <w:t>达标</w:t>
                  </w:r>
                </w:p>
              </w:tc>
            </w:tr>
            <w:tr w14:paraId="480CC47B">
              <w:tblPrEx>
                <w:tblCellMar>
                  <w:top w:w="0" w:type="dxa"/>
                  <w:left w:w="108" w:type="dxa"/>
                  <w:bottom w:w="0" w:type="dxa"/>
                  <w:right w:w="108" w:type="dxa"/>
                </w:tblCellMar>
              </w:tblPrEx>
              <w:trPr>
                <w:trHeight w:val="454" w:hRule="atLeast"/>
              </w:trPr>
              <w:tc>
                <w:tcPr>
                  <w:tcW w:w="625" w:type="pct"/>
                  <w:tcBorders>
                    <w:top w:val="nil"/>
                    <w:left w:val="single" w:color="auto" w:sz="4" w:space="0"/>
                    <w:bottom w:val="single" w:color="auto" w:sz="4" w:space="0"/>
                    <w:right w:val="single" w:color="auto" w:sz="4" w:space="0"/>
                  </w:tcBorders>
                  <w:vAlign w:val="center"/>
                </w:tcPr>
                <w:p w14:paraId="0AB01A44">
                  <w:pPr>
                    <w:pStyle w:val="65"/>
                    <w:rPr>
                      <w:rFonts w:cs="Times New Roman"/>
                      <w:color w:val="auto"/>
                      <w:szCs w:val="21"/>
                    </w:rPr>
                  </w:pPr>
                  <w:r>
                    <w:rPr>
                      <w:rFonts w:cs="Times New Roman"/>
                      <w:color w:val="auto"/>
                      <w:szCs w:val="21"/>
                    </w:rPr>
                    <w:t>大歇场</w:t>
                  </w:r>
                </w:p>
              </w:tc>
              <w:tc>
                <w:tcPr>
                  <w:tcW w:w="625" w:type="pct"/>
                  <w:tcBorders>
                    <w:top w:val="nil"/>
                    <w:left w:val="nil"/>
                    <w:bottom w:val="single" w:color="auto" w:sz="4" w:space="0"/>
                    <w:right w:val="single" w:color="auto" w:sz="4" w:space="0"/>
                  </w:tcBorders>
                  <w:noWrap/>
                  <w:vAlign w:val="center"/>
                </w:tcPr>
                <w:p w14:paraId="20EC586E">
                  <w:pPr>
                    <w:pStyle w:val="65"/>
                    <w:rPr>
                      <w:rFonts w:cs="Times New Roman"/>
                      <w:color w:val="auto"/>
                      <w:szCs w:val="21"/>
                    </w:rPr>
                  </w:pPr>
                  <w:r>
                    <w:rPr>
                      <w:rFonts w:cs="Times New Roman"/>
                      <w:color w:val="auto"/>
                      <w:szCs w:val="21"/>
                    </w:rPr>
                    <w:t>61.2</w:t>
                  </w:r>
                </w:p>
              </w:tc>
              <w:tc>
                <w:tcPr>
                  <w:tcW w:w="625" w:type="pct"/>
                  <w:tcBorders>
                    <w:top w:val="nil"/>
                    <w:left w:val="nil"/>
                    <w:bottom w:val="single" w:color="auto" w:sz="4" w:space="0"/>
                    <w:right w:val="single" w:color="auto" w:sz="4" w:space="0"/>
                  </w:tcBorders>
                  <w:vAlign w:val="center"/>
                </w:tcPr>
                <w:p w14:paraId="26093C02">
                  <w:pPr>
                    <w:pStyle w:val="65"/>
                    <w:rPr>
                      <w:rFonts w:cs="Times New Roman"/>
                      <w:color w:val="auto"/>
                      <w:szCs w:val="21"/>
                    </w:rPr>
                  </w:pPr>
                  <w:r>
                    <w:rPr>
                      <w:rFonts w:cs="Times New Roman"/>
                      <w:color w:val="auto"/>
                      <w:szCs w:val="21"/>
                    </w:rPr>
                    <w:t>26</w:t>
                  </w:r>
                </w:p>
              </w:tc>
              <w:tc>
                <w:tcPr>
                  <w:tcW w:w="724" w:type="pct"/>
                  <w:tcBorders>
                    <w:top w:val="nil"/>
                    <w:left w:val="nil"/>
                    <w:bottom w:val="single" w:color="auto" w:sz="4" w:space="0"/>
                    <w:right w:val="single" w:color="auto" w:sz="4" w:space="0"/>
                  </w:tcBorders>
                  <w:noWrap/>
                  <w:vAlign w:val="center"/>
                </w:tcPr>
                <w:p w14:paraId="4B4FD1DC">
                  <w:pPr>
                    <w:pStyle w:val="65"/>
                    <w:rPr>
                      <w:rFonts w:cs="Times New Roman"/>
                      <w:color w:val="auto"/>
                      <w:szCs w:val="21"/>
                    </w:rPr>
                  </w:pPr>
                  <w:r>
                    <w:rPr>
                      <w:rFonts w:cs="Times New Roman"/>
                      <w:color w:val="auto"/>
                      <w:szCs w:val="21"/>
                    </w:rPr>
                    <w:t xml:space="preserve">33 </w:t>
                  </w:r>
                </w:p>
              </w:tc>
              <w:tc>
                <w:tcPr>
                  <w:tcW w:w="527" w:type="pct"/>
                  <w:tcBorders>
                    <w:top w:val="nil"/>
                    <w:left w:val="nil"/>
                    <w:bottom w:val="single" w:color="auto" w:sz="4" w:space="0"/>
                    <w:right w:val="single" w:color="auto" w:sz="4" w:space="0"/>
                  </w:tcBorders>
                  <w:noWrap/>
                  <w:vAlign w:val="center"/>
                </w:tcPr>
                <w:p w14:paraId="5032BECC">
                  <w:pPr>
                    <w:pStyle w:val="65"/>
                    <w:rPr>
                      <w:rFonts w:cs="Times New Roman"/>
                      <w:color w:val="auto"/>
                      <w:szCs w:val="21"/>
                    </w:rPr>
                  </w:pPr>
                  <w:r>
                    <w:rPr>
                      <w:rFonts w:cs="Times New Roman"/>
                      <w:color w:val="auto"/>
                      <w:szCs w:val="21"/>
                    </w:rPr>
                    <w:t>45</w:t>
                  </w:r>
                </w:p>
              </w:tc>
              <w:tc>
                <w:tcPr>
                  <w:tcW w:w="625" w:type="pct"/>
                  <w:tcBorders>
                    <w:top w:val="nil"/>
                    <w:left w:val="nil"/>
                    <w:bottom w:val="single" w:color="auto" w:sz="4" w:space="0"/>
                    <w:right w:val="single" w:color="auto" w:sz="4" w:space="0"/>
                  </w:tcBorders>
                  <w:noWrap/>
                  <w:vAlign w:val="center"/>
                </w:tcPr>
                <w:p w14:paraId="45CE8069">
                  <w:pPr>
                    <w:pStyle w:val="65"/>
                    <w:rPr>
                      <w:rFonts w:cs="Times New Roman"/>
                      <w:color w:val="auto"/>
                      <w:szCs w:val="21"/>
                    </w:rPr>
                  </w:pPr>
                  <w:r>
                    <w:rPr>
                      <w:rFonts w:cs="Times New Roman"/>
                      <w:color w:val="auto"/>
                      <w:szCs w:val="21"/>
                    </w:rPr>
                    <w:t>43</w:t>
                  </w:r>
                </w:p>
              </w:tc>
              <w:tc>
                <w:tcPr>
                  <w:tcW w:w="625" w:type="pct"/>
                  <w:tcBorders>
                    <w:top w:val="nil"/>
                    <w:left w:val="nil"/>
                    <w:bottom w:val="single" w:color="auto" w:sz="4" w:space="0"/>
                    <w:right w:val="single" w:color="auto" w:sz="4" w:space="0"/>
                  </w:tcBorders>
                  <w:noWrap/>
                  <w:vAlign w:val="center"/>
                </w:tcPr>
                <w:p w14:paraId="1E210FFE">
                  <w:pPr>
                    <w:pStyle w:val="65"/>
                    <w:rPr>
                      <w:rFonts w:cs="Times New Roman"/>
                      <w:color w:val="auto"/>
                      <w:szCs w:val="21"/>
                    </w:rPr>
                  </w:pPr>
                  <w:r>
                    <w:rPr>
                      <w:rFonts w:cs="Times New Roman"/>
                      <w:color w:val="auto"/>
                      <w:szCs w:val="21"/>
                    </w:rPr>
                    <w:t>55</w:t>
                  </w:r>
                </w:p>
              </w:tc>
              <w:tc>
                <w:tcPr>
                  <w:tcW w:w="625" w:type="pct"/>
                  <w:tcBorders>
                    <w:top w:val="nil"/>
                    <w:left w:val="nil"/>
                    <w:bottom w:val="single" w:color="auto" w:sz="4" w:space="0"/>
                    <w:right w:val="single" w:color="auto" w:sz="4" w:space="0"/>
                  </w:tcBorders>
                  <w:noWrap/>
                  <w:vAlign w:val="center"/>
                </w:tcPr>
                <w:p w14:paraId="756F4090">
                  <w:pPr>
                    <w:pStyle w:val="65"/>
                    <w:rPr>
                      <w:rFonts w:cs="Times New Roman"/>
                      <w:color w:val="auto"/>
                      <w:szCs w:val="21"/>
                    </w:rPr>
                  </w:pPr>
                  <w:r>
                    <w:rPr>
                      <w:rFonts w:cs="Times New Roman"/>
                      <w:color w:val="auto"/>
                      <w:szCs w:val="21"/>
                    </w:rPr>
                    <w:t>达标</w:t>
                  </w:r>
                </w:p>
              </w:tc>
            </w:tr>
            <w:tr w14:paraId="01DC7131">
              <w:tblPrEx>
                <w:tblCellMar>
                  <w:top w:w="0" w:type="dxa"/>
                  <w:left w:w="108" w:type="dxa"/>
                  <w:bottom w:w="0" w:type="dxa"/>
                  <w:right w:w="108" w:type="dxa"/>
                </w:tblCellMar>
              </w:tblPrEx>
              <w:trPr>
                <w:trHeight w:val="454" w:hRule="atLeast"/>
              </w:trPr>
              <w:tc>
                <w:tcPr>
                  <w:tcW w:w="625" w:type="pct"/>
                  <w:tcBorders>
                    <w:top w:val="nil"/>
                    <w:left w:val="single" w:color="auto" w:sz="4" w:space="0"/>
                    <w:bottom w:val="single" w:color="auto" w:sz="4" w:space="0"/>
                    <w:right w:val="single" w:color="auto" w:sz="4" w:space="0"/>
                  </w:tcBorders>
                  <w:vAlign w:val="center"/>
                </w:tcPr>
                <w:p w14:paraId="2CDA7961">
                  <w:pPr>
                    <w:pStyle w:val="65"/>
                    <w:rPr>
                      <w:rFonts w:cs="Times New Roman"/>
                      <w:color w:val="auto"/>
                      <w:szCs w:val="21"/>
                    </w:rPr>
                  </w:pPr>
                  <w:r>
                    <w:rPr>
                      <w:rFonts w:cs="Times New Roman"/>
                      <w:color w:val="auto"/>
                      <w:szCs w:val="21"/>
                    </w:rPr>
                    <w:t>大平掌</w:t>
                  </w:r>
                </w:p>
              </w:tc>
              <w:tc>
                <w:tcPr>
                  <w:tcW w:w="625" w:type="pct"/>
                  <w:tcBorders>
                    <w:top w:val="nil"/>
                    <w:left w:val="nil"/>
                    <w:bottom w:val="single" w:color="auto" w:sz="4" w:space="0"/>
                    <w:right w:val="single" w:color="auto" w:sz="4" w:space="0"/>
                  </w:tcBorders>
                  <w:noWrap/>
                  <w:vAlign w:val="center"/>
                </w:tcPr>
                <w:p w14:paraId="546F37C8">
                  <w:pPr>
                    <w:pStyle w:val="65"/>
                    <w:rPr>
                      <w:rFonts w:cs="Times New Roman"/>
                      <w:color w:val="auto"/>
                      <w:szCs w:val="21"/>
                    </w:rPr>
                  </w:pPr>
                  <w:r>
                    <w:rPr>
                      <w:rFonts w:cs="Times New Roman"/>
                      <w:color w:val="auto"/>
                      <w:szCs w:val="21"/>
                    </w:rPr>
                    <w:t>61.2</w:t>
                  </w:r>
                </w:p>
              </w:tc>
              <w:tc>
                <w:tcPr>
                  <w:tcW w:w="625" w:type="pct"/>
                  <w:tcBorders>
                    <w:top w:val="nil"/>
                    <w:left w:val="nil"/>
                    <w:bottom w:val="single" w:color="auto" w:sz="4" w:space="0"/>
                    <w:right w:val="single" w:color="auto" w:sz="4" w:space="0"/>
                  </w:tcBorders>
                  <w:vAlign w:val="center"/>
                </w:tcPr>
                <w:p w14:paraId="49BBE0AD">
                  <w:pPr>
                    <w:pStyle w:val="65"/>
                    <w:rPr>
                      <w:rFonts w:cs="Times New Roman"/>
                      <w:color w:val="auto"/>
                      <w:szCs w:val="21"/>
                    </w:rPr>
                  </w:pPr>
                  <w:r>
                    <w:rPr>
                      <w:rFonts w:cs="Times New Roman"/>
                      <w:color w:val="auto"/>
                      <w:szCs w:val="21"/>
                    </w:rPr>
                    <w:t>164</w:t>
                  </w:r>
                </w:p>
              </w:tc>
              <w:tc>
                <w:tcPr>
                  <w:tcW w:w="724" w:type="pct"/>
                  <w:tcBorders>
                    <w:top w:val="nil"/>
                    <w:left w:val="nil"/>
                    <w:bottom w:val="single" w:color="auto" w:sz="4" w:space="0"/>
                    <w:right w:val="single" w:color="auto" w:sz="4" w:space="0"/>
                  </w:tcBorders>
                  <w:noWrap/>
                  <w:vAlign w:val="center"/>
                </w:tcPr>
                <w:p w14:paraId="47A731B3">
                  <w:pPr>
                    <w:pStyle w:val="65"/>
                    <w:rPr>
                      <w:rFonts w:cs="Times New Roman"/>
                      <w:color w:val="auto"/>
                      <w:szCs w:val="21"/>
                    </w:rPr>
                  </w:pPr>
                  <w:r>
                    <w:rPr>
                      <w:rFonts w:cs="Times New Roman"/>
                      <w:color w:val="auto"/>
                      <w:szCs w:val="21"/>
                    </w:rPr>
                    <w:t xml:space="preserve">17 </w:t>
                  </w:r>
                </w:p>
              </w:tc>
              <w:tc>
                <w:tcPr>
                  <w:tcW w:w="527" w:type="pct"/>
                  <w:tcBorders>
                    <w:top w:val="nil"/>
                    <w:left w:val="nil"/>
                    <w:bottom w:val="single" w:color="auto" w:sz="4" w:space="0"/>
                    <w:right w:val="single" w:color="auto" w:sz="4" w:space="0"/>
                  </w:tcBorders>
                  <w:noWrap/>
                  <w:vAlign w:val="center"/>
                </w:tcPr>
                <w:p w14:paraId="742A8C98">
                  <w:pPr>
                    <w:pStyle w:val="65"/>
                    <w:rPr>
                      <w:rFonts w:cs="Times New Roman"/>
                      <w:color w:val="auto"/>
                      <w:szCs w:val="21"/>
                    </w:rPr>
                  </w:pPr>
                  <w:r>
                    <w:rPr>
                      <w:rFonts w:cs="Times New Roman"/>
                      <w:color w:val="auto"/>
                      <w:szCs w:val="21"/>
                    </w:rPr>
                    <w:t>43</w:t>
                  </w:r>
                </w:p>
              </w:tc>
              <w:tc>
                <w:tcPr>
                  <w:tcW w:w="625" w:type="pct"/>
                  <w:tcBorders>
                    <w:top w:val="nil"/>
                    <w:left w:val="nil"/>
                    <w:bottom w:val="single" w:color="auto" w:sz="4" w:space="0"/>
                    <w:right w:val="single" w:color="auto" w:sz="4" w:space="0"/>
                  </w:tcBorders>
                  <w:noWrap/>
                  <w:vAlign w:val="center"/>
                </w:tcPr>
                <w:p w14:paraId="1F60AAFE">
                  <w:pPr>
                    <w:pStyle w:val="65"/>
                    <w:rPr>
                      <w:rFonts w:cs="Times New Roman"/>
                      <w:color w:val="auto"/>
                      <w:szCs w:val="21"/>
                    </w:rPr>
                  </w:pPr>
                  <w:r>
                    <w:rPr>
                      <w:rFonts w:cs="Times New Roman"/>
                      <w:color w:val="auto"/>
                      <w:szCs w:val="21"/>
                    </w:rPr>
                    <w:t>43</w:t>
                  </w:r>
                </w:p>
              </w:tc>
              <w:tc>
                <w:tcPr>
                  <w:tcW w:w="625" w:type="pct"/>
                  <w:tcBorders>
                    <w:top w:val="nil"/>
                    <w:left w:val="nil"/>
                    <w:bottom w:val="single" w:color="auto" w:sz="4" w:space="0"/>
                    <w:right w:val="single" w:color="auto" w:sz="4" w:space="0"/>
                  </w:tcBorders>
                  <w:noWrap/>
                  <w:vAlign w:val="center"/>
                </w:tcPr>
                <w:p w14:paraId="5A8C8AD8">
                  <w:pPr>
                    <w:pStyle w:val="65"/>
                    <w:rPr>
                      <w:rFonts w:cs="Times New Roman"/>
                      <w:color w:val="auto"/>
                      <w:szCs w:val="21"/>
                    </w:rPr>
                  </w:pPr>
                  <w:r>
                    <w:rPr>
                      <w:rFonts w:cs="Times New Roman"/>
                      <w:color w:val="auto"/>
                      <w:szCs w:val="21"/>
                    </w:rPr>
                    <w:t>55</w:t>
                  </w:r>
                </w:p>
              </w:tc>
              <w:tc>
                <w:tcPr>
                  <w:tcW w:w="625" w:type="pct"/>
                  <w:tcBorders>
                    <w:top w:val="nil"/>
                    <w:left w:val="nil"/>
                    <w:bottom w:val="single" w:color="auto" w:sz="4" w:space="0"/>
                    <w:right w:val="single" w:color="auto" w:sz="4" w:space="0"/>
                  </w:tcBorders>
                  <w:noWrap/>
                  <w:vAlign w:val="center"/>
                </w:tcPr>
                <w:p w14:paraId="5CB75FA0">
                  <w:pPr>
                    <w:pStyle w:val="65"/>
                    <w:rPr>
                      <w:rFonts w:cs="Times New Roman"/>
                      <w:color w:val="auto"/>
                      <w:szCs w:val="21"/>
                    </w:rPr>
                  </w:pPr>
                  <w:r>
                    <w:rPr>
                      <w:rFonts w:cs="Times New Roman"/>
                      <w:color w:val="auto"/>
                      <w:szCs w:val="21"/>
                    </w:rPr>
                    <w:t>达标</w:t>
                  </w:r>
                </w:p>
              </w:tc>
            </w:tr>
            <w:tr w14:paraId="1535FBDB">
              <w:tblPrEx>
                <w:tblCellMar>
                  <w:top w:w="0" w:type="dxa"/>
                  <w:left w:w="108" w:type="dxa"/>
                  <w:bottom w:w="0" w:type="dxa"/>
                  <w:right w:w="108" w:type="dxa"/>
                </w:tblCellMar>
              </w:tblPrEx>
              <w:trPr>
                <w:trHeight w:val="454" w:hRule="atLeast"/>
              </w:trPr>
              <w:tc>
                <w:tcPr>
                  <w:tcW w:w="625" w:type="pct"/>
                  <w:tcBorders>
                    <w:top w:val="nil"/>
                    <w:left w:val="single" w:color="auto" w:sz="4" w:space="0"/>
                    <w:bottom w:val="single" w:color="auto" w:sz="4" w:space="0"/>
                    <w:right w:val="single" w:color="auto" w:sz="4" w:space="0"/>
                  </w:tcBorders>
                  <w:vAlign w:val="center"/>
                </w:tcPr>
                <w:p w14:paraId="00EF2624">
                  <w:pPr>
                    <w:pStyle w:val="65"/>
                    <w:rPr>
                      <w:rFonts w:cs="Times New Roman"/>
                      <w:color w:val="auto"/>
                      <w:szCs w:val="21"/>
                    </w:rPr>
                  </w:pPr>
                  <w:r>
                    <w:rPr>
                      <w:rFonts w:cs="Times New Roman"/>
                      <w:color w:val="auto"/>
                      <w:szCs w:val="21"/>
                    </w:rPr>
                    <w:t>下朵么</w:t>
                  </w:r>
                </w:p>
              </w:tc>
              <w:tc>
                <w:tcPr>
                  <w:tcW w:w="625" w:type="pct"/>
                  <w:tcBorders>
                    <w:top w:val="nil"/>
                    <w:left w:val="nil"/>
                    <w:bottom w:val="single" w:color="auto" w:sz="4" w:space="0"/>
                    <w:right w:val="single" w:color="auto" w:sz="4" w:space="0"/>
                  </w:tcBorders>
                  <w:noWrap/>
                  <w:vAlign w:val="center"/>
                </w:tcPr>
                <w:p w14:paraId="7196F58A">
                  <w:pPr>
                    <w:pStyle w:val="65"/>
                    <w:rPr>
                      <w:rFonts w:cs="Times New Roman"/>
                      <w:color w:val="auto"/>
                      <w:szCs w:val="21"/>
                    </w:rPr>
                  </w:pPr>
                  <w:r>
                    <w:rPr>
                      <w:rFonts w:cs="Times New Roman"/>
                      <w:color w:val="auto"/>
                      <w:szCs w:val="21"/>
                    </w:rPr>
                    <w:t>61.2</w:t>
                  </w:r>
                </w:p>
              </w:tc>
              <w:tc>
                <w:tcPr>
                  <w:tcW w:w="625" w:type="pct"/>
                  <w:tcBorders>
                    <w:top w:val="nil"/>
                    <w:left w:val="nil"/>
                    <w:bottom w:val="single" w:color="auto" w:sz="4" w:space="0"/>
                    <w:right w:val="single" w:color="auto" w:sz="4" w:space="0"/>
                  </w:tcBorders>
                  <w:vAlign w:val="center"/>
                </w:tcPr>
                <w:p w14:paraId="4756A464">
                  <w:pPr>
                    <w:pStyle w:val="65"/>
                    <w:rPr>
                      <w:rFonts w:cs="Times New Roman"/>
                      <w:color w:val="auto"/>
                      <w:szCs w:val="21"/>
                    </w:rPr>
                  </w:pPr>
                  <w:r>
                    <w:rPr>
                      <w:rFonts w:cs="Times New Roman"/>
                      <w:color w:val="auto"/>
                      <w:szCs w:val="21"/>
                    </w:rPr>
                    <w:t>168</w:t>
                  </w:r>
                </w:p>
              </w:tc>
              <w:tc>
                <w:tcPr>
                  <w:tcW w:w="724" w:type="pct"/>
                  <w:tcBorders>
                    <w:top w:val="nil"/>
                    <w:left w:val="nil"/>
                    <w:bottom w:val="single" w:color="auto" w:sz="4" w:space="0"/>
                    <w:right w:val="single" w:color="auto" w:sz="4" w:space="0"/>
                  </w:tcBorders>
                  <w:noWrap/>
                  <w:vAlign w:val="center"/>
                </w:tcPr>
                <w:p w14:paraId="61ED6153">
                  <w:pPr>
                    <w:pStyle w:val="65"/>
                    <w:rPr>
                      <w:rFonts w:cs="Times New Roman"/>
                      <w:color w:val="auto"/>
                      <w:szCs w:val="21"/>
                    </w:rPr>
                  </w:pPr>
                  <w:r>
                    <w:rPr>
                      <w:rFonts w:cs="Times New Roman"/>
                      <w:color w:val="auto"/>
                      <w:szCs w:val="21"/>
                    </w:rPr>
                    <w:t xml:space="preserve">17 </w:t>
                  </w:r>
                </w:p>
              </w:tc>
              <w:tc>
                <w:tcPr>
                  <w:tcW w:w="527" w:type="pct"/>
                  <w:tcBorders>
                    <w:top w:val="nil"/>
                    <w:left w:val="nil"/>
                    <w:bottom w:val="single" w:color="auto" w:sz="4" w:space="0"/>
                    <w:right w:val="single" w:color="auto" w:sz="4" w:space="0"/>
                  </w:tcBorders>
                  <w:noWrap/>
                  <w:vAlign w:val="center"/>
                </w:tcPr>
                <w:p w14:paraId="6ABB948D">
                  <w:pPr>
                    <w:pStyle w:val="65"/>
                    <w:rPr>
                      <w:rFonts w:cs="Times New Roman"/>
                      <w:color w:val="auto"/>
                      <w:szCs w:val="21"/>
                    </w:rPr>
                  </w:pPr>
                  <w:r>
                    <w:rPr>
                      <w:rFonts w:cs="Times New Roman"/>
                      <w:color w:val="auto"/>
                      <w:szCs w:val="21"/>
                    </w:rPr>
                    <w:t>43</w:t>
                  </w:r>
                </w:p>
              </w:tc>
              <w:tc>
                <w:tcPr>
                  <w:tcW w:w="625" w:type="pct"/>
                  <w:tcBorders>
                    <w:top w:val="nil"/>
                    <w:left w:val="nil"/>
                    <w:bottom w:val="single" w:color="auto" w:sz="4" w:space="0"/>
                    <w:right w:val="single" w:color="auto" w:sz="4" w:space="0"/>
                  </w:tcBorders>
                  <w:noWrap/>
                  <w:vAlign w:val="center"/>
                </w:tcPr>
                <w:p w14:paraId="393ED88A">
                  <w:pPr>
                    <w:pStyle w:val="65"/>
                    <w:rPr>
                      <w:rFonts w:cs="Times New Roman"/>
                      <w:color w:val="auto"/>
                      <w:szCs w:val="21"/>
                    </w:rPr>
                  </w:pPr>
                  <w:r>
                    <w:rPr>
                      <w:rFonts w:cs="Times New Roman"/>
                      <w:color w:val="auto"/>
                      <w:szCs w:val="21"/>
                    </w:rPr>
                    <w:t>43</w:t>
                  </w:r>
                </w:p>
              </w:tc>
              <w:tc>
                <w:tcPr>
                  <w:tcW w:w="625" w:type="pct"/>
                  <w:tcBorders>
                    <w:top w:val="nil"/>
                    <w:left w:val="nil"/>
                    <w:bottom w:val="single" w:color="auto" w:sz="4" w:space="0"/>
                    <w:right w:val="single" w:color="auto" w:sz="4" w:space="0"/>
                  </w:tcBorders>
                  <w:noWrap/>
                  <w:vAlign w:val="center"/>
                </w:tcPr>
                <w:p w14:paraId="3B05EE84">
                  <w:pPr>
                    <w:pStyle w:val="65"/>
                    <w:rPr>
                      <w:rFonts w:cs="Times New Roman"/>
                      <w:color w:val="auto"/>
                      <w:szCs w:val="21"/>
                    </w:rPr>
                  </w:pPr>
                  <w:r>
                    <w:rPr>
                      <w:rFonts w:cs="Times New Roman"/>
                      <w:color w:val="auto"/>
                      <w:szCs w:val="21"/>
                    </w:rPr>
                    <w:t>55</w:t>
                  </w:r>
                </w:p>
              </w:tc>
              <w:tc>
                <w:tcPr>
                  <w:tcW w:w="625" w:type="pct"/>
                  <w:tcBorders>
                    <w:top w:val="nil"/>
                    <w:left w:val="nil"/>
                    <w:bottom w:val="single" w:color="auto" w:sz="4" w:space="0"/>
                    <w:right w:val="single" w:color="auto" w:sz="4" w:space="0"/>
                  </w:tcBorders>
                  <w:noWrap/>
                  <w:vAlign w:val="center"/>
                </w:tcPr>
                <w:p w14:paraId="6D9C0342">
                  <w:pPr>
                    <w:pStyle w:val="65"/>
                    <w:rPr>
                      <w:rFonts w:cs="Times New Roman"/>
                      <w:color w:val="auto"/>
                      <w:szCs w:val="21"/>
                    </w:rPr>
                  </w:pPr>
                  <w:r>
                    <w:rPr>
                      <w:rFonts w:cs="Times New Roman"/>
                      <w:color w:val="auto"/>
                      <w:szCs w:val="21"/>
                    </w:rPr>
                    <w:t>达标</w:t>
                  </w:r>
                </w:p>
              </w:tc>
            </w:tr>
          </w:tbl>
          <w:p w14:paraId="162E23B0">
            <w:pPr>
              <w:tabs>
                <w:tab w:val="left" w:pos="3134"/>
              </w:tabs>
              <w:ind w:firstLine="480"/>
              <w:rPr>
                <w:rFonts w:cs="Times New Roman"/>
                <w:color w:val="auto"/>
                <w:szCs w:val="21"/>
              </w:rPr>
            </w:pPr>
            <w:r>
              <w:rPr>
                <w:rFonts w:hint="eastAsia" w:cs="Times New Roman"/>
                <w:color w:val="auto"/>
                <w:szCs w:val="21"/>
              </w:rPr>
              <w:t>备注：（1）本次运营期预测背景值选用现状监测点位最大值进行叠加计算。</w:t>
            </w:r>
          </w:p>
          <w:p w14:paraId="031BD92E">
            <w:pPr>
              <w:tabs>
                <w:tab w:val="left" w:pos="3134"/>
              </w:tabs>
              <w:ind w:firstLine="480"/>
              <w:rPr>
                <w:rFonts w:cs="Times New Roman"/>
                <w:color w:val="auto"/>
                <w:szCs w:val="21"/>
              </w:rPr>
            </w:pPr>
            <w:r>
              <w:rPr>
                <w:rFonts w:hint="eastAsia" w:cs="Times New Roman"/>
                <w:color w:val="auto"/>
                <w:szCs w:val="21"/>
              </w:rPr>
              <w:t>（2）光伏组件因夜间无光照停止发电，逆变器无直流电输入而处于待机状态。由于本项目未配置储能设备，逆变器无法通过储能单元取电运行，进而使箱变主回路因无交流电输入而停运。因此，夜间箱变与逆变器夜间均不运行，仅保留必要的监控与辅助电源低功耗工作。</w:t>
            </w:r>
          </w:p>
          <w:p w14:paraId="5E675CB3">
            <w:pPr>
              <w:tabs>
                <w:tab w:val="left" w:pos="3134"/>
              </w:tabs>
              <w:ind w:firstLine="480"/>
              <w:rPr>
                <w:color w:val="auto"/>
                <w:szCs w:val="21"/>
              </w:rPr>
            </w:pPr>
            <w:r>
              <w:rPr>
                <w:rFonts w:hint="eastAsia" w:cs="Times New Roman"/>
                <w:color w:val="auto"/>
                <w:szCs w:val="21"/>
              </w:rPr>
              <w:t>本项目在设计阶段箱、逆变器布设已经远离居民区，</w:t>
            </w:r>
            <w:r>
              <w:rPr>
                <w:rFonts w:hint="eastAsia"/>
                <w:color w:val="auto"/>
                <w:szCs w:val="21"/>
              </w:rPr>
              <w:t>以及</w:t>
            </w:r>
            <w:r>
              <w:rPr>
                <w:color w:val="auto"/>
                <w:szCs w:val="21"/>
              </w:rPr>
              <w:fldChar w:fldCharType="begin"/>
            </w:r>
            <w:r>
              <w:rPr>
                <w:color w:val="auto"/>
                <w:szCs w:val="21"/>
              </w:rPr>
              <w:instrText xml:space="preserve"> </w:instrText>
            </w:r>
            <w:r>
              <w:rPr>
                <w:rFonts w:hint="eastAsia"/>
                <w:color w:val="auto"/>
                <w:szCs w:val="21"/>
              </w:rPr>
              <w:instrText xml:space="preserve">REF _Ref160731429 \h</w:instrText>
            </w:r>
            <w:r>
              <w:rPr>
                <w:color w:val="auto"/>
                <w:szCs w:val="21"/>
              </w:rPr>
              <w:instrText xml:space="preserve">  \* MERGEFORMAT </w:instrText>
            </w:r>
            <w:r>
              <w:rPr>
                <w:color w:val="auto"/>
                <w:szCs w:val="21"/>
              </w:rPr>
              <w:fldChar w:fldCharType="separate"/>
            </w:r>
            <w:r>
              <w:rPr>
                <w:color w:val="auto"/>
                <w:szCs w:val="24"/>
              </w:rPr>
              <w:t>表 4.6</w:t>
            </w:r>
            <w:r>
              <w:rPr>
                <w:color w:val="auto"/>
                <w:szCs w:val="24"/>
              </w:rPr>
              <w:noBreakHyphen/>
            </w:r>
            <w:r>
              <w:rPr>
                <w:color w:val="auto"/>
                <w:szCs w:val="24"/>
              </w:rPr>
              <w:t>3</w:t>
            </w:r>
            <w:r>
              <w:rPr>
                <w:color w:val="auto"/>
                <w:szCs w:val="21"/>
              </w:rPr>
              <w:fldChar w:fldCharType="end"/>
            </w:r>
            <w:r>
              <w:rPr>
                <w:rFonts w:hint="eastAsia"/>
                <w:color w:val="auto"/>
                <w:szCs w:val="21"/>
              </w:rPr>
              <w:t>噪声预测结果表明昼间和夜间噪声预测值，通过对箱式变压器设置于箱变房内，逆变器设置于逆变器箱内，进行密封隔声后敏感点处噪声可以满足《声环境质量标准》（GB3096-2008）中1类标准限值要求，即：昼间55dB（A），夜间不运行，对周边居民的影响较小。</w:t>
            </w:r>
          </w:p>
          <w:p w14:paraId="3E5C3890">
            <w:pPr>
              <w:ind w:firstLine="482"/>
              <w:rPr>
                <w:b/>
                <w:bCs/>
                <w:color w:val="auto"/>
                <w:szCs w:val="21"/>
              </w:rPr>
            </w:pPr>
            <w:r>
              <w:rPr>
                <w:rFonts w:hint="eastAsia"/>
                <w:b/>
                <w:bCs/>
                <w:color w:val="auto"/>
                <w:szCs w:val="21"/>
              </w:rPr>
              <w:t>（3）运营期噪声减缓措施</w:t>
            </w:r>
          </w:p>
          <w:p w14:paraId="72F2CE9E">
            <w:pPr>
              <w:ind w:firstLine="480"/>
              <w:rPr>
                <w:color w:val="auto"/>
                <w:szCs w:val="21"/>
              </w:rPr>
            </w:pPr>
            <w:r>
              <w:rPr>
                <w:rFonts w:hint="eastAsia"/>
                <w:color w:val="auto"/>
                <w:szCs w:val="21"/>
              </w:rPr>
              <w:t>项目运营期箱变、逆变器选用低噪声类型设备，均设置外壳隔声，设备底部基础安装减振垫；加强对箱变、逆变器的定期检查维护使其处于正常稳定的运行状态；本项目选用的设备噪声源强低，同时太阳能发电工程具有极强的周期性，仅白天运行</w:t>
            </w:r>
            <w:r>
              <w:rPr>
                <w:color w:val="auto"/>
                <w:szCs w:val="21"/>
              </w:rPr>
              <w:t>。</w:t>
            </w:r>
            <w:r>
              <w:rPr>
                <w:rFonts w:hint="eastAsia"/>
                <w:color w:val="auto"/>
                <w:szCs w:val="21"/>
              </w:rPr>
              <w:t>采取以上措施后项目运营期对周围声环境影响较小。</w:t>
            </w:r>
          </w:p>
          <w:p w14:paraId="67ED6939">
            <w:pPr>
              <w:pStyle w:val="4"/>
              <w:spacing w:before="48" w:after="48"/>
              <w:rPr>
                <w:color w:val="auto"/>
              </w:rPr>
            </w:pPr>
            <w:bookmarkStart w:id="1122" w:name="_Toc136794223"/>
            <w:bookmarkStart w:id="1123" w:name="_Toc112424304"/>
            <w:bookmarkStart w:id="1124" w:name="_Toc12512"/>
            <w:bookmarkStart w:id="1125" w:name="_Toc136794348"/>
            <w:bookmarkStart w:id="1126" w:name="_Toc112165667"/>
            <w:bookmarkStart w:id="1127" w:name="_Toc112173962"/>
            <w:bookmarkStart w:id="1128" w:name="_Toc20215"/>
            <w:bookmarkStart w:id="1129" w:name="_Toc156137873"/>
            <w:bookmarkStart w:id="1130" w:name="_Toc156144187"/>
            <w:bookmarkStart w:id="1131" w:name="_Toc158491294"/>
            <w:bookmarkStart w:id="1132" w:name="_Toc159349062"/>
            <w:bookmarkStart w:id="1133" w:name="_Toc160473833"/>
            <w:bookmarkStart w:id="1134" w:name="_Toc160730909"/>
            <w:bookmarkStart w:id="1135" w:name="_Toc161415587"/>
            <w:bookmarkStart w:id="1136" w:name="_Toc177488227"/>
            <w:bookmarkStart w:id="1137" w:name="_Toc181738237"/>
            <w:bookmarkStart w:id="1138" w:name="_Toc181732830"/>
            <w:bookmarkStart w:id="1139" w:name="_Toc177072843"/>
            <w:bookmarkStart w:id="1140" w:name="_Toc181293552"/>
            <w:bookmarkStart w:id="1141" w:name="_Toc177482915"/>
            <w:bookmarkStart w:id="1142" w:name="_Toc177072415"/>
            <w:r>
              <w:rPr>
                <w:color w:val="auto"/>
              </w:rPr>
              <w:t>固体废物影响分析</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19EAAA38">
            <w:pPr>
              <w:ind w:firstLine="480"/>
              <w:rPr>
                <w:color w:val="auto"/>
                <w:szCs w:val="21"/>
              </w:rPr>
            </w:pPr>
            <w:r>
              <w:rPr>
                <w:rFonts w:hint="eastAsia"/>
                <w:color w:val="auto"/>
                <w:szCs w:val="21"/>
              </w:rPr>
              <w:t>项目</w:t>
            </w:r>
            <w:r>
              <w:rPr>
                <w:color w:val="auto"/>
                <w:szCs w:val="21"/>
              </w:rPr>
              <w:t>正常运行过程中，</w:t>
            </w:r>
            <w:r>
              <w:rPr>
                <w:rFonts w:hint="eastAsia"/>
                <w:color w:val="auto"/>
                <w:szCs w:val="21"/>
              </w:rPr>
              <w:t>产生的</w:t>
            </w:r>
            <w:r>
              <w:rPr>
                <w:color w:val="auto"/>
                <w:szCs w:val="21"/>
              </w:rPr>
              <w:t>一般固废包括报废的废光伏</w:t>
            </w:r>
            <w:r>
              <w:rPr>
                <w:rFonts w:hint="eastAsia"/>
                <w:color w:val="auto"/>
                <w:szCs w:val="21"/>
              </w:rPr>
              <w:t>板（</w:t>
            </w:r>
            <w:r>
              <w:rPr>
                <w:color w:val="auto"/>
                <w:szCs w:val="21"/>
              </w:rPr>
              <w:t>SW17，900-015-S17）</w:t>
            </w:r>
            <w:r>
              <w:rPr>
                <w:rFonts w:hint="eastAsia"/>
                <w:color w:val="auto"/>
                <w:szCs w:val="21"/>
              </w:rPr>
              <w:t>、废逆变器和废电气元件（SW17，</w:t>
            </w:r>
            <w:r>
              <w:rPr>
                <w:color w:val="auto"/>
                <w:szCs w:val="21"/>
              </w:rPr>
              <w:t>900-099-S17</w:t>
            </w:r>
            <w:r>
              <w:rPr>
                <w:rFonts w:hint="eastAsia"/>
                <w:color w:val="auto"/>
                <w:szCs w:val="21"/>
              </w:rPr>
              <w:t>）</w:t>
            </w:r>
            <w:r>
              <w:rPr>
                <w:color w:val="auto"/>
                <w:szCs w:val="21"/>
              </w:rPr>
              <w:t>、生活垃圾（SW64，900-099-S64）；危险废物为</w:t>
            </w:r>
            <w:r>
              <w:rPr>
                <w:rFonts w:hint="eastAsia"/>
                <w:color w:val="auto"/>
                <w:szCs w:val="21"/>
              </w:rPr>
              <w:t>废变压油（HW08，900-220-08）、废弃含油抹布（HW49，900-041-49）。</w:t>
            </w:r>
          </w:p>
          <w:p w14:paraId="5A90D925">
            <w:pPr>
              <w:ind w:firstLine="482"/>
              <w:rPr>
                <w:b/>
                <w:bCs/>
                <w:color w:val="auto"/>
                <w:szCs w:val="21"/>
              </w:rPr>
            </w:pPr>
            <w:r>
              <w:rPr>
                <w:b/>
                <w:bCs/>
                <w:color w:val="auto"/>
                <w:szCs w:val="21"/>
              </w:rPr>
              <w:t>1、一般固体废物</w:t>
            </w:r>
          </w:p>
          <w:p w14:paraId="01E74021">
            <w:pPr>
              <w:ind w:firstLine="480"/>
              <w:rPr>
                <w:color w:val="auto"/>
                <w:szCs w:val="21"/>
              </w:rPr>
            </w:pPr>
            <w:r>
              <w:rPr>
                <w:color w:val="auto"/>
                <w:szCs w:val="21"/>
              </w:rPr>
              <w:t>（1）报废的太阳能电池板</w:t>
            </w:r>
          </w:p>
          <w:p w14:paraId="1F93E3BE">
            <w:pPr>
              <w:ind w:firstLine="480"/>
              <w:rPr>
                <w:color w:val="auto"/>
                <w:szCs w:val="21"/>
              </w:rPr>
            </w:pPr>
            <w:r>
              <w:rPr>
                <w:color w:val="auto"/>
                <w:szCs w:val="21"/>
              </w:rPr>
              <w:t>本项目运营过程中使用的</w:t>
            </w:r>
            <w:r>
              <w:rPr>
                <w:rFonts w:hint="eastAsia"/>
                <w:color w:val="auto"/>
                <w:szCs w:val="21"/>
              </w:rPr>
              <w:t>异质结</w:t>
            </w:r>
            <w:r>
              <w:rPr>
                <w:color w:val="auto"/>
                <w:szCs w:val="21"/>
              </w:rPr>
              <w:t>电池板坚固耐用，其使用寿命一般为25年，由于使用过程中采光角度和电流阻断等故障发生可能会导致电池损坏，需更换的废旧电池板。据建设单位提供，其废弃物的产生率为0.16%～0.2%，本次评价废旧电池板产生率取0.2%，项目共采用</w:t>
            </w:r>
            <w:r>
              <w:rPr>
                <w:rFonts w:hint="eastAsia"/>
                <w:color w:val="auto"/>
                <w:szCs w:val="21"/>
              </w:rPr>
              <w:t>71</w:t>
            </w:r>
            <w:r>
              <w:rPr>
                <w:color w:val="auto"/>
                <w:szCs w:val="21"/>
              </w:rPr>
              <w:t>0Wp</w:t>
            </w:r>
            <w:r>
              <w:rPr>
                <w:rFonts w:hint="eastAsia"/>
                <w:color w:val="auto"/>
                <w:szCs w:val="21"/>
              </w:rPr>
              <w:t>异质结104440</w:t>
            </w:r>
            <w:r>
              <w:rPr>
                <w:color w:val="auto"/>
                <w:szCs w:val="21"/>
              </w:rPr>
              <w:t>块，单块电池板重约</w:t>
            </w:r>
            <w:r>
              <w:rPr>
                <w:rFonts w:hint="eastAsia"/>
                <w:color w:val="auto"/>
                <w:szCs w:val="21"/>
              </w:rPr>
              <w:t>37.5</w:t>
            </w:r>
            <w:r>
              <w:rPr>
                <w:color w:val="auto"/>
                <w:szCs w:val="21"/>
              </w:rPr>
              <w:t>kg，</w:t>
            </w:r>
            <w:r>
              <w:rPr>
                <w:rFonts w:hint="eastAsia"/>
                <w:color w:val="auto"/>
                <w:szCs w:val="21"/>
              </w:rPr>
              <w:t>项目运营期为2</w:t>
            </w:r>
            <w:r>
              <w:rPr>
                <w:color w:val="auto"/>
                <w:szCs w:val="21"/>
              </w:rPr>
              <w:t>5</w:t>
            </w:r>
            <w:r>
              <w:rPr>
                <w:rFonts w:hint="eastAsia"/>
                <w:color w:val="auto"/>
                <w:szCs w:val="21"/>
              </w:rPr>
              <w:t>年，</w:t>
            </w:r>
            <w:r>
              <w:rPr>
                <w:color w:val="auto"/>
                <w:szCs w:val="21"/>
              </w:rPr>
              <w:t>废旧电池板的产生量约为</w:t>
            </w:r>
            <w:r>
              <w:rPr>
                <w:rFonts w:hint="eastAsia"/>
                <w:color w:val="auto"/>
                <w:szCs w:val="21"/>
              </w:rPr>
              <w:t>7.8</w:t>
            </w:r>
            <w:r>
              <w:rPr>
                <w:color w:val="auto"/>
                <w:szCs w:val="21"/>
              </w:rPr>
              <w:t>t/a</w:t>
            </w:r>
            <w:r>
              <w:rPr>
                <w:rFonts w:hint="eastAsia"/>
                <w:color w:val="auto"/>
                <w:szCs w:val="21"/>
              </w:rPr>
              <w:t>，195t</w:t>
            </w:r>
            <w:r>
              <w:rPr>
                <w:color w:val="auto"/>
                <w:szCs w:val="21"/>
              </w:rPr>
              <w:t>。根据《国家危险废物名录》（202</w:t>
            </w:r>
            <w:r>
              <w:rPr>
                <w:rFonts w:hint="eastAsia"/>
                <w:color w:val="auto"/>
                <w:szCs w:val="21"/>
              </w:rPr>
              <w:t>5</w:t>
            </w:r>
            <w:r>
              <w:rPr>
                <w:color w:val="auto"/>
                <w:szCs w:val="21"/>
              </w:rPr>
              <w:t>年），太阳能电池板中不含名录中所列的危险废物。太阳能电池采用的材料是晶体硅，硅电池片所含主要化学成分有Si、P和B，硅电池中晶体Si纯度为6个9（6N）以上的高纯硅材料，即纯度为99.9999％以上的硅材料。Si、P和B均以晶体形式存在，不具有腐蚀性、易燃性、毒性、反应性和感染性的危险特性。</w:t>
            </w:r>
          </w:p>
          <w:p w14:paraId="0794BAE2">
            <w:pPr>
              <w:ind w:firstLine="480"/>
              <w:rPr>
                <w:color w:val="auto"/>
                <w:szCs w:val="21"/>
              </w:rPr>
            </w:pPr>
            <w:r>
              <w:rPr>
                <w:color w:val="auto"/>
                <w:szCs w:val="21"/>
              </w:rPr>
              <w:t>因此，本项目所使用的太阳能电池板报废后属一般工业固体废物，不属于危险废物。项目运营期间报废的太阳能电池板，</w:t>
            </w:r>
            <w:r>
              <w:rPr>
                <w:rFonts w:hint="eastAsia"/>
                <w:color w:val="auto"/>
                <w:szCs w:val="21"/>
              </w:rPr>
              <w:t>德安升压站内的废物储存间（面积约为54m</w:t>
            </w:r>
            <w:r>
              <w:rPr>
                <w:rFonts w:hint="eastAsia"/>
                <w:color w:val="auto"/>
                <w:szCs w:val="21"/>
                <w:vertAlign w:val="superscript"/>
              </w:rPr>
              <w:t>2</w:t>
            </w:r>
            <w:r>
              <w:rPr>
                <w:rFonts w:hint="eastAsia"/>
                <w:color w:val="auto"/>
                <w:szCs w:val="21"/>
              </w:rPr>
              <w:t>）贮存</w:t>
            </w:r>
            <w:r>
              <w:rPr>
                <w:color w:val="auto"/>
                <w:szCs w:val="21"/>
              </w:rPr>
              <w:t>，最终由专业的回收厂家收购处理。</w:t>
            </w:r>
          </w:p>
          <w:p w14:paraId="6FD225D3">
            <w:pPr>
              <w:ind w:firstLine="480"/>
              <w:rPr>
                <w:color w:val="auto"/>
                <w:szCs w:val="21"/>
              </w:rPr>
            </w:pPr>
            <w:r>
              <w:rPr>
                <w:color w:val="auto"/>
                <w:szCs w:val="21"/>
              </w:rPr>
              <w:t>（</w:t>
            </w:r>
            <w:r>
              <w:rPr>
                <w:rFonts w:hint="eastAsia"/>
                <w:color w:val="auto"/>
                <w:szCs w:val="21"/>
              </w:rPr>
              <w:t>2</w:t>
            </w:r>
            <w:r>
              <w:rPr>
                <w:color w:val="auto"/>
                <w:szCs w:val="21"/>
              </w:rPr>
              <w:t>）</w:t>
            </w:r>
            <w:r>
              <w:rPr>
                <w:rFonts w:hint="eastAsia"/>
                <w:color w:val="auto"/>
                <w:szCs w:val="21"/>
              </w:rPr>
              <w:t>废逆变器</w:t>
            </w:r>
          </w:p>
          <w:p w14:paraId="6C01F28E">
            <w:pPr>
              <w:ind w:firstLine="480"/>
              <w:rPr>
                <w:color w:val="auto"/>
                <w:szCs w:val="21"/>
              </w:rPr>
            </w:pPr>
            <w:r>
              <w:rPr>
                <w:rFonts w:hint="eastAsia"/>
                <w:color w:val="auto"/>
                <w:szCs w:val="21"/>
              </w:rPr>
              <w:t>项目共安装188台32</w:t>
            </w:r>
            <w:r>
              <w:rPr>
                <w:color w:val="auto"/>
                <w:szCs w:val="21"/>
              </w:rPr>
              <w:t>0</w:t>
            </w:r>
            <w:r>
              <w:rPr>
                <w:rFonts w:hint="eastAsia"/>
                <w:color w:val="auto"/>
                <w:szCs w:val="21"/>
              </w:rPr>
              <w:t>kW型组串式逆变器，单台逆变器重</w:t>
            </w:r>
            <w:r>
              <w:rPr>
                <w:color w:val="auto"/>
                <w:szCs w:val="21"/>
              </w:rPr>
              <w:t>116</w:t>
            </w:r>
            <w:r>
              <w:rPr>
                <w:rFonts w:hint="eastAsia"/>
                <w:color w:val="auto"/>
                <w:szCs w:val="21"/>
              </w:rPr>
              <w:t>kg，以0.1~0.3%为逆变器报废率，</w:t>
            </w:r>
            <w:r>
              <w:rPr>
                <w:color w:val="auto"/>
                <w:szCs w:val="21"/>
              </w:rPr>
              <w:t>本次评价废旧电池板产生率取0.</w:t>
            </w:r>
            <w:r>
              <w:rPr>
                <w:rFonts w:hint="eastAsia"/>
                <w:color w:val="auto"/>
                <w:szCs w:val="21"/>
              </w:rPr>
              <w:t>3</w:t>
            </w:r>
            <w:r>
              <w:rPr>
                <w:color w:val="auto"/>
                <w:szCs w:val="21"/>
              </w:rPr>
              <w:t>%，</w:t>
            </w:r>
            <w:r>
              <w:rPr>
                <w:rFonts w:hint="eastAsia"/>
                <w:color w:val="auto"/>
                <w:szCs w:val="21"/>
              </w:rPr>
              <w:t>运营期为2</w:t>
            </w:r>
            <w:r>
              <w:rPr>
                <w:color w:val="auto"/>
                <w:szCs w:val="21"/>
              </w:rPr>
              <w:t>5</w:t>
            </w:r>
            <w:r>
              <w:rPr>
                <w:rFonts w:hint="eastAsia"/>
                <w:color w:val="auto"/>
                <w:szCs w:val="21"/>
              </w:rPr>
              <w:t>年，则废逆变器产生量约为0.065t/a，1.63t。逆变器报废后属一般工业固体废物，不属于危险废物。项目运营期间报废的逆变器，贮存于一般固体废物储存间，最终由专业的回收厂家收购处理。</w:t>
            </w:r>
          </w:p>
          <w:p w14:paraId="21C328CD">
            <w:pPr>
              <w:ind w:firstLine="480"/>
              <w:rPr>
                <w:color w:val="auto"/>
                <w:szCs w:val="21"/>
              </w:rPr>
            </w:pPr>
            <w:r>
              <w:rPr>
                <w:rFonts w:hint="eastAsia"/>
                <w:color w:val="auto"/>
                <w:szCs w:val="21"/>
              </w:rPr>
              <w:t>（3）废电气元件</w:t>
            </w:r>
          </w:p>
          <w:p w14:paraId="5700F3A6">
            <w:pPr>
              <w:ind w:firstLine="480"/>
              <w:rPr>
                <w:color w:val="auto"/>
                <w:szCs w:val="21"/>
              </w:rPr>
            </w:pPr>
            <w:r>
              <w:rPr>
                <w:color w:val="auto"/>
              </w:rPr>
              <w:t>设备检修时会产生少量废电气元件，集电线路废旧设备、材料等，这些废弃物主要是废弃的导线、螺丝钉等铁质材料，</w:t>
            </w:r>
            <w:r>
              <w:rPr>
                <w:rFonts w:hint="eastAsia"/>
                <w:color w:val="auto"/>
                <w:szCs w:val="21"/>
              </w:rPr>
              <w:t>根据建设方提供的设计资料和运营同类型项目的经验，产生量为2</w:t>
            </w:r>
            <w:r>
              <w:rPr>
                <w:color w:val="auto"/>
                <w:szCs w:val="21"/>
              </w:rPr>
              <w:t>.0</w:t>
            </w:r>
            <w:r>
              <w:rPr>
                <w:rFonts w:hint="eastAsia"/>
                <w:color w:val="auto"/>
                <w:szCs w:val="21"/>
              </w:rPr>
              <w:t>t/a。项目运营期间报废的电器元件贮存于一般固体废物储存间，最终由专业的回收厂家收购处理。</w:t>
            </w:r>
          </w:p>
          <w:p w14:paraId="5A900377">
            <w:pPr>
              <w:ind w:firstLine="482"/>
              <w:rPr>
                <w:b/>
                <w:bCs/>
                <w:color w:val="auto"/>
                <w:szCs w:val="21"/>
              </w:rPr>
            </w:pPr>
            <w:r>
              <w:rPr>
                <w:b/>
                <w:bCs/>
                <w:color w:val="auto"/>
                <w:szCs w:val="21"/>
              </w:rPr>
              <w:t>2、危险废物</w:t>
            </w:r>
          </w:p>
          <w:p w14:paraId="61E1D61A">
            <w:pPr>
              <w:ind w:firstLine="480"/>
              <w:rPr>
                <w:color w:val="auto"/>
                <w:szCs w:val="21"/>
              </w:rPr>
            </w:pPr>
            <w:r>
              <w:rPr>
                <w:color w:val="auto"/>
                <w:szCs w:val="21"/>
              </w:rPr>
              <w:t>1）</w:t>
            </w:r>
            <w:r>
              <w:rPr>
                <w:rFonts w:hint="eastAsia"/>
                <w:color w:val="auto"/>
                <w:szCs w:val="21"/>
              </w:rPr>
              <w:t>废变压油</w:t>
            </w:r>
          </w:p>
          <w:p w14:paraId="2FDF9689">
            <w:pPr>
              <w:ind w:firstLine="480"/>
              <w:rPr>
                <w:color w:val="auto"/>
                <w:szCs w:val="21"/>
              </w:rPr>
            </w:pPr>
            <w:r>
              <w:rPr>
                <w:color w:val="auto"/>
                <w:szCs w:val="21"/>
              </w:rPr>
              <w:t>本项目运营过程中产生的废矿物油包括：箱变变压器油</w:t>
            </w:r>
            <w:r>
              <w:rPr>
                <w:rFonts w:hint="eastAsia"/>
                <w:color w:val="auto"/>
                <w:szCs w:val="21"/>
              </w:rPr>
              <w:t>、</w:t>
            </w:r>
            <w:r>
              <w:rPr>
                <w:color w:val="auto"/>
                <w:szCs w:val="21"/>
              </w:rPr>
              <w:t>检修废油</w:t>
            </w:r>
            <w:r>
              <w:rPr>
                <w:rFonts w:hint="eastAsia"/>
                <w:color w:val="auto"/>
                <w:szCs w:val="21"/>
              </w:rPr>
              <w:t>以及</w:t>
            </w:r>
            <w:r>
              <w:rPr>
                <w:rFonts w:hint="eastAsia"/>
                <w:color w:val="auto"/>
              </w:rPr>
              <w:t>含油抹布</w:t>
            </w:r>
            <w:r>
              <w:rPr>
                <w:color w:val="auto"/>
                <w:szCs w:val="21"/>
              </w:rPr>
              <w:t>。属于《国家危险废物名录</w:t>
            </w:r>
            <w:r>
              <w:rPr>
                <w:rFonts w:hint="eastAsia"/>
                <w:color w:val="auto"/>
                <w:szCs w:val="21"/>
              </w:rPr>
              <w:t>（</w:t>
            </w:r>
            <w:r>
              <w:rPr>
                <w:color w:val="auto"/>
                <w:szCs w:val="21"/>
              </w:rPr>
              <w:t>202</w:t>
            </w:r>
            <w:r>
              <w:rPr>
                <w:rFonts w:hint="eastAsia"/>
                <w:color w:val="auto"/>
                <w:szCs w:val="21"/>
              </w:rPr>
              <w:t>5</w:t>
            </w:r>
            <w:r>
              <w:rPr>
                <w:color w:val="auto"/>
                <w:szCs w:val="21"/>
              </w:rPr>
              <w:t>版</w:t>
            </w:r>
            <w:r>
              <w:rPr>
                <w:rFonts w:hint="eastAsia"/>
                <w:color w:val="auto"/>
                <w:szCs w:val="21"/>
              </w:rPr>
              <w:t>）</w:t>
            </w:r>
            <w:r>
              <w:rPr>
                <w:color w:val="auto"/>
                <w:szCs w:val="21"/>
              </w:rPr>
              <w:t>》HW08废矿物油与含矿物油废物中“变压器维护、更换和拆解过程中产生的废变压器油”（废物代码900-220-08）。</w:t>
            </w:r>
          </w:p>
          <w:p w14:paraId="2F9EDF9C">
            <w:pPr>
              <w:ind w:firstLine="480"/>
              <w:rPr>
                <w:color w:val="auto"/>
                <w:szCs w:val="21"/>
              </w:rPr>
            </w:pPr>
            <w:r>
              <w:rPr>
                <w:color w:val="auto"/>
                <w:szCs w:val="21"/>
              </w:rPr>
              <w:t>（1）箱变变压器事故油</w:t>
            </w:r>
          </w:p>
          <w:p w14:paraId="7CF53557">
            <w:pPr>
              <w:ind w:firstLine="480"/>
              <w:rPr>
                <w:color w:val="auto"/>
                <w:szCs w:val="21"/>
              </w:rPr>
            </w:pPr>
            <w:r>
              <w:rPr>
                <w:color w:val="auto"/>
                <w:szCs w:val="21"/>
              </w:rPr>
              <w:t>本</w:t>
            </w:r>
            <w:r>
              <w:rPr>
                <w:rFonts w:hint="eastAsia"/>
                <w:color w:val="auto"/>
                <w:szCs w:val="21"/>
              </w:rPr>
              <w:t>项目</w:t>
            </w:r>
            <w:r>
              <w:rPr>
                <w:color w:val="auto"/>
                <w:szCs w:val="21"/>
              </w:rPr>
              <w:t>光伏方阵区共设计有</w:t>
            </w:r>
            <w:r>
              <w:rPr>
                <w:rFonts w:hint="eastAsia"/>
                <w:color w:val="auto"/>
                <w:szCs w:val="21"/>
              </w:rPr>
              <w:t>22</w:t>
            </w:r>
            <w:r>
              <w:rPr>
                <w:color w:val="auto"/>
                <w:szCs w:val="21"/>
              </w:rPr>
              <w:t>台箱变，每台箱变储油量约为</w:t>
            </w:r>
            <w:r>
              <w:rPr>
                <w:rFonts w:hint="eastAsia"/>
                <w:color w:val="auto"/>
                <w:szCs w:val="21"/>
              </w:rPr>
              <w:t>2</w:t>
            </w:r>
            <w:r>
              <w:rPr>
                <w:color w:val="auto"/>
                <w:szCs w:val="21"/>
              </w:rPr>
              <w:t>t，光伏方阵区箱变储油总量约为</w:t>
            </w:r>
            <w:r>
              <w:rPr>
                <w:rFonts w:hint="eastAsia"/>
                <w:color w:val="auto"/>
                <w:szCs w:val="21"/>
              </w:rPr>
              <w:t>44</w:t>
            </w:r>
            <w:r>
              <w:rPr>
                <w:color w:val="auto"/>
                <w:szCs w:val="21"/>
              </w:rPr>
              <w:t>t。故在每个箱变旁设</w:t>
            </w:r>
            <w:r>
              <w:rPr>
                <w:rFonts w:hint="eastAsia"/>
                <w:color w:val="auto"/>
                <w:szCs w:val="21"/>
              </w:rPr>
              <w:t>3</w:t>
            </w:r>
            <w:r>
              <w:rPr>
                <w:color w:val="auto"/>
                <w:szCs w:val="21"/>
              </w:rPr>
              <w:t>m</w:t>
            </w:r>
            <w:r>
              <w:rPr>
                <w:color w:val="auto"/>
                <w:szCs w:val="21"/>
                <w:vertAlign w:val="superscript"/>
              </w:rPr>
              <w:t>3</w:t>
            </w:r>
            <w:r>
              <w:rPr>
                <w:color w:val="auto"/>
                <w:szCs w:val="21"/>
              </w:rPr>
              <w:t>箱变事故油池，事故油池底部和四周设置防渗措施（</w:t>
            </w:r>
            <w:r>
              <w:rPr>
                <w:rFonts w:hint="eastAsia"/>
                <w:color w:val="auto"/>
                <w:szCs w:val="21"/>
              </w:rPr>
              <w:t>防渗层为至少1m厚黏层（渗透系数不大于10</w:t>
            </w:r>
            <w:r>
              <w:rPr>
                <w:rFonts w:hint="eastAsia"/>
                <w:color w:val="auto"/>
                <w:szCs w:val="21"/>
                <w:vertAlign w:val="superscript"/>
              </w:rPr>
              <w:t>-7</w:t>
            </w:r>
            <w:r>
              <w:rPr>
                <w:rFonts w:hint="eastAsia"/>
                <w:color w:val="auto"/>
                <w:szCs w:val="21"/>
              </w:rPr>
              <w:t>cm/s），或至少2mm厚高密度聚乙烯膜等人工防渗材料（渗透系数不大于10</w:t>
            </w:r>
            <w:r>
              <w:rPr>
                <w:rFonts w:hint="eastAsia"/>
                <w:color w:val="auto"/>
                <w:szCs w:val="21"/>
                <w:vertAlign w:val="superscript"/>
              </w:rPr>
              <w:t>-10</w:t>
            </w:r>
            <w:r>
              <w:rPr>
                <w:rFonts w:hint="eastAsia"/>
                <w:color w:val="auto"/>
                <w:szCs w:val="21"/>
              </w:rPr>
              <w:t>cm/s），或其他防渗性能等效的材料</w:t>
            </w:r>
            <w:r>
              <w:rPr>
                <w:color w:val="auto"/>
                <w:szCs w:val="21"/>
              </w:rPr>
              <w:t>），确保事故油和油污水在存储的过程中不会渗漏。</w:t>
            </w:r>
          </w:p>
          <w:p w14:paraId="660C4A5B">
            <w:pPr>
              <w:ind w:firstLine="480"/>
              <w:rPr>
                <w:color w:val="auto"/>
                <w:szCs w:val="21"/>
              </w:rPr>
            </w:pPr>
            <w:r>
              <w:rPr>
                <w:color w:val="auto"/>
                <w:szCs w:val="21"/>
              </w:rPr>
              <w:t>运营期正常情况下，无事故油产生，一旦发生事故，产生的事故油排入事故油池，并委托有资质单位处理，对环境影响不大。</w:t>
            </w:r>
          </w:p>
          <w:p w14:paraId="008D79BA">
            <w:pPr>
              <w:ind w:firstLine="480"/>
              <w:rPr>
                <w:color w:val="auto"/>
                <w:szCs w:val="21"/>
              </w:rPr>
            </w:pPr>
            <w:r>
              <w:rPr>
                <w:color w:val="auto"/>
                <w:szCs w:val="21"/>
              </w:rPr>
              <w:t>（</w:t>
            </w:r>
            <w:r>
              <w:rPr>
                <w:rFonts w:hint="eastAsia"/>
                <w:color w:val="auto"/>
                <w:szCs w:val="21"/>
              </w:rPr>
              <w:t>2</w:t>
            </w:r>
            <w:r>
              <w:rPr>
                <w:color w:val="auto"/>
                <w:szCs w:val="21"/>
              </w:rPr>
              <w:t>）检修废油</w:t>
            </w:r>
          </w:p>
          <w:p w14:paraId="4E8380ED">
            <w:pPr>
              <w:ind w:firstLine="480"/>
              <w:rPr>
                <w:color w:val="auto"/>
                <w:szCs w:val="21"/>
              </w:rPr>
            </w:pPr>
            <w:r>
              <w:rPr>
                <w:color w:val="auto"/>
                <w:szCs w:val="21"/>
              </w:rPr>
              <w:t>检修废油包括箱变液压油（主要成分矿物油和锂皂基、锂-钙复合基为主的危险废弃物），根据《国家危险废物名录》</w:t>
            </w:r>
            <w:r>
              <w:rPr>
                <w:rFonts w:hint="eastAsia"/>
                <w:color w:val="auto"/>
                <w:szCs w:val="21"/>
              </w:rPr>
              <w:t>（</w:t>
            </w:r>
            <w:r>
              <w:rPr>
                <w:color w:val="auto"/>
                <w:szCs w:val="21"/>
              </w:rPr>
              <w:t>202</w:t>
            </w:r>
            <w:r>
              <w:rPr>
                <w:rFonts w:hint="eastAsia"/>
                <w:color w:val="auto"/>
                <w:szCs w:val="21"/>
              </w:rPr>
              <w:t>5版），</w:t>
            </w:r>
            <w:r>
              <w:rPr>
                <w:color w:val="auto"/>
                <w:szCs w:val="21"/>
              </w:rPr>
              <w:t>检修废油废物类别为：HW08废矿物油与含矿物油废物中“变压器维护、更换和拆解过程中产生的废变压器油”（废物代码900-220-08），项目检修废油经专用容器收集后暂存于</w:t>
            </w:r>
            <w:r>
              <w:rPr>
                <w:rFonts w:hint="eastAsia"/>
                <w:color w:val="auto"/>
                <w:szCs w:val="21"/>
              </w:rPr>
              <w:t>德安</w:t>
            </w:r>
            <w:r>
              <w:rPr>
                <w:color w:val="auto"/>
                <w:szCs w:val="21"/>
              </w:rPr>
              <w:t>升压站</w:t>
            </w:r>
            <w:r>
              <w:rPr>
                <w:rFonts w:hint="eastAsia"/>
                <w:color w:val="auto"/>
                <w:szCs w:val="21"/>
              </w:rPr>
              <w:t>危废贮存库</w:t>
            </w:r>
            <w:r>
              <w:rPr>
                <w:color w:val="auto"/>
                <w:szCs w:val="21"/>
              </w:rPr>
              <w:t>（与其它危废分区存放），定期委托有资质的单位处置，对环境影响小。类比同类型行业，检修过程中产生的废油约为0.</w:t>
            </w:r>
            <w:r>
              <w:rPr>
                <w:rFonts w:hint="eastAsia"/>
                <w:color w:val="auto"/>
                <w:szCs w:val="21"/>
              </w:rPr>
              <w:t>0</w:t>
            </w:r>
            <w:r>
              <w:rPr>
                <w:color w:val="auto"/>
                <w:szCs w:val="21"/>
              </w:rPr>
              <w:t>5t/a。</w:t>
            </w:r>
          </w:p>
          <w:p w14:paraId="25F5F252">
            <w:pPr>
              <w:ind w:firstLine="480"/>
              <w:rPr>
                <w:color w:val="auto"/>
                <w:szCs w:val="21"/>
              </w:rPr>
            </w:pPr>
            <w:r>
              <w:rPr>
                <w:rFonts w:hint="eastAsia"/>
                <w:color w:val="auto"/>
                <w:szCs w:val="21"/>
              </w:rPr>
              <w:t>危险废物依托220kV德安</w:t>
            </w:r>
            <w:r>
              <w:rPr>
                <w:color w:val="auto"/>
                <w:szCs w:val="21"/>
              </w:rPr>
              <w:t>升压站内设置一间</w:t>
            </w:r>
            <w:r>
              <w:rPr>
                <w:rFonts w:hint="eastAsia"/>
                <w:color w:val="auto"/>
                <w:szCs w:val="21"/>
              </w:rPr>
              <w:t>36m</w:t>
            </w:r>
            <w:r>
              <w:rPr>
                <w:rFonts w:hint="eastAsia"/>
                <w:color w:val="auto"/>
                <w:szCs w:val="21"/>
                <w:vertAlign w:val="superscript"/>
              </w:rPr>
              <w:t>2</w:t>
            </w:r>
            <w:r>
              <w:rPr>
                <w:rFonts w:hint="eastAsia"/>
                <w:color w:val="auto"/>
                <w:szCs w:val="21"/>
              </w:rPr>
              <w:t>的危险废物贮存库</w:t>
            </w:r>
            <w:r>
              <w:rPr>
                <w:color w:val="auto"/>
                <w:szCs w:val="21"/>
              </w:rPr>
              <w:t>，</w:t>
            </w:r>
            <w:r>
              <w:rPr>
                <w:rFonts w:hint="eastAsia"/>
                <w:color w:val="auto"/>
                <w:szCs w:val="21"/>
              </w:rPr>
              <w:t>危险废物贮存库</w:t>
            </w:r>
            <w:r>
              <w:rPr>
                <w:color w:val="auto"/>
                <w:szCs w:val="21"/>
              </w:rPr>
              <w:t>采用全封闭式，</w:t>
            </w:r>
            <w:r>
              <w:rPr>
                <w:rFonts w:hint="eastAsia"/>
                <w:color w:val="auto"/>
                <w:szCs w:val="21"/>
              </w:rPr>
              <w:t>危险废物贮存设施将</w:t>
            </w:r>
            <w:r>
              <w:rPr>
                <w:color w:val="auto"/>
                <w:szCs w:val="21"/>
              </w:rPr>
              <w:t>严格按照《危险废物贮存污染控制标准》</w:t>
            </w:r>
            <w:r>
              <w:rPr>
                <w:rFonts w:hint="eastAsia"/>
                <w:color w:val="auto"/>
                <w:szCs w:val="21"/>
              </w:rPr>
              <w:t>（</w:t>
            </w:r>
            <w:r>
              <w:rPr>
                <w:color w:val="auto"/>
                <w:szCs w:val="21"/>
              </w:rPr>
              <w:t>GB 18597-2023</w:t>
            </w:r>
            <w:r>
              <w:rPr>
                <w:rFonts w:hint="eastAsia"/>
                <w:color w:val="auto"/>
                <w:szCs w:val="21"/>
              </w:rPr>
              <w:t>）</w:t>
            </w:r>
            <w:r>
              <w:rPr>
                <w:color w:val="auto"/>
                <w:szCs w:val="21"/>
              </w:rPr>
              <w:t>的有关要求进行设计，基础进行防渗，并配设醒目的警示标识。</w:t>
            </w:r>
          </w:p>
          <w:p w14:paraId="675DFA25">
            <w:pPr>
              <w:ind w:firstLine="480"/>
              <w:rPr>
                <w:color w:val="auto"/>
                <w:szCs w:val="21"/>
              </w:rPr>
            </w:pPr>
            <w:r>
              <w:rPr>
                <w:rFonts w:hint="eastAsia"/>
                <w:color w:val="auto"/>
                <w:szCs w:val="21"/>
              </w:rPr>
              <w:t>2）含油抹布</w:t>
            </w:r>
          </w:p>
          <w:p w14:paraId="1B524CCA">
            <w:pPr>
              <w:ind w:firstLine="480"/>
              <w:rPr>
                <w:color w:val="auto"/>
                <w:szCs w:val="21"/>
              </w:rPr>
            </w:pPr>
            <w:r>
              <w:rPr>
                <w:rFonts w:hint="eastAsia"/>
                <w:color w:val="auto"/>
                <w:szCs w:val="21"/>
              </w:rPr>
              <w:t>设备检修时会产生少量含油抹布，根据建设方提供的设计资料和运营同类型项目的经验，产生量为产生量为0.01t/a，0.25t，根据《国家危险废物名录》（2025年版），废弃含油抹布（废物代码为900-041-49）属危险废物，同时根据《国家危险废物名录》（2025版）附录《危险废物豁免管理清单》，废弃的含油抹布、劳保用品豁免条件为未分类收可不按危险废物管理，因此本次评价要求收集后的含油抹布严格按《危险废物贮存污染控制标准》（GB 18597</w:t>
            </w:r>
            <w:r>
              <w:rPr>
                <w:color w:val="auto"/>
                <w:szCs w:val="21"/>
              </w:rPr>
              <w:t>-</w:t>
            </w:r>
            <w:r>
              <w:rPr>
                <w:rFonts w:hint="eastAsia"/>
                <w:color w:val="auto"/>
                <w:szCs w:val="21"/>
              </w:rPr>
              <w:t>2023）中的要求进行贮存、管理，经危废贮存库暂存后定期交由有资质的单位处理。</w:t>
            </w:r>
          </w:p>
          <w:p w14:paraId="3F5891B6">
            <w:pPr>
              <w:pStyle w:val="63"/>
              <w:ind w:firstLine="422"/>
              <w:rPr>
                <w:color w:val="auto"/>
                <w:szCs w:val="21"/>
              </w:rPr>
            </w:pPr>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4.6</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4</w:t>
            </w:r>
            <w:r>
              <w:rPr>
                <w:color w:val="auto"/>
                <w:szCs w:val="24"/>
              </w:rPr>
              <w:fldChar w:fldCharType="end"/>
            </w:r>
            <w:r>
              <w:rPr>
                <w:color w:val="auto"/>
                <w:szCs w:val="24"/>
              </w:rPr>
              <w:t xml:space="preserve">  </w:t>
            </w:r>
            <w:r>
              <w:rPr>
                <w:color w:val="auto"/>
                <w:szCs w:val="21"/>
              </w:rPr>
              <w:t>危险废物产生及治理情况</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
              <w:gridCol w:w="616"/>
              <w:gridCol w:w="588"/>
              <w:gridCol w:w="1150"/>
              <w:gridCol w:w="840"/>
              <w:gridCol w:w="968"/>
              <w:gridCol w:w="417"/>
              <w:gridCol w:w="535"/>
              <w:gridCol w:w="630"/>
              <w:gridCol w:w="417"/>
              <w:gridCol w:w="1183"/>
            </w:tblGrid>
            <w:tr w14:paraId="60F6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90" w:type="pct"/>
                  <w:tcBorders>
                    <w:tl2br w:val="nil"/>
                    <w:tr2bl w:val="nil"/>
                  </w:tcBorders>
                  <w:vAlign w:val="center"/>
                </w:tcPr>
                <w:p w14:paraId="43DAD307">
                  <w:pPr>
                    <w:pStyle w:val="167"/>
                    <w:rPr>
                      <w:rFonts w:hAnsi="Times New Roman"/>
                      <w:b/>
                      <w:color w:val="auto"/>
                      <w:sz w:val="20"/>
                      <w:szCs w:val="20"/>
                    </w:rPr>
                  </w:pPr>
                  <w:r>
                    <w:rPr>
                      <w:rFonts w:hAnsi="Times New Roman"/>
                      <w:b/>
                      <w:color w:val="auto"/>
                      <w:sz w:val="20"/>
                      <w:szCs w:val="20"/>
                    </w:rPr>
                    <w:t>序号</w:t>
                  </w:r>
                </w:p>
              </w:tc>
              <w:tc>
                <w:tcPr>
                  <w:tcW w:w="415" w:type="pct"/>
                  <w:tcBorders>
                    <w:tl2br w:val="nil"/>
                    <w:tr2bl w:val="nil"/>
                  </w:tcBorders>
                  <w:vAlign w:val="center"/>
                </w:tcPr>
                <w:p w14:paraId="3CDE7A33">
                  <w:pPr>
                    <w:pStyle w:val="167"/>
                    <w:rPr>
                      <w:rFonts w:hAnsi="Times New Roman"/>
                      <w:b/>
                      <w:color w:val="auto"/>
                      <w:sz w:val="20"/>
                      <w:szCs w:val="20"/>
                    </w:rPr>
                  </w:pPr>
                  <w:r>
                    <w:rPr>
                      <w:rFonts w:hAnsi="Times New Roman"/>
                      <w:b/>
                      <w:color w:val="auto"/>
                      <w:sz w:val="20"/>
                      <w:szCs w:val="20"/>
                    </w:rPr>
                    <w:t>危废名称</w:t>
                  </w:r>
                </w:p>
              </w:tc>
              <w:tc>
                <w:tcPr>
                  <w:tcW w:w="494" w:type="pct"/>
                  <w:tcBorders>
                    <w:tl2br w:val="nil"/>
                    <w:tr2bl w:val="nil"/>
                  </w:tcBorders>
                  <w:vAlign w:val="center"/>
                </w:tcPr>
                <w:p w14:paraId="3E02DB62">
                  <w:pPr>
                    <w:pStyle w:val="167"/>
                    <w:rPr>
                      <w:rFonts w:hAnsi="Times New Roman"/>
                      <w:b/>
                      <w:color w:val="auto"/>
                      <w:sz w:val="20"/>
                      <w:szCs w:val="20"/>
                    </w:rPr>
                  </w:pPr>
                  <w:r>
                    <w:rPr>
                      <w:rFonts w:hAnsi="Times New Roman"/>
                      <w:b/>
                      <w:color w:val="auto"/>
                      <w:sz w:val="20"/>
                      <w:szCs w:val="20"/>
                    </w:rPr>
                    <w:t>危废类别</w:t>
                  </w:r>
                </w:p>
              </w:tc>
              <w:tc>
                <w:tcPr>
                  <w:tcW w:w="536" w:type="pct"/>
                  <w:tcBorders>
                    <w:tl2br w:val="nil"/>
                    <w:tr2bl w:val="nil"/>
                  </w:tcBorders>
                  <w:vAlign w:val="center"/>
                </w:tcPr>
                <w:p w14:paraId="0EA704D0">
                  <w:pPr>
                    <w:pStyle w:val="167"/>
                    <w:rPr>
                      <w:rFonts w:hAnsi="Times New Roman"/>
                      <w:b/>
                      <w:color w:val="auto"/>
                      <w:sz w:val="20"/>
                      <w:szCs w:val="20"/>
                    </w:rPr>
                  </w:pPr>
                  <w:r>
                    <w:rPr>
                      <w:rFonts w:hAnsi="Times New Roman"/>
                      <w:b/>
                      <w:color w:val="auto"/>
                      <w:sz w:val="20"/>
                      <w:szCs w:val="20"/>
                    </w:rPr>
                    <w:t>危废代码</w:t>
                  </w:r>
                </w:p>
              </w:tc>
              <w:tc>
                <w:tcPr>
                  <w:tcW w:w="561" w:type="pct"/>
                  <w:tcBorders>
                    <w:tl2br w:val="nil"/>
                    <w:tr2bl w:val="nil"/>
                  </w:tcBorders>
                  <w:vAlign w:val="center"/>
                </w:tcPr>
                <w:p w14:paraId="38705A9B">
                  <w:pPr>
                    <w:pStyle w:val="167"/>
                    <w:rPr>
                      <w:rFonts w:hAnsi="Times New Roman"/>
                      <w:b/>
                      <w:color w:val="auto"/>
                      <w:sz w:val="20"/>
                      <w:szCs w:val="20"/>
                    </w:rPr>
                  </w:pPr>
                  <w:r>
                    <w:rPr>
                      <w:rFonts w:hAnsi="Times New Roman"/>
                      <w:b/>
                      <w:color w:val="auto"/>
                      <w:sz w:val="20"/>
                      <w:szCs w:val="20"/>
                    </w:rPr>
                    <w:t>产生量（t/a）</w:t>
                  </w:r>
                </w:p>
              </w:tc>
              <w:tc>
                <w:tcPr>
                  <w:tcW w:w="709" w:type="pct"/>
                  <w:tcBorders>
                    <w:tl2br w:val="nil"/>
                    <w:tr2bl w:val="nil"/>
                  </w:tcBorders>
                  <w:vAlign w:val="center"/>
                </w:tcPr>
                <w:p w14:paraId="4950CB3E">
                  <w:pPr>
                    <w:pStyle w:val="167"/>
                    <w:rPr>
                      <w:rFonts w:hAnsi="Times New Roman"/>
                      <w:b/>
                      <w:color w:val="auto"/>
                      <w:sz w:val="20"/>
                      <w:szCs w:val="20"/>
                    </w:rPr>
                  </w:pPr>
                  <w:r>
                    <w:rPr>
                      <w:rFonts w:hAnsi="Times New Roman"/>
                      <w:b/>
                      <w:color w:val="auto"/>
                      <w:sz w:val="20"/>
                      <w:szCs w:val="20"/>
                    </w:rPr>
                    <w:t>产生工序及装置</w:t>
                  </w:r>
                </w:p>
              </w:tc>
              <w:tc>
                <w:tcPr>
                  <w:tcW w:w="274" w:type="pct"/>
                  <w:tcBorders>
                    <w:tl2br w:val="nil"/>
                    <w:tr2bl w:val="nil"/>
                  </w:tcBorders>
                  <w:vAlign w:val="center"/>
                </w:tcPr>
                <w:p w14:paraId="3B91E8AF">
                  <w:pPr>
                    <w:pStyle w:val="167"/>
                    <w:rPr>
                      <w:rFonts w:hAnsi="Times New Roman"/>
                      <w:b/>
                      <w:color w:val="auto"/>
                      <w:sz w:val="20"/>
                      <w:szCs w:val="20"/>
                    </w:rPr>
                  </w:pPr>
                  <w:r>
                    <w:rPr>
                      <w:rFonts w:hAnsi="Times New Roman"/>
                      <w:b/>
                      <w:color w:val="auto"/>
                      <w:sz w:val="20"/>
                      <w:szCs w:val="20"/>
                    </w:rPr>
                    <w:t>形态</w:t>
                  </w:r>
                </w:p>
              </w:tc>
              <w:tc>
                <w:tcPr>
                  <w:tcW w:w="445" w:type="pct"/>
                  <w:tcBorders>
                    <w:tl2br w:val="nil"/>
                    <w:tr2bl w:val="nil"/>
                  </w:tcBorders>
                  <w:vAlign w:val="center"/>
                </w:tcPr>
                <w:p w14:paraId="67984F46">
                  <w:pPr>
                    <w:pStyle w:val="167"/>
                    <w:rPr>
                      <w:rFonts w:hAnsi="Times New Roman"/>
                      <w:b/>
                      <w:color w:val="auto"/>
                      <w:sz w:val="20"/>
                      <w:szCs w:val="20"/>
                    </w:rPr>
                  </w:pPr>
                  <w:r>
                    <w:rPr>
                      <w:rFonts w:hAnsi="Times New Roman"/>
                      <w:b/>
                      <w:color w:val="auto"/>
                      <w:sz w:val="20"/>
                      <w:szCs w:val="20"/>
                    </w:rPr>
                    <w:t>主要成分</w:t>
                  </w:r>
                </w:p>
              </w:tc>
              <w:tc>
                <w:tcPr>
                  <w:tcW w:w="463" w:type="pct"/>
                  <w:tcBorders>
                    <w:tl2br w:val="nil"/>
                    <w:tr2bl w:val="nil"/>
                  </w:tcBorders>
                  <w:vAlign w:val="center"/>
                </w:tcPr>
                <w:p w14:paraId="59261821">
                  <w:pPr>
                    <w:pStyle w:val="167"/>
                    <w:rPr>
                      <w:rFonts w:hAnsi="Times New Roman"/>
                      <w:b/>
                      <w:color w:val="auto"/>
                      <w:sz w:val="20"/>
                      <w:szCs w:val="20"/>
                    </w:rPr>
                  </w:pPr>
                  <w:r>
                    <w:rPr>
                      <w:rFonts w:hAnsi="Times New Roman"/>
                      <w:b/>
                      <w:color w:val="auto"/>
                      <w:sz w:val="20"/>
                      <w:szCs w:val="20"/>
                    </w:rPr>
                    <w:t>有害成分</w:t>
                  </w:r>
                </w:p>
              </w:tc>
              <w:tc>
                <w:tcPr>
                  <w:tcW w:w="281" w:type="pct"/>
                  <w:tcBorders>
                    <w:tl2br w:val="nil"/>
                    <w:tr2bl w:val="nil"/>
                  </w:tcBorders>
                  <w:vAlign w:val="center"/>
                </w:tcPr>
                <w:p w14:paraId="257892D1">
                  <w:pPr>
                    <w:pStyle w:val="167"/>
                    <w:rPr>
                      <w:rFonts w:hAnsi="Times New Roman"/>
                      <w:b/>
                      <w:color w:val="auto"/>
                      <w:sz w:val="20"/>
                      <w:szCs w:val="20"/>
                    </w:rPr>
                  </w:pPr>
                  <w:r>
                    <w:rPr>
                      <w:rFonts w:hAnsi="Times New Roman"/>
                      <w:b/>
                      <w:color w:val="auto"/>
                      <w:sz w:val="20"/>
                      <w:szCs w:val="20"/>
                    </w:rPr>
                    <w:t>产生周期</w:t>
                  </w:r>
                </w:p>
              </w:tc>
              <w:tc>
                <w:tcPr>
                  <w:tcW w:w="532" w:type="pct"/>
                  <w:tcBorders>
                    <w:tl2br w:val="nil"/>
                    <w:tr2bl w:val="nil"/>
                  </w:tcBorders>
                  <w:vAlign w:val="center"/>
                </w:tcPr>
                <w:p w14:paraId="1DA513D3">
                  <w:pPr>
                    <w:pStyle w:val="167"/>
                    <w:rPr>
                      <w:rFonts w:hAnsi="Times New Roman"/>
                      <w:b/>
                      <w:color w:val="auto"/>
                      <w:sz w:val="20"/>
                      <w:szCs w:val="20"/>
                    </w:rPr>
                  </w:pPr>
                  <w:r>
                    <w:rPr>
                      <w:rFonts w:hAnsi="Times New Roman"/>
                      <w:b/>
                      <w:color w:val="auto"/>
                      <w:sz w:val="20"/>
                      <w:szCs w:val="20"/>
                    </w:rPr>
                    <w:t>污染防治措施</w:t>
                  </w:r>
                </w:p>
              </w:tc>
            </w:tr>
            <w:tr w14:paraId="443B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 w:type="pct"/>
                  <w:tcBorders>
                    <w:tl2br w:val="nil"/>
                    <w:tr2bl w:val="nil"/>
                  </w:tcBorders>
                  <w:vAlign w:val="center"/>
                </w:tcPr>
                <w:p w14:paraId="63E0174B">
                  <w:pPr>
                    <w:pStyle w:val="167"/>
                    <w:rPr>
                      <w:rFonts w:hAnsi="Times New Roman"/>
                      <w:color w:val="auto"/>
                      <w:sz w:val="20"/>
                      <w:szCs w:val="20"/>
                    </w:rPr>
                  </w:pPr>
                  <w:r>
                    <w:rPr>
                      <w:rFonts w:hAnsi="Times New Roman"/>
                      <w:color w:val="auto"/>
                      <w:sz w:val="20"/>
                      <w:szCs w:val="20"/>
                    </w:rPr>
                    <w:t>1</w:t>
                  </w:r>
                </w:p>
              </w:tc>
              <w:tc>
                <w:tcPr>
                  <w:tcW w:w="415" w:type="pct"/>
                  <w:vMerge w:val="restart"/>
                  <w:tcBorders>
                    <w:tl2br w:val="nil"/>
                    <w:tr2bl w:val="nil"/>
                  </w:tcBorders>
                  <w:vAlign w:val="center"/>
                </w:tcPr>
                <w:p w14:paraId="26EA7C94">
                  <w:pPr>
                    <w:pStyle w:val="167"/>
                    <w:rPr>
                      <w:rFonts w:hAnsi="Times New Roman"/>
                      <w:color w:val="auto"/>
                      <w:sz w:val="20"/>
                      <w:szCs w:val="20"/>
                    </w:rPr>
                  </w:pPr>
                  <w:r>
                    <w:rPr>
                      <w:rFonts w:hAnsi="Times New Roman"/>
                      <w:color w:val="auto"/>
                      <w:sz w:val="20"/>
                      <w:szCs w:val="20"/>
                    </w:rPr>
                    <w:t>废</w:t>
                  </w:r>
                  <w:r>
                    <w:rPr>
                      <w:rFonts w:hint="eastAsia" w:hAnsi="Times New Roman"/>
                      <w:color w:val="auto"/>
                      <w:sz w:val="20"/>
                      <w:szCs w:val="20"/>
                    </w:rPr>
                    <w:t>变压</w:t>
                  </w:r>
                  <w:r>
                    <w:rPr>
                      <w:rFonts w:hAnsi="Times New Roman"/>
                      <w:color w:val="auto"/>
                      <w:sz w:val="20"/>
                      <w:szCs w:val="20"/>
                    </w:rPr>
                    <w:t>油</w:t>
                  </w:r>
                </w:p>
              </w:tc>
              <w:tc>
                <w:tcPr>
                  <w:tcW w:w="494" w:type="pct"/>
                  <w:vMerge w:val="restart"/>
                  <w:tcBorders>
                    <w:tl2br w:val="nil"/>
                    <w:tr2bl w:val="nil"/>
                  </w:tcBorders>
                  <w:vAlign w:val="center"/>
                </w:tcPr>
                <w:p w14:paraId="0CB9F590">
                  <w:pPr>
                    <w:pStyle w:val="167"/>
                    <w:rPr>
                      <w:rFonts w:hAnsi="Times New Roman"/>
                      <w:color w:val="auto"/>
                      <w:sz w:val="20"/>
                      <w:szCs w:val="20"/>
                    </w:rPr>
                  </w:pPr>
                  <w:r>
                    <w:rPr>
                      <w:rFonts w:hAnsi="Times New Roman"/>
                      <w:color w:val="auto"/>
                      <w:sz w:val="20"/>
                      <w:szCs w:val="20"/>
                    </w:rPr>
                    <w:t>危废</w:t>
                  </w:r>
                </w:p>
              </w:tc>
              <w:tc>
                <w:tcPr>
                  <w:tcW w:w="536" w:type="pct"/>
                  <w:vMerge w:val="restart"/>
                  <w:tcBorders>
                    <w:tl2br w:val="nil"/>
                    <w:tr2bl w:val="nil"/>
                  </w:tcBorders>
                  <w:vAlign w:val="center"/>
                </w:tcPr>
                <w:p w14:paraId="550E46D7">
                  <w:pPr>
                    <w:pStyle w:val="167"/>
                    <w:rPr>
                      <w:rFonts w:hAnsi="Times New Roman"/>
                      <w:color w:val="auto"/>
                      <w:sz w:val="20"/>
                      <w:szCs w:val="20"/>
                    </w:rPr>
                  </w:pPr>
                  <w:r>
                    <w:rPr>
                      <w:rFonts w:hAnsi="Times New Roman"/>
                      <w:color w:val="auto"/>
                      <w:sz w:val="20"/>
                      <w:szCs w:val="20"/>
                    </w:rPr>
                    <w:t>HW08 900-220-08</w:t>
                  </w:r>
                </w:p>
              </w:tc>
              <w:tc>
                <w:tcPr>
                  <w:tcW w:w="561" w:type="pct"/>
                  <w:tcBorders>
                    <w:tl2br w:val="nil"/>
                    <w:tr2bl w:val="nil"/>
                  </w:tcBorders>
                  <w:vAlign w:val="center"/>
                </w:tcPr>
                <w:p w14:paraId="1FC0826B">
                  <w:pPr>
                    <w:pStyle w:val="167"/>
                    <w:rPr>
                      <w:rFonts w:hAnsi="Times New Roman"/>
                      <w:color w:val="auto"/>
                      <w:sz w:val="20"/>
                      <w:szCs w:val="20"/>
                    </w:rPr>
                  </w:pPr>
                  <w:r>
                    <w:rPr>
                      <w:rFonts w:hint="eastAsia" w:hAnsi="Times New Roman"/>
                      <w:color w:val="auto"/>
                      <w:sz w:val="20"/>
                      <w:szCs w:val="20"/>
                    </w:rPr>
                    <w:t>44</w:t>
                  </w:r>
                </w:p>
              </w:tc>
              <w:tc>
                <w:tcPr>
                  <w:tcW w:w="709" w:type="pct"/>
                  <w:tcBorders>
                    <w:tl2br w:val="nil"/>
                    <w:tr2bl w:val="nil"/>
                  </w:tcBorders>
                  <w:vAlign w:val="center"/>
                </w:tcPr>
                <w:p w14:paraId="37581452">
                  <w:pPr>
                    <w:pStyle w:val="167"/>
                    <w:rPr>
                      <w:rFonts w:hAnsi="Times New Roman"/>
                      <w:color w:val="auto"/>
                      <w:sz w:val="20"/>
                      <w:szCs w:val="20"/>
                    </w:rPr>
                  </w:pPr>
                  <w:r>
                    <w:rPr>
                      <w:rFonts w:hAnsi="Times New Roman"/>
                      <w:color w:val="auto"/>
                      <w:sz w:val="20"/>
                      <w:szCs w:val="20"/>
                    </w:rPr>
                    <w:t>箱变事故</w:t>
                  </w:r>
                </w:p>
              </w:tc>
              <w:tc>
                <w:tcPr>
                  <w:tcW w:w="274" w:type="pct"/>
                  <w:vMerge w:val="restart"/>
                  <w:tcBorders>
                    <w:tl2br w:val="nil"/>
                    <w:tr2bl w:val="nil"/>
                  </w:tcBorders>
                  <w:vAlign w:val="center"/>
                </w:tcPr>
                <w:p w14:paraId="49105246">
                  <w:pPr>
                    <w:pStyle w:val="167"/>
                    <w:rPr>
                      <w:rFonts w:hAnsi="Times New Roman"/>
                      <w:color w:val="auto"/>
                      <w:sz w:val="20"/>
                      <w:szCs w:val="20"/>
                    </w:rPr>
                  </w:pPr>
                  <w:r>
                    <w:rPr>
                      <w:rFonts w:hAnsi="Times New Roman"/>
                      <w:color w:val="auto"/>
                      <w:sz w:val="20"/>
                      <w:szCs w:val="20"/>
                    </w:rPr>
                    <w:t>液态</w:t>
                  </w:r>
                </w:p>
              </w:tc>
              <w:tc>
                <w:tcPr>
                  <w:tcW w:w="445" w:type="pct"/>
                  <w:vMerge w:val="restart"/>
                  <w:tcBorders>
                    <w:tl2br w:val="nil"/>
                    <w:tr2bl w:val="nil"/>
                  </w:tcBorders>
                  <w:vAlign w:val="center"/>
                </w:tcPr>
                <w:p w14:paraId="12312205">
                  <w:pPr>
                    <w:pStyle w:val="167"/>
                    <w:rPr>
                      <w:rFonts w:hAnsi="Times New Roman"/>
                      <w:color w:val="auto"/>
                      <w:sz w:val="20"/>
                      <w:szCs w:val="20"/>
                    </w:rPr>
                  </w:pPr>
                  <w:r>
                    <w:rPr>
                      <w:rFonts w:hAnsi="Times New Roman"/>
                      <w:color w:val="auto"/>
                      <w:sz w:val="20"/>
                      <w:szCs w:val="20"/>
                    </w:rPr>
                    <w:t>石油烃</w:t>
                  </w:r>
                </w:p>
              </w:tc>
              <w:tc>
                <w:tcPr>
                  <w:tcW w:w="463" w:type="pct"/>
                  <w:vMerge w:val="restart"/>
                  <w:tcBorders>
                    <w:tl2br w:val="nil"/>
                    <w:tr2bl w:val="nil"/>
                  </w:tcBorders>
                  <w:vAlign w:val="center"/>
                </w:tcPr>
                <w:p w14:paraId="01F2E473">
                  <w:pPr>
                    <w:pStyle w:val="167"/>
                    <w:rPr>
                      <w:rFonts w:hAnsi="Times New Roman"/>
                      <w:color w:val="auto"/>
                      <w:sz w:val="20"/>
                      <w:szCs w:val="20"/>
                    </w:rPr>
                  </w:pPr>
                  <w:r>
                    <w:rPr>
                      <w:rFonts w:hAnsi="Times New Roman"/>
                      <w:color w:val="auto"/>
                      <w:sz w:val="20"/>
                      <w:szCs w:val="20"/>
                    </w:rPr>
                    <w:t>持久性有机污染物</w:t>
                  </w:r>
                </w:p>
              </w:tc>
              <w:tc>
                <w:tcPr>
                  <w:tcW w:w="281" w:type="pct"/>
                  <w:vMerge w:val="restart"/>
                  <w:tcBorders>
                    <w:tl2br w:val="nil"/>
                    <w:tr2bl w:val="nil"/>
                  </w:tcBorders>
                  <w:vAlign w:val="center"/>
                </w:tcPr>
                <w:p w14:paraId="5E32BFF4">
                  <w:pPr>
                    <w:pStyle w:val="167"/>
                    <w:rPr>
                      <w:rFonts w:hAnsi="Times New Roman"/>
                      <w:color w:val="auto"/>
                      <w:sz w:val="20"/>
                      <w:szCs w:val="20"/>
                    </w:rPr>
                  </w:pPr>
                  <w:r>
                    <w:rPr>
                      <w:rFonts w:hAnsi="Times New Roman"/>
                      <w:color w:val="auto"/>
                      <w:sz w:val="20"/>
                      <w:szCs w:val="20"/>
                    </w:rPr>
                    <w:t>年</w:t>
                  </w:r>
                </w:p>
              </w:tc>
              <w:tc>
                <w:tcPr>
                  <w:tcW w:w="532" w:type="pct"/>
                  <w:vMerge w:val="restart"/>
                  <w:tcBorders>
                    <w:tl2br w:val="nil"/>
                    <w:tr2bl w:val="nil"/>
                  </w:tcBorders>
                  <w:vAlign w:val="center"/>
                </w:tcPr>
                <w:p w14:paraId="5BFAEBFA">
                  <w:pPr>
                    <w:pStyle w:val="167"/>
                    <w:rPr>
                      <w:rFonts w:hAnsi="Times New Roman"/>
                      <w:color w:val="auto"/>
                      <w:sz w:val="20"/>
                      <w:szCs w:val="20"/>
                    </w:rPr>
                  </w:pPr>
                  <w:r>
                    <w:rPr>
                      <w:rFonts w:hint="eastAsia" w:hAnsi="Times New Roman"/>
                      <w:color w:val="auto"/>
                      <w:sz w:val="20"/>
                      <w:szCs w:val="20"/>
                    </w:rPr>
                    <w:t>按GB 18597-2023要求贮存管理，</w:t>
                  </w:r>
                  <w:r>
                    <w:rPr>
                      <w:rFonts w:hAnsi="Times New Roman"/>
                      <w:color w:val="auto"/>
                      <w:sz w:val="20"/>
                      <w:szCs w:val="20"/>
                    </w:rPr>
                    <w:t>委托有资质单位处置</w:t>
                  </w:r>
                </w:p>
              </w:tc>
            </w:tr>
            <w:tr w14:paraId="7AF5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 w:type="pct"/>
                  <w:tcBorders>
                    <w:tl2br w:val="nil"/>
                    <w:tr2bl w:val="nil"/>
                  </w:tcBorders>
                  <w:vAlign w:val="center"/>
                </w:tcPr>
                <w:p w14:paraId="429D833F">
                  <w:pPr>
                    <w:pStyle w:val="167"/>
                    <w:rPr>
                      <w:rFonts w:hAnsi="Times New Roman"/>
                      <w:color w:val="auto"/>
                      <w:sz w:val="20"/>
                      <w:szCs w:val="20"/>
                    </w:rPr>
                  </w:pPr>
                  <w:r>
                    <w:rPr>
                      <w:rFonts w:hAnsi="Times New Roman"/>
                      <w:color w:val="auto"/>
                      <w:sz w:val="20"/>
                      <w:szCs w:val="20"/>
                    </w:rPr>
                    <w:t>2</w:t>
                  </w:r>
                </w:p>
              </w:tc>
              <w:tc>
                <w:tcPr>
                  <w:tcW w:w="415" w:type="pct"/>
                  <w:vMerge w:val="continue"/>
                  <w:tcBorders>
                    <w:tl2br w:val="nil"/>
                    <w:tr2bl w:val="nil"/>
                  </w:tcBorders>
                  <w:vAlign w:val="center"/>
                </w:tcPr>
                <w:p w14:paraId="2FC0D5F7">
                  <w:pPr>
                    <w:pStyle w:val="167"/>
                    <w:rPr>
                      <w:rFonts w:hAnsi="Times New Roman"/>
                      <w:color w:val="auto"/>
                      <w:sz w:val="20"/>
                      <w:szCs w:val="20"/>
                    </w:rPr>
                  </w:pPr>
                </w:p>
              </w:tc>
              <w:tc>
                <w:tcPr>
                  <w:tcW w:w="494" w:type="pct"/>
                  <w:vMerge w:val="continue"/>
                  <w:tcBorders>
                    <w:tl2br w:val="nil"/>
                    <w:tr2bl w:val="nil"/>
                  </w:tcBorders>
                  <w:vAlign w:val="center"/>
                </w:tcPr>
                <w:p w14:paraId="13DD228D">
                  <w:pPr>
                    <w:pStyle w:val="167"/>
                    <w:rPr>
                      <w:rFonts w:hAnsi="Times New Roman"/>
                      <w:color w:val="auto"/>
                      <w:sz w:val="20"/>
                      <w:szCs w:val="20"/>
                    </w:rPr>
                  </w:pPr>
                </w:p>
              </w:tc>
              <w:tc>
                <w:tcPr>
                  <w:tcW w:w="536" w:type="pct"/>
                  <w:vMerge w:val="continue"/>
                  <w:tcBorders>
                    <w:tl2br w:val="nil"/>
                    <w:tr2bl w:val="nil"/>
                  </w:tcBorders>
                  <w:vAlign w:val="center"/>
                </w:tcPr>
                <w:p w14:paraId="25832915">
                  <w:pPr>
                    <w:pStyle w:val="167"/>
                    <w:rPr>
                      <w:rFonts w:hAnsi="Times New Roman"/>
                      <w:color w:val="auto"/>
                      <w:sz w:val="20"/>
                      <w:szCs w:val="20"/>
                    </w:rPr>
                  </w:pPr>
                </w:p>
              </w:tc>
              <w:tc>
                <w:tcPr>
                  <w:tcW w:w="561" w:type="pct"/>
                  <w:tcBorders>
                    <w:tl2br w:val="nil"/>
                    <w:tr2bl w:val="nil"/>
                  </w:tcBorders>
                  <w:vAlign w:val="center"/>
                </w:tcPr>
                <w:p w14:paraId="33CBC466">
                  <w:pPr>
                    <w:pStyle w:val="167"/>
                    <w:rPr>
                      <w:rFonts w:hAnsi="Times New Roman"/>
                      <w:color w:val="auto"/>
                      <w:sz w:val="20"/>
                      <w:szCs w:val="20"/>
                    </w:rPr>
                  </w:pPr>
                  <w:r>
                    <w:rPr>
                      <w:rFonts w:hAnsi="Times New Roman"/>
                      <w:color w:val="auto"/>
                      <w:sz w:val="20"/>
                      <w:szCs w:val="20"/>
                    </w:rPr>
                    <w:t>0.</w:t>
                  </w:r>
                  <w:r>
                    <w:rPr>
                      <w:rFonts w:hint="eastAsia" w:hAnsi="Times New Roman"/>
                      <w:color w:val="auto"/>
                      <w:sz w:val="20"/>
                      <w:szCs w:val="20"/>
                    </w:rPr>
                    <w:t>0</w:t>
                  </w:r>
                  <w:r>
                    <w:rPr>
                      <w:rFonts w:hAnsi="Times New Roman"/>
                      <w:color w:val="auto"/>
                      <w:sz w:val="20"/>
                      <w:szCs w:val="20"/>
                    </w:rPr>
                    <w:t>5</w:t>
                  </w:r>
                </w:p>
              </w:tc>
              <w:tc>
                <w:tcPr>
                  <w:tcW w:w="709" w:type="pct"/>
                  <w:tcBorders>
                    <w:tl2br w:val="nil"/>
                    <w:tr2bl w:val="nil"/>
                  </w:tcBorders>
                  <w:vAlign w:val="center"/>
                </w:tcPr>
                <w:p w14:paraId="2B3A589E">
                  <w:pPr>
                    <w:pStyle w:val="167"/>
                    <w:rPr>
                      <w:rFonts w:hAnsi="Times New Roman"/>
                      <w:color w:val="auto"/>
                      <w:sz w:val="20"/>
                      <w:szCs w:val="20"/>
                    </w:rPr>
                  </w:pPr>
                  <w:r>
                    <w:rPr>
                      <w:rFonts w:hAnsi="Times New Roman"/>
                      <w:color w:val="auto"/>
                      <w:sz w:val="20"/>
                      <w:szCs w:val="20"/>
                    </w:rPr>
                    <w:t>检修废油</w:t>
                  </w:r>
                </w:p>
              </w:tc>
              <w:tc>
                <w:tcPr>
                  <w:tcW w:w="274" w:type="pct"/>
                  <w:vMerge w:val="continue"/>
                  <w:tcBorders>
                    <w:tl2br w:val="nil"/>
                    <w:tr2bl w:val="nil"/>
                  </w:tcBorders>
                  <w:vAlign w:val="center"/>
                </w:tcPr>
                <w:p w14:paraId="78667DE3">
                  <w:pPr>
                    <w:pStyle w:val="167"/>
                    <w:rPr>
                      <w:rFonts w:hAnsi="Times New Roman"/>
                      <w:color w:val="auto"/>
                      <w:sz w:val="20"/>
                      <w:szCs w:val="20"/>
                    </w:rPr>
                  </w:pPr>
                </w:p>
              </w:tc>
              <w:tc>
                <w:tcPr>
                  <w:tcW w:w="445" w:type="pct"/>
                  <w:vMerge w:val="continue"/>
                  <w:tcBorders>
                    <w:tl2br w:val="nil"/>
                    <w:tr2bl w:val="nil"/>
                  </w:tcBorders>
                  <w:vAlign w:val="center"/>
                </w:tcPr>
                <w:p w14:paraId="0EF85B2A">
                  <w:pPr>
                    <w:pStyle w:val="167"/>
                    <w:rPr>
                      <w:rFonts w:hAnsi="Times New Roman"/>
                      <w:color w:val="auto"/>
                      <w:sz w:val="20"/>
                      <w:szCs w:val="20"/>
                    </w:rPr>
                  </w:pPr>
                </w:p>
              </w:tc>
              <w:tc>
                <w:tcPr>
                  <w:tcW w:w="463" w:type="pct"/>
                  <w:vMerge w:val="continue"/>
                  <w:tcBorders>
                    <w:tl2br w:val="nil"/>
                    <w:tr2bl w:val="nil"/>
                  </w:tcBorders>
                  <w:vAlign w:val="center"/>
                </w:tcPr>
                <w:p w14:paraId="68CE0ABC">
                  <w:pPr>
                    <w:pStyle w:val="167"/>
                    <w:rPr>
                      <w:rFonts w:hAnsi="Times New Roman"/>
                      <w:color w:val="auto"/>
                      <w:sz w:val="20"/>
                      <w:szCs w:val="20"/>
                    </w:rPr>
                  </w:pPr>
                </w:p>
              </w:tc>
              <w:tc>
                <w:tcPr>
                  <w:tcW w:w="281" w:type="pct"/>
                  <w:vMerge w:val="continue"/>
                  <w:tcBorders>
                    <w:tl2br w:val="nil"/>
                    <w:tr2bl w:val="nil"/>
                  </w:tcBorders>
                  <w:vAlign w:val="center"/>
                </w:tcPr>
                <w:p w14:paraId="437EBC24">
                  <w:pPr>
                    <w:pStyle w:val="167"/>
                    <w:rPr>
                      <w:rFonts w:hAnsi="Times New Roman"/>
                      <w:color w:val="auto"/>
                      <w:sz w:val="20"/>
                      <w:szCs w:val="20"/>
                    </w:rPr>
                  </w:pPr>
                </w:p>
              </w:tc>
              <w:tc>
                <w:tcPr>
                  <w:tcW w:w="532" w:type="pct"/>
                  <w:vMerge w:val="continue"/>
                  <w:tcBorders>
                    <w:tl2br w:val="nil"/>
                    <w:tr2bl w:val="nil"/>
                  </w:tcBorders>
                  <w:vAlign w:val="center"/>
                </w:tcPr>
                <w:p w14:paraId="700495DB">
                  <w:pPr>
                    <w:pStyle w:val="167"/>
                    <w:rPr>
                      <w:rFonts w:hAnsi="Times New Roman"/>
                      <w:color w:val="auto"/>
                      <w:sz w:val="20"/>
                      <w:szCs w:val="20"/>
                    </w:rPr>
                  </w:pPr>
                </w:p>
              </w:tc>
            </w:tr>
            <w:tr w14:paraId="697A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0" w:type="pct"/>
                  <w:tcBorders>
                    <w:tl2br w:val="nil"/>
                    <w:tr2bl w:val="nil"/>
                  </w:tcBorders>
                  <w:vAlign w:val="center"/>
                </w:tcPr>
                <w:p w14:paraId="4472826C">
                  <w:pPr>
                    <w:pStyle w:val="167"/>
                    <w:rPr>
                      <w:rFonts w:hAnsi="Times New Roman"/>
                      <w:color w:val="auto"/>
                      <w:sz w:val="20"/>
                      <w:szCs w:val="20"/>
                    </w:rPr>
                  </w:pPr>
                  <w:r>
                    <w:rPr>
                      <w:rFonts w:hAnsi="Times New Roman"/>
                      <w:color w:val="auto"/>
                      <w:sz w:val="20"/>
                      <w:szCs w:val="20"/>
                    </w:rPr>
                    <w:t>3</w:t>
                  </w:r>
                </w:p>
              </w:tc>
              <w:tc>
                <w:tcPr>
                  <w:tcW w:w="415" w:type="pct"/>
                  <w:tcBorders>
                    <w:tl2br w:val="nil"/>
                    <w:tr2bl w:val="nil"/>
                  </w:tcBorders>
                  <w:vAlign w:val="center"/>
                </w:tcPr>
                <w:p w14:paraId="780247DE">
                  <w:pPr>
                    <w:pStyle w:val="167"/>
                    <w:rPr>
                      <w:rFonts w:hAnsi="Times New Roman"/>
                      <w:color w:val="auto"/>
                      <w:sz w:val="20"/>
                      <w:szCs w:val="20"/>
                    </w:rPr>
                  </w:pPr>
                  <w:r>
                    <w:rPr>
                      <w:rFonts w:hint="eastAsia"/>
                      <w:color w:val="auto"/>
                      <w:sz w:val="20"/>
                      <w:szCs w:val="20"/>
                    </w:rPr>
                    <w:t>废弃的含油抹布、劳保用品</w:t>
                  </w:r>
                </w:p>
              </w:tc>
              <w:tc>
                <w:tcPr>
                  <w:tcW w:w="494" w:type="pct"/>
                  <w:tcBorders>
                    <w:tl2br w:val="nil"/>
                    <w:tr2bl w:val="nil"/>
                  </w:tcBorders>
                  <w:vAlign w:val="center"/>
                </w:tcPr>
                <w:p w14:paraId="0A8BF94D">
                  <w:pPr>
                    <w:pStyle w:val="167"/>
                    <w:rPr>
                      <w:rFonts w:hAnsi="Times New Roman"/>
                      <w:color w:val="auto"/>
                      <w:sz w:val="20"/>
                      <w:szCs w:val="20"/>
                    </w:rPr>
                  </w:pPr>
                  <w:r>
                    <w:rPr>
                      <w:rFonts w:hint="eastAsia"/>
                      <w:color w:val="auto"/>
                      <w:sz w:val="20"/>
                      <w:szCs w:val="20"/>
                    </w:rPr>
                    <w:t>危废</w:t>
                  </w:r>
                </w:p>
              </w:tc>
              <w:tc>
                <w:tcPr>
                  <w:tcW w:w="536" w:type="pct"/>
                  <w:tcBorders>
                    <w:tl2br w:val="nil"/>
                    <w:tr2bl w:val="nil"/>
                  </w:tcBorders>
                  <w:vAlign w:val="center"/>
                </w:tcPr>
                <w:p w14:paraId="36E7B6F2">
                  <w:pPr>
                    <w:pStyle w:val="167"/>
                    <w:rPr>
                      <w:rFonts w:hAnsi="Times New Roman"/>
                      <w:color w:val="auto"/>
                      <w:sz w:val="20"/>
                      <w:szCs w:val="20"/>
                    </w:rPr>
                  </w:pPr>
                  <w:r>
                    <w:rPr>
                      <w:color w:val="auto"/>
                      <w:sz w:val="20"/>
                      <w:szCs w:val="20"/>
                    </w:rPr>
                    <w:t>HW49 900-041-49</w:t>
                  </w:r>
                </w:p>
              </w:tc>
              <w:tc>
                <w:tcPr>
                  <w:tcW w:w="561" w:type="pct"/>
                  <w:tcBorders>
                    <w:tl2br w:val="nil"/>
                    <w:tr2bl w:val="nil"/>
                  </w:tcBorders>
                  <w:vAlign w:val="center"/>
                </w:tcPr>
                <w:p w14:paraId="72622FB0">
                  <w:pPr>
                    <w:pStyle w:val="167"/>
                    <w:rPr>
                      <w:rFonts w:hAnsi="Times New Roman"/>
                      <w:color w:val="auto"/>
                      <w:sz w:val="20"/>
                      <w:szCs w:val="20"/>
                    </w:rPr>
                  </w:pPr>
                  <w:r>
                    <w:rPr>
                      <w:rFonts w:hint="eastAsia" w:hAnsi="Times New Roman"/>
                      <w:color w:val="auto"/>
                      <w:sz w:val="20"/>
                      <w:szCs w:val="20"/>
                    </w:rPr>
                    <w:t>0</w:t>
                  </w:r>
                  <w:r>
                    <w:rPr>
                      <w:rFonts w:hAnsi="Times New Roman"/>
                      <w:color w:val="auto"/>
                      <w:sz w:val="20"/>
                      <w:szCs w:val="20"/>
                    </w:rPr>
                    <w:t>.</w:t>
                  </w:r>
                  <w:r>
                    <w:rPr>
                      <w:rFonts w:hint="eastAsia" w:hAnsi="Times New Roman"/>
                      <w:color w:val="auto"/>
                      <w:sz w:val="20"/>
                      <w:szCs w:val="20"/>
                    </w:rPr>
                    <w:t>0</w:t>
                  </w:r>
                  <w:r>
                    <w:rPr>
                      <w:rFonts w:hAnsi="Times New Roman"/>
                      <w:color w:val="auto"/>
                      <w:sz w:val="20"/>
                      <w:szCs w:val="20"/>
                    </w:rPr>
                    <w:t>1</w:t>
                  </w:r>
                </w:p>
              </w:tc>
              <w:tc>
                <w:tcPr>
                  <w:tcW w:w="709" w:type="pct"/>
                  <w:tcBorders>
                    <w:tl2br w:val="nil"/>
                    <w:tr2bl w:val="nil"/>
                  </w:tcBorders>
                  <w:vAlign w:val="center"/>
                </w:tcPr>
                <w:p w14:paraId="3BCC619B">
                  <w:pPr>
                    <w:pStyle w:val="167"/>
                    <w:rPr>
                      <w:rFonts w:hAnsi="Times New Roman"/>
                      <w:color w:val="auto"/>
                      <w:sz w:val="20"/>
                      <w:szCs w:val="20"/>
                    </w:rPr>
                  </w:pPr>
                  <w:r>
                    <w:rPr>
                      <w:rFonts w:hint="eastAsia" w:hAnsi="Times New Roman"/>
                      <w:color w:val="auto"/>
                      <w:sz w:val="20"/>
                      <w:szCs w:val="20"/>
                    </w:rPr>
                    <w:t>箱变事故、检修</w:t>
                  </w:r>
                </w:p>
              </w:tc>
              <w:tc>
                <w:tcPr>
                  <w:tcW w:w="274" w:type="pct"/>
                  <w:tcBorders>
                    <w:tl2br w:val="nil"/>
                    <w:tr2bl w:val="nil"/>
                  </w:tcBorders>
                  <w:vAlign w:val="center"/>
                </w:tcPr>
                <w:p w14:paraId="2AC95C17">
                  <w:pPr>
                    <w:pStyle w:val="167"/>
                    <w:rPr>
                      <w:rFonts w:hAnsi="Times New Roman"/>
                      <w:color w:val="auto"/>
                      <w:sz w:val="20"/>
                      <w:szCs w:val="20"/>
                    </w:rPr>
                  </w:pPr>
                  <w:r>
                    <w:rPr>
                      <w:rFonts w:hint="eastAsia" w:hAnsi="Times New Roman"/>
                      <w:color w:val="auto"/>
                      <w:sz w:val="20"/>
                      <w:szCs w:val="20"/>
                    </w:rPr>
                    <w:t>固态</w:t>
                  </w:r>
                </w:p>
              </w:tc>
              <w:tc>
                <w:tcPr>
                  <w:tcW w:w="445" w:type="pct"/>
                  <w:tcBorders>
                    <w:tl2br w:val="nil"/>
                    <w:tr2bl w:val="nil"/>
                  </w:tcBorders>
                  <w:vAlign w:val="center"/>
                </w:tcPr>
                <w:p w14:paraId="09DE9D99">
                  <w:pPr>
                    <w:pStyle w:val="167"/>
                    <w:rPr>
                      <w:rFonts w:hAnsi="Times New Roman"/>
                      <w:color w:val="auto"/>
                      <w:sz w:val="20"/>
                      <w:szCs w:val="20"/>
                    </w:rPr>
                  </w:pPr>
                  <w:r>
                    <w:rPr>
                      <w:rFonts w:hint="eastAsia" w:hAnsi="Times New Roman"/>
                      <w:color w:val="auto"/>
                      <w:sz w:val="20"/>
                      <w:szCs w:val="20"/>
                    </w:rPr>
                    <w:t>沾染石油烃</w:t>
                  </w:r>
                </w:p>
              </w:tc>
              <w:tc>
                <w:tcPr>
                  <w:tcW w:w="463" w:type="pct"/>
                  <w:tcBorders>
                    <w:tl2br w:val="nil"/>
                    <w:tr2bl w:val="nil"/>
                  </w:tcBorders>
                  <w:vAlign w:val="center"/>
                </w:tcPr>
                <w:p w14:paraId="3C50B5BF">
                  <w:pPr>
                    <w:pStyle w:val="167"/>
                    <w:rPr>
                      <w:rFonts w:hAnsi="Times New Roman"/>
                      <w:color w:val="auto"/>
                      <w:sz w:val="20"/>
                      <w:szCs w:val="20"/>
                    </w:rPr>
                  </w:pPr>
                  <w:r>
                    <w:rPr>
                      <w:rFonts w:hint="eastAsia"/>
                      <w:color w:val="auto"/>
                      <w:sz w:val="20"/>
                      <w:szCs w:val="20"/>
                    </w:rPr>
                    <w:t>持久性有机污染物</w:t>
                  </w:r>
                </w:p>
              </w:tc>
              <w:tc>
                <w:tcPr>
                  <w:tcW w:w="281" w:type="pct"/>
                  <w:tcBorders>
                    <w:tl2br w:val="nil"/>
                    <w:tr2bl w:val="nil"/>
                  </w:tcBorders>
                  <w:vAlign w:val="center"/>
                </w:tcPr>
                <w:p w14:paraId="7F593EF1">
                  <w:pPr>
                    <w:pStyle w:val="167"/>
                    <w:rPr>
                      <w:rFonts w:hAnsi="Times New Roman"/>
                      <w:color w:val="auto"/>
                      <w:sz w:val="20"/>
                      <w:szCs w:val="20"/>
                    </w:rPr>
                  </w:pPr>
                  <w:r>
                    <w:rPr>
                      <w:rFonts w:hint="eastAsia" w:hAnsi="Times New Roman"/>
                      <w:color w:val="auto"/>
                      <w:sz w:val="20"/>
                      <w:szCs w:val="20"/>
                    </w:rPr>
                    <w:t>/</w:t>
                  </w:r>
                </w:p>
              </w:tc>
              <w:tc>
                <w:tcPr>
                  <w:tcW w:w="532" w:type="pct"/>
                  <w:vMerge w:val="continue"/>
                  <w:tcBorders>
                    <w:tl2br w:val="nil"/>
                    <w:tr2bl w:val="nil"/>
                  </w:tcBorders>
                  <w:vAlign w:val="center"/>
                </w:tcPr>
                <w:p w14:paraId="1DD0AC99">
                  <w:pPr>
                    <w:pStyle w:val="167"/>
                    <w:rPr>
                      <w:rFonts w:hAnsi="Times New Roman"/>
                      <w:color w:val="auto"/>
                      <w:sz w:val="20"/>
                      <w:szCs w:val="20"/>
                    </w:rPr>
                  </w:pPr>
                </w:p>
              </w:tc>
            </w:tr>
          </w:tbl>
          <w:p w14:paraId="0E014B62">
            <w:pPr>
              <w:ind w:firstLine="482"/>
              <w:rPr>
                <w:b/>
                <w:bCs/>
                <w:color w:val="auto"/>
                <w:szCs w:val="21"/>
              </w:rPr>
            </w:pPr>
            <w:r>
              <w:rPr>
                <w:rFonts w:hint="eastAsia"/>
                <w:b/>
                <w:bCs/>
                <w:color w:val="auto"/>
                <w:szCs w:val="21"/>
              </w:rPr>
              <w:t>4、依托可行性分析</w:t>
            </w:r>
          </w:p>
          <w:p w14:paraId="62B5982F">
            <w:pPr>
              <w:ind w:firstLine="480"/>
              <w:rPr>
                <w:color w:val="auto"/>
              </w:rPr>
            </w:pPr>
            <w:r>
              <w:rPr>
                <w:rFonts w:hint="eastAsia"/>
                <w:color w:val="auto"/>
              </w:rPr>
              <w:t>依托德安升压站可行性分析：根据《云南省大理州南涧县沙乐光伏发电项目可行性研究报告》，本次沙乐光伏发电项目与德安光伏发电项目共用一座220kV升压站，升压站在德安光伏发电项目内建设，建设单位均为华能澜沧江（南涧）新能源有限公司。根据《云南省大理州南涧县德安光伏发电项目可行性研究报告》，德安光伏发电项目中已考虑本项目固废贮存需求（废物储存间面积约为54</w:t>
            </w:r>
            <w:r>
              <w:rPr>
                <w:color w:val="auto"/>
              </w:rPr>
              <w:t>m</w:t>
            </w:r>
            <w:r>
              <w:rPr>
                <w:color w:val="auto"/>
                <w:vertAlign w:val="superscript"/>
              </w:rPr>
              <w:t>2</w:t>
            </w:r>
            <w:r>
              <w:rPr>
                <w:rFonts w:hint="eastAsia"/>
                <w:color w:val="auto"/>
              </w:rPr>
              <w:t>、危废贮存间面积为36</w:t>
            </w:r>
            <w:r>
              <w:rPr>
                <w:color w:val="auto"/>
              </w:rPr>
              <w:t>m</w:t>
            </w:r>
            <w:r>
              <w:rPr>
                <w:color w:val="auto"/>
                <w:vertAlign w:val="superscript"/>
              </w:rPr>
              <w:t>2</w:t>
            </w:r>
            <w:r>
              <w:rPr>
                <w:rFonts w:hint="eastAsia"/>
                <w:color w:val="auto"/>
              </w:rPr>
              <w:t>）。德安光伏发电项目正在施工建设，还未建成，在德安光伏发电项目建成前，本项目不投入运行。因此，本项目一般固体废物、危险废物处置设施依托于德安升压站是可行的。</w:t>
            </w:r>
          </w:p>
          <w:p w14:paraId="6B9C3C02">
            <w:pPr>
              <w:ind w:firstLine="482"/>
              <w:rPr>
                <w:b/>
                <w:bCs/>
                <w:color w:val="auto"/>
                <w:szCs w:val="21"/>
              </w:rPr>
            </w:pPr>
            <w:r>
              <w:rPr>
                <w:rFonts w:hint="eastAsia"/>
                <w:b/>
                <w:bCs/>
                <w:color w:val="auto"/>
                <w:szCs w:val="21"/>
              </w:rPr>
              <w:t>5</w:t>
            </w:r>
            <w:r>
              <w:rPr>
                <w:b/>
                <w:bCs/>
                <w:color w:val="auto"/>
                <w:szCs w:val="21"/>
              </w:rPr>
              <w:t>、固体废物管理要求</w:t>
            </w:r>
          </w:p>
          <w:p w14:paraId="63B6F902">
            <w:pPr>
              <w:ind w:firstLine="480"/>
              <w:rPr>
                <w:color w:val="auto"/>
                <w:szCs w:val="21"/>
              </w:rPr>
            </w:pPr>
            <w:r>
              <w:rPr>
                <w:color w:val="auto"/>
                <w:szCs w:val="21"/>
              </w:rPr>
              <w:t>1）一般固废环境管理要求</w:t>
            </w:r>
          </w:p>
          <w:p w14:paraId="7D7BAB4C">
            <w:pPr>
              <w:ind w:firstLine="480"/>
              <w:rPr>
                <w:color w:val="auto"/>
                <w:szCs w:val="21"/>
              </w:rPr>
            </w:pPr>
            <w:r>
              <w:rPr>
                <w:color w:val="auto"/>
                <w:szCs w:val="21"/>
              </w:rPr>
              <w:t>按照《一般工业固体废物贮存和填埋污染控制标准》（GB18599-2020）要求进行设计、施工，做到防渗漏、防雨淋、防散失处理，避免对环境造成二次污染。</w:t>
            </w:r>
          </w:p>
          <w:p w14:paraId="0C678031">
            <w:pPr>
              <w:ind w:firstLine="480"/>
              <w:rPr>
                <w:color w:val="auto"/>
                <w:szCs w:val="21"/>
              </w:rPr>
            </w:pPr>
            <w:r>
              <w:rPr>
                <w:color w:val="auto"/>
                <w:szCs w:val="21"/>
              </w:rPr>
              <w:t>2）危险废物环境管理要求</w:t>
            </w:r>
          </w:p>
          <w:p w14:paraId="79AD9BC2">
            <w:pPr>
              <w:ind w:firstLine="480"/>
              <w:rPr>
                <w:color w:val="auto"/>
                <w:szCs w:val="21"/>
              </w:rPr>
            </w:pPr>
            <w:r>
              <w:rPr>
                <w:color w:val="auto"/>
                <w:szCs w:val="21"/>
              </w:rPr>
              <w:t>本</w:t>
            </w:r>
            <w:r>
              <w:rPr>
                <w:rFonts w:hint="eastAsia"/>
                <w:color w:val="auto"/>
                <w:szCs w:val="21"/>
              </w:rPr>
              <w:t>项目危废贮存库依托德安升压站内的危废贮存库</w:t>
            </w:r>
            <w:r>
              <w:rPr>
                <w:color w:val="auto"/>
                <w:szCs w:val="21"/>
              </w:rPr>
              <w:t>。</w:t>
            </w:r>
            <w:r>
              <w:rPr>
                <w:rFonts w:hint="eastAsia"/>
                <w:color w:val="auto"/>
                <w:szCs w:val="21"/>
              </w:rPr>
              <w:t>本项目运营过程产生的危险废物先采用专用桶收集后沿场内道路运至德安升压站内的危废贮存间，</w:t>
            </w:r>
            <w:r>
              <w:rPr>
                <w:color w:val="auto"/>
                <w:szCs w:val="21"/>
              </w:rPr>
              <w:t>在运营过程中，危险废物应严格按照《危险废物管理办法》</w:t>
            </w:r>
            <w:r>
              <w:rPr>
                <w:rFonts w:hint="eastAsia"/>
                <w:color w:val="auto"/>
                <w:szCs w:val="21"/>
              </w:rPr>
              <w:t>、</w:t>
            </w:r>
            <w:r>
              <w:rPr>
                <w:color w:val="auto"/>
                <w:szCs w:val="21"/>
              </w:rPr>
              <w:t>《危险废物贮存污染控制标准》（GB18597-2023）</w:t>
            </w:r>
            <w:r>
              <w:rPr>
                <w:rFonts w:hint="eastAsia"/>
                <w:color w:val="auto"/>
                <w:szCs w:val="21"/>
              </w:rPr>
              <w:t>、《危险废物管理计划和管理台账制定技术导则》（HJ 1259-2022）等</w:t>
            </w:r>
            <w:r>
              <w:rPr>
                <w:color w:val="auto"/>
                <w:szCs w:val="21"/>
              </w:rPr>
              <w:t>要求执行，作好危险废物情况的记录，记录上须注明危险废物的名称、来源、数量、特性和包装容器的类别，同时危险废物的记录和货单需保留</w:t>
            </w:r>
            <w:r>
              <w:rPr>
                <w:rFonts w:hint="eastAsia"/>
                <w:color w:val="auto"/>
                <w:szCs w:val="21"/>
              </w:rPr>
              <w:t>5</w:t>
            </w:r>
            <w:r>
              <w:rPr>
                <w:color w:val="auto"/>
                <w:szCs w:val="21"/>
              </w:rPr>
              <w:t>年。定期对所贮存的危险废物包装容器及贮存设施进行检查，发现破损，应及时采取措施清理更换；建立危险废物贮存的台账制度，应有危险废物出入库交接记录，执行危险废物转移联单制度。</w:t>
            </w:r>
          </w:p>
          <w:p w14:paraId="143D5804">
            <w:pPr>
              <w:ind w:firstLine="480"/>
              <w:rPr>
                <w:color w:val="auto"/>
                <w:szCs w:val="21"/>
              </w:rPr>
            </w:pPr>
            <w:r>
              <w:rPr>
                <w:color w:val="auto"/>
                <w:szCs w:val="21"/>
              </w:rPr>
              <w:t>综上所述，本项目产生的各类固废均可得到有效的处理及处置，对周边环境影响较小。</w:t>
            </w:r>
          </w:p>
          <w:p w14:paraId="106652B8">
            <w:pPr>
              <w:pStyle w:val="3"/>
              <w:spacing w:before="72" w:after="72"/>
              <w:rPr>
                <w:color w:val="auto"/>
              </w:rPr>
            </w:pPr>
            <w:bookmarkStart w:id="1143" w:name="_Toc181293554"/>
            <w:bookmarkStart w:id="1144" w:name="_Toc158491296"/>
            <w:bookmarkStart w:id="1145" w:name="_Toc136794350"/>
            <w:bookmarkStart w:id="1146" w:name="_Toc177488229"/>
            <w:bookmarkStart w:id="1147" w:name="_Toc177072417"/>
            <w:bookmarkStart w:id="1148" w:name="_Toc156137875"/>
            <w:bookmarkStart w:id="1149" w:name="_Toc160473835"/>
            <w:bookmarkStart w:id="1150" w:name="_Toc181732832"/>
            <w:bookmarkStart w:id="1151" w:name="_Toc177072845"/>
            <w:bookmarkStart w:id="1152" w:name="_Toc29695"/>
            <w:bookmarkStart w:id="1153" w:name="_Toc156144189"/>
            <w:bookmarkStart w:id="1154" w:name="_Toc159349064"/>
            <w:bookmarkStart w:id="1155" w:name="_Toc160730911"/>
            <w:bookmarkStart w:id="1156" w:name="_Toc161415589"/>
            <w:bookmarkStart w:id="1157" w:name="_Toc25403"/>
            <w:bookmarkStart w:id="1158" w:name="_Toc177482917"/>
            <w:bookmarkStart w:id="1159" w:name="_Toc181738239"/>
            <w:bookmarkStart w:id="1160" w:name="_Toc136794225"/>
            <w:r>
              <w:rPr>
                <w:color w:val="auto"/>
              </w:rPr>
              <w:t>运营期生态环境影响分析</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40801856">
            <w:pPr>
              <w:pStyle w:val="4"/>
              <w:spacing w:before="48" w:after="48"/>
              <w:rPr>
                <w:color w:val="auto"/>
              </w:rPr>
            </w:pPr>
            <w:r>
              <w:rPr>
                <w:color w:val="auto"/>
              </w:rPr>
              <w:t>对土地利用的影响</w:t>
            </w:r>
          </w:p>
          <w:p w14:paraId="0A71D067">
            <w:pPr>
              <w:ind w:firstLine="480"/>
              <w:rPr>
                <w:color w:val="auto"/>
              </w:rPr>
            </w:pPr>
            <w:r>
              <w:rPr>
                <w:rFonts w:cs="Times New Roman"/>
                <w:color w:val="auto"/>
              </w:rPr>
              <w:t>本项目工程占地总计117.06hm²。其中，永久占地0.28hm²（箱变及电缆分接箱基础0.06hm²，塔基0.22hm²</w:t>
            </w:r>
            <w:r>
              <w:rPr>
                <w:rFonts w:hint="eastAsia" w:cs="Times New Roman"/>
                <w:color w:val="auto"/>
              </w:rPr>
              <w:t>，场外道路改扩建部分0.22</w:t>
            </w:r>
            <w:r>
              <w:rPr>
                <w:rFonts w:cs="Times New Roman"/>
                <w:color w:val="auto"/>
              </w:rPr>
              <w:t>hm²）；</w:t>
            </w:r>
            <w:r>
              <w:rPr>
                <w:rFonts w:hint="eastAsia" w:cs="Times New Roman"/>
                <w:color w:val="auto"/>
              </w:rPr>
              <w:t>临时占地</w:t>
            </w:r>
            <w:r>
              <w:rPr>
                <w:rFonts w:cs="Times New Roman"/>
                <w:color w:val="auto"/>
              </w:rPr>
              <w:t>116.78hm²（</w:t>
            </w:r>
            <w:r>
              <w:rPr>
                <w:rFonts w:hint="eastAsia" w:cs="Times New Roman"/>
                <w:color w:val="auto"/>
              </w:rPr>
              <w:t>光伏场区109.01</w:t>
            </w:r>
            <w:r>
              <w:rPr>
                <w:color w:val="auto"/>
              </w:rPr>
              <w:t xml:space="preserve"> </w:t>
            </w:r>
            <w:r>
              <w:rPr>
                <w:rFonts w:cs="Times New Roman"/>
                <w:color w:val="auto"/>
              </w:rPr>
              <w:t>hm²</w:t>
            </w:r>
            <w:r>
              <w:rPr>
                <w:rFonts w:hint="eastAsia" w:cs="Times New Roman"/>
                <w:color w:val="auto"/>
              </w:rPr>
              <w:t>，支架基础及施工作业带0.5</w:t>
            </w:r>
            <w:r>
              <w:rPr>
                <w:rFonts w:cs="Times New Roman"/>
                <w:color w:val="auto"/>
              </w:rPr>
              <w:t xml:space="preserve"> hm²</w:t>
            </w:r>
            <w:r>
              <w:rPr>
                <w:rFonts w:hint="eastAsia" w:cs="Times New Roman"/>
                <w:color w:val="auto"/>
              </w:rPr>
              <w:t>，围栏基础及施工作业带0.37</w:t>
            </w:r>
            <w:r>
              <w:rPr>
                <w:rFonts w:cs="Times New Roman"/>
                <w:color w:val="auto"/>
              </w:rPr>
              <w:t xml:space="preserve"> hm²</w:t>
            </w:r>
            <w:r>
              <w:rPr>
                <w:rFonts w:hint="eastAsia" w:cs="Times New Roman"/>
                <w:color w:val="auto"/>
              </w:rPr>
              <w:t>，直埋线路0.86</w:t>
            </w:r>
            <w:r>
              <w:rPr>
                <w:rFonts w:cs="Times New Roman"/>
                <w:color w:val="auto"/>
              </w:rPr>
              <w:t xml:space="preserve"> hm²</w:t>
            </w:r>
            <w:r>
              <w:rPr>
                <w:rFonts w:hint="eastAsia" w:cs="Times New Roman"/>
                <w:color w:val="auto"/>
              </w:rPr>
              <w:t>，场外道路改扩建部分3.33</w:t>
            </w:r>
            <w:r>
              <w:rPr>
                <w:rFonts w:cs="Times New Roman"/>
                <w:color w:val="auto"/>
              </w:rPr>
              <w:t xml:space="preserve"> hm²</w:t>
            </w:r>
            <w:r>
              <w:rPr>
                <w:rFonts w:hint="eastAsia" w:cs="Times New Roman"/>
                <w:color w:val="auto"/>
              </w:rPr>
              <w:t>，场内道路改扩建部分0.62</w:t>
            </w:r>
            <w:r>
              <w:rPr>
                <w:rFonts w:cs="Times New Roman"/>
                <w:color w:val="auto"/>
              </w:rPr>
              <w:t xml:space="preserve"> hm²</w:t>
            </w:r>
            <w:r>
              <w:rPr>
                <w:rFonts w:hint="eastAsia" w:cs="Times New Roman"/>
                <w:color w:val="auto"/>
              </w:rPr>
              <w:t>，新建道路2.01</w:t>
            </w:r>
            <w:r>
              <w:rPr>
                <w:rFonts w:cs="Times New Roman"/>
                <w:color w:val="auto"/>
              </w:rPr>
              <w:t>hm²)。项目区按照占地类型划分</w:t>
            </w:r>
            <w:r>
              <w:rPr>
                <w:color w:val="auto"/>
              </w:rPr>
              <w:t>为园地、交通运输用地。</w:t>
            </w:r>
            <w:r>
              <w:rPr>
                <w:rFonts w:hint="eastAsia"/>
                <w:color w:val="auto"/>
              </w:rPr>
              <w:t>其中，园地</w:t>
            </w:r>
            <w:r>
              <w:rPr>
                <w:color w:val="auto"/>
              </w:rPr>
              <w:t>114.38</w:t>
            </w:r>
            <w:r>
              <w:rPr>
                <w:rFonts w:hint="eastAsia"/>
                <w:color w:val="auto"/>
              </w:rPr>
              <w:t>hm²，交通运输用地2.65hm²</w:t>
            </w:r>
            <w:r>
              <w:rPr>
                <w:color w:val="auto"/>
              </w:rPr>
              <w:t>。</w:t>
            </w:r>
          </w:p>
          <w:p w14:paraId="650A298E">
            <w:pPr>
              <w:ind w:firstLine="480"/>
              <w:rPr>
                <w:color w:val="auto"/>
                <w:szCs w:val="21"/>
              </w:rPr>
            </w:pPr>
            <w:r>
              <w:rPr>
                <w:rFonts w:hint="eastAsia"/>
                <w:color w:val="auto"/>
                <w:szCs w:val="21"/>
              </w:rPr>
              <w:t>根据项目总体布局，工程不占用基本农田、国家级公益林及生态保护红线，</w:t>
            </w:r>
            <w:r>
              <w:rPr>
                <w:color w:val="auto"/>
                <w:szCs w:val="21"/>
              </w:rPr>
              <w:t>本项目原始占地类型为</w:t>
            </w:r>
            <w:r>
              <w:rPr>
                <w:rFonts w:hint="eastAsia"/>
                <w:color w:val="auto"/>
                <w:szCs w:val="21"/>
              </w:rPr>
              <w:t>园地、建设用地以及交通运输用地</w:t>
            </w:r>
            <w:r>
              <w:rPr>
                <w:color w:val="auto"/>
                <w:szCs w:val="21"/>
              </w:rPr>
              <w:t>。</w:t>
            </w:r>
            <w:r>
              <w:rPr>
                <w:rFonts w:hint="eastAsia"/>
                <w:color w:val="auto"/>
                <w:szCs w:val="21"/>
              </w:rPr>
              <w:t>项目永久占地部分永久性的改变了土地性质，是无法恢复的；由于施工永久占区主要为光伏电池板支架基础、箱变、场内道路路基等，不涉及基本农田和国家级公益林，且属于点式、间隔式占地，占地范围不集中，占地面积较小，所以项目永久占地不会对项目区的土地利用格局造成显著影响。</w:t>
            </w:r>
          </w:p>
          <w:p w14:paraId="51E922E6">
            <w:pPr>
              <w:ind w:firstLine="480"/>
              <w:rPr>
                <w:color w:val="auto"/>
                <w:szCs w:val="21"/>
              </w:rPr>
            </w:pPr>
            <w:r>
              <w:rPr>
                <w:color w:val="auto"/>
                <w:szCs w:val="21"/>
              </w:rPr>
              <w:t>占地比重最大的光伏发电区采用单立柱支架形式，光伏板采用较大离地高度，最大限度的保留了原地貌功能及用途；</w:t>
            </w:r>
            <w:r>
              <w:rPr>
                <w:rFonts w:hint="eastAsia"/>
                <w:color w:val="auto"/>
                <w:szCs w:val="21"/>
              </w:rPr>
              <w:t>电缆</w:t>
            </w:r>
            <w:r>
              <w:rPr>
                <w:color w:val="auto"/>
                <w:szCs w:val="21"/>
              </w:rPr>
              <w:t>集电线路在地埋电缆</w:t>
            </w:r>
            <w:r>
              <w:rPr>
                <w:rFonts w:hint="eastAsia"/>
                <w:color w:val="auto"/>
                <w:szCs w:val="21"/>
              </w:rPr>
              <w:t>敷设</w:t>
            </w:r>
            <w:r>
              <w:rPr>
                <w:color w:val="auto"/>
                <w:szCs w:val="21"/>
              </w:rPr>
              <w:t>后也将进行原地貌恢复治理；场内道路等工程经项目建成后</w:t>
            </w:r>
            <w:r>
              <w:rPr>
                <w:rFonts w:hint="eastAsia"/>
                <w:color w:val="auto"/>
                <w:szCs w:val="21"/>
              </w:rPr>
              <w:t>进行植被恢复</w:t>
            </w:r>
            <w:r>
              <w:rPr>
                <w:color w:val="auto"/>
                <w:szCs w:val="21"/>
              </w:rPr>
              <w:t>，</w:t>
            </w:r>
            <w:r>
              <w:rPr>
                <w:rFonts w:hint="eastAsia"/>
                <w:color w:val="auto"/>
                <w:szCs w:val="21"/>
              </w:rPr>
              <w:t>项目建设不改变临时占地的土地利用类型</w:t>
            </w:r>
            <w:r>
              <w:rPr>
                <w:color w:val="auto"/>
                <w:szCs w:val="21"/>
              </w:rPr>
              <w:t>，对评价区土地利用的影响较小。</w:t>
            </w:r>
          </w:p>
          <w:p w14:paraId="77ECA41F">
            <w:pPr>
              <w:pStyle w:val="4"/>
              <w:spacing w:before="48" w:after="48"/>
              <w:rPr>
                <w:color w:val="auto"/>
              </w:rPr>
            </w:pPr>
            <w:bookmarkStart w:id="1161" w:name="_Toc14791"/>
            <w:bookmarkStart w:id="1162" w:name="_Toc158491297"/>
            <w:bookmarkStart w:id="1163" w:name="_Toc159349065"/>
            <w:bookmarkStart w:id="1164" w:name="_Toc20077"/>
            <w:bookmarkStart w:id="1165" w:name="_Toc160730912"/>
            <w:bookmarkStart w:id="1166" w:name="_Toc177482918"/>
            <w:bookmarkStart w:id="1167" w:name="_Toc156137876"/>
            <w:bookmarkStart w:id="1168" w:name="_Toc177072418"/>
            <w:bookmarkStart w:id="1169" w:name="_Toc181293555"/>
            <w:bookmarkStart w:id="1170" w:name="_Toc161415590"/>
            <w:bookmarkStart w:id="1171" w:name="_Toc177072846"/>
            <w:bookmarkStart w:id="1172" w:name="_Toc156144190"/>
            <w:bookmarkStart w:id="1173" w:name="_Toc177488230"/>
            <w:bookmarkStart w:id="1174" w:name="_Toc181732833"/>
            <w:bookmarkStart w:id="1175" w:name="_Toc181738240"/>
            <w:bookmarkStart w:id="1176" w:name="_Toc160473836"/>
            <w:bookmarkStart w:id="1177" w:name="_Toc136794226"/>
            <w:bookmarkStart w:id="1178" w:name="_Toc136794351"/>
            <w:r>
              <w:rPr>
                <w:color w:val="auto"/>
              </w:rPr>
              <w:t>对当地植物的影响</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4C613FE8">
            <w:pPr>
              <w:ind w:firstLine="480"/>
              <w:rPr>
                <w:color w:val="auto"/>
              </w:rPr>
            </w:pPr>
            <w:r>
              <w:rPr>
                <w:rFonts w:hint="eastAsia"/>
                <w:color w:val="auto"/>
              </w:rPr>
              <w:t>（1）光伏板区对植被及生态系统的影响</w:t>
            </w:r>
          </w:p>
          <w:p w14:paraId="49DD90DB">
            <w:pPr>
              <w:ind w:firstLine="480"/>
              <w:rPr>
                <w:color w:val="auto"/>
              </w:rPr>
            </w:pPr>
            <w:r>
              <w:rPr>
                <w:color w:val="auto"/>
              </w:rPr>
              <w:t>项目运行期</w:t>
            </w:r>
            <w:r>
              <w:rPr>
                <w:rFonts w:hint="eastAsia"/>
                <w:color w:val="auto"/>
              </w:rPr>
              <w:t>光伏板区</w:t>
            </w:r>
            <w:r>
              <w:rPr>
                <w:color w:val="auto"/>
              </w:rPr>
              <w:t>对植被</w:t>
            </w:r>
            <w:r>
              <w:rPr>
                <w:rFonts w:hint="eastAsia"/>
                <w:color w:val="auto"/>
              </w:rPr>
              <w:t>及生态系统</w:t>
            </w:r>
            <w:r>
              <w:rPr>
                <w:color w:val="auto"/>
              </w:rPr>
              <w:t>的影响主要体现在电池面板架设后，在地面产生的阴影对地面植被生长的影响。主要表现在：</w:t>
            </w:r>
          </w:p>
          <w:p w14:paraId="540AF8C6">
            <w:pPr>
              <w:ind w:firstLine="480"/>
              <w:rPr>
                <w:color w:val="auto"/>
              </w:rPr>
            </w:pPr>
            <w:r>
              <w:rPr>
                <w:rFonts w:hint="eastAsia" w:ascii="Cambria Math" w:hAnsi="Cambria Math" w:cs="Cambria Math"/>
                <w:color w:val="auto"/>
              </w:rPr>
              <w:t>①</w:t>
            </w:r>
            <w:r>
              <w:rPr>
                <w:color w:val="auto"/>
              </w:rPr>
              <w:t>对植物光合作用的影响：植物的生存和生长离不开光合作用，对阳生植物而言，这种影响表现得更为突出，会使植物的生长处在一个不良的环境条件之中；</w:t>
            </w:r>
          </w:p>
          <w:p w14:paraId="43F6AE41">
            <w:pPr>
              <w:ind w:firstLine="480"/>
              <w:rPr>
                <w:color w:val="auto"/>
              </w:rPr>
            </w:pPr>
            <w:r>
              <w:rPr>
                <w:rFonts w:hint="eastAsia" w:ascii="Cambria Math" w:hAnsi="Cambria Math" w:cs="Cambria Math"/>
                <w:color w:val="auto"/>
              </w:rPr>
              <w:t>②</w:t>
            </w:r>
            <w:r>
              <w:rPr>
                <w:color w:val="auto"/>
              </w:rPr>
              <w:t>对植物水分利用效率的影响：由于缺乏必要的光照，植物的生长异常缓慢甚至停滞，这样一来，大大减少了植物对水的利用效率；</w:t>
            </w:r>
          </w:p>
          <w:p w14:paraId="6987C3C9">
            <w:pPr>
              <w:ind w:firstLine="480"/>
              <w:rPr>
                <w:color w:val="auto"/>
              </w:rPr>
            </w:pPr>
            <w:r>
              <w:rPr>
                <w:rFonts w:hint="eastAsia" w:ascii="Cambria Math" w:hAnsi="Cambria Math" w:cs="Cambria Math"/>
                <w:color w:val="auto"/>
              </w:rPr>
              <w:t>③</w:t>
            </w:r>
            <w:r>
              <w:rPr>
                <w:color w:val="auto"/>
              </w:rPr>
              <w:t>由于受遮盖后小环境的影响：阳生植物的生境质量大大降低，但同时又为阴生植物提供了大量适宜的生境。但项目占地范围内主要为</w:t>
            </w:r>
            <w:r>
              <w:rPr>
                <w:rFonts w:hint="eastAsia"/>
                <w:color w:val="auto"/>
              </w:rPr>
              <w:t>园地（茶园、果园）</w:t>
            </w:r>
            <w:r>
              <w:rPr>
                <w:color w:val="auto"/>
              </w:rPr>
              <w:t>，植物种类较少、生物量较小。</w:t>
            </w:r>
          </w:p>
          <w:p w14:paraId="186EDD80">
            <w:pPr>
              <w:ind w:firstLine="480"/>
              <w:rPr>
                <w:color w:val="auto"/>
              </w:rPr>
            </w:pPr>
            <w:r>
              <w:rPr>
                <w:rFonts w:hint="eastAsia"/>
                <w:color w:val="auto"/>
                <w:szCs w:val="21"/>
              </w:rPr>
              <w:t>项目运行期间，集电线路架空部分需对导线下方与树木垂直距离小于4.0m树木的树冠进行定期修剪，以保证输电线路导线与林区树木之间一定的垂直距离，满足输电线路正常运行的需要。</w:t>
            </w:r>
          </w:p>
          <w:p w14:paraId="7034250E">
            <w:pPr>
              <w:ind w:firstLine="480"/>
              <w:rPr>
                <w:b/>
                <w:bCs/>
                <w:color w:val="auto"/>
                <w:szCs w:val="21"/>
              </w:rPr>
            </w:pPr>
            <w:r>
              <w:rPr>
                <w:rFonts w:cs="Times New Roman"/>
                <w:color w:val="auto"/>
              </w:rPr>
              <w:t>（2）</w:t>
            </w:r>
            <w:r>
              <w:rPr>
                <w:rFonts w:hint="eastAsia"/>
                <w:b/>
                <w:bCs/>
                <w:color w:val="auto"/>
                <w:szCs w:val="21"/>
              </w:rPr>
              <w:t>对项目区茶园的影响</w:t>
            </w:r>
          </w:p>
          <w:p w14:paraId="68E1010B">
            <w:pPr>
              <w:ind w:firstLine="480"/>
              <w:rPr>
                <w:color w:val="auto"/>
                <w:szCs w:val="21"/>
              </w:rPr>
            </w:pPr>
            <w:r>
              <w:rPr>
                <w:rFonts w:cs="Times New Roman"/>
                <w:color w:val="auto"/>
                <w:szCs w:val="21"/>
              </w:rPr>
              <w:t>项目占地为</w:t>
            </w:r>
            <w:r>
              <w:rPr>
                <w:rFonts w:hint="eastAsia" w:cs="Times New Roman"/>
                <w:color w:val="auto"/>
                <w:szCs w:val="21"/>
              </w:rPr>
              <w:t>园地、交通运输用地和建设用地</w:t>
            </w:r>
            <w:r>
              <w:rPr>
                <w:rFonts w:cs="Times New Roman"/>
                <w:color w:val="auto"/>
                <w:szCs w:val="21"/>
              </w:rPr>
              <w:t>，园地大多为茶园。</w:t>
            </w:r>
          </w:p>
          <w:p w14:paraId="1AF1E5D4">
            <w:pPr>
              <w:ind w:firstLine="480"/>
              <w:rPr>
                <w:color w:val="auto"/>
                <w:szCs w:val="21"/>
              </w:rPr>
            </w:pPr>
            <w:r>
              <w:rPr>
                <w:rFonts w:hint="eastAsia"/>
                <w:color w:val="auto"/>
                <w:szCs w:val="21"/>
              </w:rPr>
              <w:t>且已建成项目西双版纳州勐海县光伏农业发电项目，于2015年并网发电，运营10年了茶树仍然正常生长，没有大规模死亡情况，详见下图。而且西双版纳州勐海县光伏农业发电项目模式，光伏板离地距离小，板间距未拉开，普洱市现在做的光伏项目都是为了保护茶树，拉开了间距的，实现的光伏板下的透光率更好，更加有利于茶园的生长发展。</w:t>
            </w:r>
          </w:p>
          <w:p w14:paraId="4D0ABFE5">
            <w:pPr>
              <w:pStyle w:val="65"/>
              <w:rPr>
                <w:color w:val="auto"/>
                <w:szCs w:val="21"/>
              </w:rPr>
            </w:pPr>
            <w:r>
              <w:rPr>
                <w:color w:val="auto"/>
              </w:rPr>
              <w:drawing>
                <wp:inline distT="0" distB="0" distL="0" distR="0">
                  <wp:extent cx="4677410" cy="3479800"/>
                  <wp:effectExtent l="0" t="0" r="8890" b="6350"/>
                  <wp:docPr id="1089159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59448" name="图片 1"/>
                          <pic:cNvPicPr>
                            <a:picLocks noChangeAspect="1"/>
                          </pic:cNvPicPr>
                        </pic:nvPicPr>
                        <pic:blipFill>
                          <a:blip r:embed="rId55"/>
                          <a:stretch>
                            <a:fillRect/>
                          </a:stretch>
                        </pic:blipFill>
                        <pic:spPr>
                          <a:xfrm>
                            <a:off x="0" y="0"/>
                            <a:ext cx="4677410" cy="3488598"/>
                          </a:xfrm>
                          <a:prstGeom prst="rect">
                            <a:avLst/>
                          </a:prstGeom>
                        </pic:spPr>
                      </pic:pic>
                    </a:graphicData>
                  </a:graphic>
                </wp:inline>
              </w:drawing>
            </w:r>
          </w:p>
          <w:p w14:paraId="307091C7">
            <w:pPr>
              <w:ind w:firstLine="482"/>
              <w:jc w:val="center"/>
              <w:rPr>
                <w:b/>
                <w:bCs/>
                <w:color w:val="auto"/>
                <w:szCs w:val="21"/>
              </w:rPr>
            </w:pPr>
          </w:p>
          <w:p w14:paraId="6995541C">
            <w:pPr>
              <w:pStyle w:val="65"/>
              <w:rPr>
                <w:b/>
                <w:bCs/>
                <w:color w:val="auto"/>
                <w:szCs w:val="21"/>
              </w:rPr>
            </w:pPr>
            <w:r>
              <w:rPr>
                <w:color w:val="auto"/>
              </w:rPr>
              <w:drawing>
                <wp:inline distT="0" distB="0" distL="0" distR="0">
                  <wp:extent cx="4653280" cy="3427730"/>
                  <wp:effectExtent l="0" t="0" r="13970" b="1270"/>
                  <wp:docPr id="809365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65573" name="图片 1"/>
                          <pic:cNvPicPr>
                            <a:picLocks noChangeAspect="1"/>
                          </pic:cNvPicPr>
                        </pic:nvPicPr>
                        <pic:blipFill>
                          <a:blip r:embed="rId56"/>
                          <a:srcRect l="823" t="2635"/>
                          <a:stretch>
                            <a:fillRect/>
                          </a:stretch>
                        </pic:blipFill>
                        <pic:spPr>
                          <a:xfrm>
                            <a:off x="0" y="0"/>
                            <a:ext cx="4653280" cy="3437743"/>
                          </a:xfrm>
                          <a:prstGeom prst="rect">
                            <a:avLst/>
                          </a:prstGeom>
                          <a:ln>
                            <a:noFill/>
                          </a:ln>
                        </pic:spPr>
                      </pic:pic>
                    </a:graphicData>
                  </a:graphic>
                </wp:inline>
              </w:drawing>
            </w:r>
          </w:p>
          <w:p w14:paraId="20C8A7B1">
            <w:pPr>
              <w:pStyle w:val="63"/>
              <w:rPr>
                <w:bCs/>
                <w:color w:val="auto"/>
                <w:szCs w:val="21"/>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rStyle w:val="64"/>
                <w:b w:val="0"/>
                <w:color w:val="auto"/>
              </w:rPr>
              <w:t xml:space="preserve">  </w:t>
            </w:r>
            <w:r>
              <w:rPr>
                <w:rFonts w:hint="eastAsia"/>
                <w:bCs/>
                <w:color w:val="auto"/>
                <w:szCs w:val="21"/>
              </w:rPr>
              <w:t>西双版纳州勐海县光伏农业发电项目现状图片</w:t>
            </w:r>
          </w:p>
          <w:p w14:paraId="4CD5EBE5">
            <w:pPr>
              <w:ind w:firstLine="480"/>
              <w:rPr>
                <w:color w:val="auto"/>
                <w:szCs w:val="21"/>
              </w:rPr>
            </w:pPr>
            <w:r>
              <w:rPr>
                <w:rFonts w:hint="eastAsia"/>
                <w:color w:val="auto"/>
                <w:szCs w:val="21"/>
              </w:rPr>
              <w:t>普洱市思茅区南屏西光伏发电项目位于云南省普洱市思茅区南屏镇，总装机容量60兆瓦，直流测77.4兆瓦。项目采用采用“茶光互补”开发建设模式，上部空间发电，下部空间种茶，不仅能够对土地资源综合开发，有效节约土地，提高土地利用率和产出率，而且光伏板可以增加散射光，减少直射光，迎合了茶树喜阴、喜湿和喜漫射光的特性，真正做到了上面发电、下面种茶，一地两用、阳光共享的农光互补模式。</w:t>
            </w:r>
          </w:p>
          <w:p w14:paraId="45C78BAE">
            <w:pPr>
              <w:pStyle w:val="65"/>
              <w:rPr>
                <w:color w:val="auto"/>
                <w:szCs w:val="21"/>
              </w:rPr>
            </w:pPr>
            <w:r>
              <w:rPr>
                <w:color w:val="auto"/>
              </w:rPr>
              <w:drawing>
                <wp:inline distT="0" distB="0" distL="0" distR="0">
                  <wp:extent cx="4669790" cy="2618740"/>
                  <wp:effectExtent l="0" t="0" r="16510" b="10160"/>
                  <wp:docPr id="721937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37118" name="图片 1"/>
                          <pic:cNvPicPr>
                            <a:picLocks noChangeAspect="1"/>
                          </pic:cNvPicPr>
                        </pic:nvPicPr>
                        <pic:blipFill>
                          <a:blip r:embed="rId57"/>
                          <a:stretch>
                            <a:fillRect/>
                          </a:stretch>
                        </pic:blipFill>
                        <pic:spPr>
                          <a:xfrm>
                            <a:off x="0" y="0"/>
                            <a:ext cx="4669790" cy="2630551"/>
                          </a:xfrm>
                          <a:prstGeom prst="rect">
                            <a:avLst/>
                          </a:prstGeom>
                        </pic:spPr>
                      </pic:pic>
                    </a:graphicData>
                  </a:graphic>
                </wp:inline>
              </w:drawing>
            </w:r>
          </w:p>
          <w:p w14:paraId="134663BC">
            <w:pPr>
              <w:ind w:firstLine="480"/>
              <w:rPr>
                <w:color w:val="auto"/>
                <w:szCs w:val="21"/>
              </w:rPr>
            </w:pPr>
          </w:p>
          <w:p w14:paraId="0E6CEEC1">
            <w:pPr>
              <w:pStyle w:val="65"/>
              <w:rPr>
                <w:color w:val="auto"/>
                <w:szCs w:val="21"/>
              </w:rPr>
            </w:pPr>
            <w:r>
              <w:rPr>
                <w:color w:val="auto"/>
              </w:rPr>
              <w:drawing>
                <wp:inline distT="0" distB="0" distL="0" distR="0">
                  <wp:extent cx="4707890" cy="2877185"/>
                  <wp:effectExtent l="0" t="0" r="16510" b="18415"/>
                  <wp:docPr id="1414065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65024" name="图片 1"/>
                          <pic:cNvPicPr>
                            <a:picLocks noChangeAspect="1"/>
                          </pic:cNvPicPr>
                        </pic:nvPicPr>
                        <pic:blipFill>
                          <a:blip r:embed="rId58"/>
                          <a:stretch>
                            <a:fillRect/>
                          </a:stretch>
                        </pic:blipFill>
                        <pic:spPr>
                          <a:xfrm>
                            <a:off x="0" y="0"/>
                            <a:ext cx="4707890" cy="2901110"/>
                          </a:xfrm>
                          <a:prstGeom prst="rect">
                            <a:avLst/>
                          </a:prstGeom>
                        </pic:spPr>
                      </pic:pic>
                    </a:graphicData>
                  </a:graphic>
                </wp:inline>
              </w:drawing>
            </w:r>
          </w:p>
          <w:p w14:paraId="04101239">
            <w:pPr>
              <w:pStyle w:val="63"/>
              <w:rPr>
                <w:bCs/>
                <w:color w:val="auto"/>
                <w:szCs w:val="21"/>
              </w:rPr>
            </w:pPr>
            <w:r>
              <w:rPr>
                <w:rFonts w:hint="eastAsia"/>
                <w:color w:val="auto"/>
              </w:rPr>
              <w:t xml:space="preserve">图 </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4.7</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2</w:t>
            </w:r>
            <w:r>
              <w:rPr>
                <w:color w:val="auto"/>
              </w:rPr>
              <w:fldChar w:fldCharType="end"/>
            </w:r>
            <w:r>
              <w:rPr>
                <w:rStyle w:val="64"/>
                <w:b w:val="0"/>
                <w:color w:val="auto"/>
              </w:rPr>
              <w:t xml:space="preserve">  </w:t>
            </w:r>
            <w:r>
              <w:rPr>
                <w:rStyle w:val="64"/>
                <w:rFonts w:hint="eastAsia"/>
                <w:b/>
                <w:bCs/>
                <w:color w:val="auto"/>
              </w:rPr>
              <w:t>普洱</w:t>
            </w:r>
            <w:r>
              <w:rPr>
                <w:rFonts w:hint="eastAsia"/>
                <w:bCs/>
                <w:color w:val="auto"/>
                <w:szCs w:val="21"/>
              </w:rPr>
              <w:t>市思茅区南屏西光伏发电项目现状图片</w:t>
            </w:r>
          </w:p>
          <w:p w14:paraId="7797B958">
            <w:pPr>
              <w:ind w:firstLine="480"/>
              <w:rPr>
                <w:color w:val="auto"/>
                <w:szCs w:val="21"/>
              </w:rPr>
            </w:pPr>
            <w:r>
              <w:rPr>
                <w:rFonts w:hint="eastAsia"/>
                <w:color w:val="auto"/>
                <w:szCs w:val="21"/>
              </w:rPr>
              <w:t>根据茶树的生长特性和已建成运营同类型、相似地理区位的项目的实地茶树生长状况照片可以看出，光伏板的铺设不会造成茶树的大面积死亡，项目建设在生态效益上不会产生明显影响。</w:t>
            </w:r>
          </w:p>
          <w:p w14:paraId="12AE5E5B">
            <w:pPr>
              <w:ind w:firstLine="480"/>
              <w:rPr>
                <w:color w:val="auto"/>
                <w:szCs w:val="21"/>
              </w:rPr>
            </w:pPr>
            <w:r>
              <w:rPr>
                <w:rFonts w:hint="eastAsia"/>
                <w:color w:val="auto"/>
                <w:szCs w:val="21"/>
              </w:rPr>
              <w:t>拟建工程仅桩基建设会涉及永久占地，面积有限，因而所能影响的植被和植物有限；本项目光伏光伏组件最低沿离地高度2.5m、桩基间列间距大于4m、行间距应大于6.5m架设，以便于临时工程占地在施工结束后进行植被恢复，对于植物物种的选取，应以乡土树种为主，在采取生态和工程保护措施后，对环境的影响较小。</w:t>
            </w:r>
          </w:p>
          <w:p w14:paraId="48C5B1CA">
            <w:pPr>
              <w:pStyle w:val="4"/>
              <w:spacing w:before="48" w:after="48"/>
              <w:rPr>
                <w:color w:val="auto"/>
              </w:rPr>
            </w:pPr>
            <w:r>
              <w:rPr>
                <w:color w:val="auto"/>
              </w:rPr>
              <w:t>运营期生态</w:t>
            </w:r>
            <w:r>
              <w:rPr>
                <w:rFonts w:hint="eastAsia"/>
                <w:color w:val="auto"/>
              </w:rPr>
              <w:t>保护红线</w:t>
            </w:r>
            <w:r>
              <w:rPr>
                <w:color w:val="auto"/>
              </w:rPr>
              <w:t>影响</w:t>
            </w:r>
          </w:p>
          <w:p w14:paraId="634269E6">
            <w:pPr>
              <w:ind w:firstLine="480"/>
              <w:rPr>
                <w:rFonts w:cs="Times New Roman"/>
                <w:color w:val="auto"/>
                <w:szCs w:val="21"/>
              </w:rPr>
            </w:pPr>
            <w:r>
              <w:rPr>
                <w:rFonts w:cs="Times New Roman"/>
                <w:color w:val="auto"/>
                <w:szCs w:val="21"/>
              </w:rPr>
              <w:t>本项目线路运行期不进行林木砍伐，仅按相关规定对导线下方与树木垂直距离小于</w:t>
            </w:r>
            <w:r>
              <w:rPr>
                <w:rFonts w:hint="eastAsia" w:cs="Times New Roman"/>
                <w:color w:val="auto"/>
                <w:szCs w:val="21"/>
              </w:rPr>
              <w:t>3</w:t>
            </w:r>
            <w:r>
              <w:rPr>
                <w:rFonts w:cs="Times New Roman"/>
                <w:color w:val="auto"/>
                <w:szCs w:val="21"/>
              </w:rPr>
              <w:t>.</w:t>
            </w:r>
            <w:r>
              <w:rPr>
                <w:rFonts w:hint="eastAsia" w:cs="Times New Roman"/>
                <w:color w:val="auto"/>
                <w:szCs w:val="21"/>
              </w:rPr>
              <w:t>0</w:t>
            </w:r>
            <w:r>
              <w:rPr>
                <w:rFonts w:cs="Times New Roman"/>
                <w:color w:val="auto"/>
                <w:szCs w:val="21"/>
              </w:rPr>
              <w:t>m的零星林木进行削枝，以保证线路安全运行，但总体削枝量小，不会对植物种类和数量产生明显影响。本项目运行期对植被的影响主要是线路维护人员踩踏植被和线路电磁环境影响。线路维护人员可能在运行维护过程中对植被造成一定踩踏和引入外来植物。通常线路维护检查1个月左右进行1次，运行及维护人员的数量和负重有限，对植被的破坏强度小，不会带来明显的持续不利影响。通过禁止维护人员引入外来物种，可避免人为引入外来物种对本土植物造成威胁。从区域类似环境状况来看，线路周围植物生长良好，</w:t>
            </w:r>
            <w:r>
              <w:rPr>
                <w:rFonts w:hint="eastAsia" w:cs="Times New Roman"/>
                <w:color w:val="auto"/>
                <w:szCs w:val="21"/>
              </w:rPr>
              <w:t>集电</w:t>
            </w:r>
            <w:r>
              <w:rPr>
                <w:rFonts w:cs="Times New Roman"/>
                <w:color w:val="auto"/>
                <w:szCs w:val="21"/>
              </w:rPr>
              <w:t>线路电磁影响对周围植物生长无明显影响</w:t>
            </w:r>
            <w:r>
              <w:rPr>
                <w:rFonts w:hint="eastAsia" w:cs="Times New Roman"/>
                <w:color w:val="auto"/>
                <w:szCs w:val="21"/>
              </w:rPr>
              <w:t>，因此本项目运营不会对生态保护红线的功能造成不利影响</w:t>
            </w:r>
            <w:r>
              <w:rPr>
                <w:rFonts w:cs="Times New Roman"/>
                <w:color w:val="auto"/>
                <w:szCs w:val="21"/>
              </w:rPr>
              <w:t>。</w:t>
            </w:r>
          </w:p>
          <w:p w14:paraId="05E57C64">
            <w:pPr>
              <w:pStyle w:val="4"/>
              <w:spacing w:before="48" w:after="48"/>
              <w:rPr>
                <w:color w:val="auto"/>
              </w:rPr>
            </w:pPr>
            <w:r>
              <w:rPr>
                <w:rFonts w:hint="eastAsia"/>
                <w:color w:val="auto"/>
              </w:rPr>
              <w:t>对永久基本农田的影响</w:t>
            </w:r>
          </w:p>
          <w:p w14:paraId="4FE1C804">
            <w:pPr>
              <w:ind w:firstLine="480"/>
              <w:rPr>
                <w:color w:val="auto"/>
                <w:szCs w:val="21"/>
              </w:rPr>
            </w:pPr>
            <w:r>
              <w:rPr>
                <w:color w:val="auto"/>
                <w:szCs w:val="21"/>
              </w:rPr>
              <w:t>本光伏项目选址</w:t>
            </w:r>
            <w:r>
              <w:rPr>
                <w:rFonts w:hint="eastAsia"/>
                <w:color w:val="auto"/>
                <w:szCs w:val="21"/>
              </w:rPr>
              <w:t>不涉及占用</w:t>
            </w:r>
            <w:r>
              <w:rPr>
                <w:color w:val="auto"/>
                <w:szCs w:val="21"/>
              </w:rPr>
              <w:t>永久基本农田，</w:t>
            </w:r>
            <w:r>
              <w:rPr>
                <w:rFonts w:hint="eastAsia"/>
                <w:color w:val="auto"/>
                <w:szCs w:val="21"/>
              </w:rPr>
              <w:t>本项目运营期其无生产性废气、废水产生，主要对永久基本农田可能产生的影响为职工生活垃圾的随意丢弃、废机油收集不善引起的漫流及生活污水未经处理的排放行为等。运营期光伏组件清洗废水通过光伏组件落入场地土壤中，用于光伏场区植被绿化，不外排。产生的生活垃圾和废机油有专门处置设施，收集后委托有资质的单位进行处置，对永久基本农田产生的影响较小。</w:t>
            </w:r>
          </w:p>
          <w:p w14:paraId="39C31302">
            <w:pPr>
              <w:pStyle w:val="4"/>
              <w:spacing w:before="48" w:after="48"/>
              <w:rPr>
                <w:color w:val="auto"/>
              </w:rPr>
            </w:pPr>
            <w:bookmarkStart w:id="1179" w:name="_Toc159349066"/>
            <w:bookmarkStart w:id="1180" w:name="_Toc160473837"/>
            <w:bookmarkStart w:id="1181" w:name="_Toc160730913"/>
            <w:bookmarkStart w:id="1182" w:name="_Toc161415591"/>
            <w:bookmarkStart w:id="1183" w:name="_Toc177072419"/>
            <w:bookmarkStart w:id="1184" w:name="_Toc7988"/>
            <w:bookmarkStart w:id="1185" w:name="_Toc136794352"/>
            <w:bookmarkStart w:id="1186" w:name="_Toc30919"/>
            <w:bookmarkStart w:id="1187" w:name="_Toc156137877"/>
            <w:bookmarkStart w:id="1188" w:name="_Toc136794227"/>
            <w:bookmarkStart w:id="1189" w:name="_Toc156144191"/>
            <w:bookmarkStart w:id="1190" w:name="_Toc158491298"/>
            <w:bookmarkStart w:id="1191" w:name="_Toc181293556"/>
            <w:bookmarkStart w:id="1192" w:name="_Toc177482919"/>
            <w:bookmarkStart w:id="1193" w:name="_Toc177488231"/>
            <w:bookmarkStart w:id="1194" w:name="_Toc181732834"/>
            <w:bookmarkStart w:id="1195" w:name="_Toc177072847"/>
            <w:bookmarkStart w:id="1196" w:name="_Toc181738241"/>
            <w:r>
              <w:rPr>
                <w:color w:val="auto"/>
              </w:rPr>
              <w:t>对当地动物的影响</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0BBD0D0B">
            <w:pPr>
              <w:adjustRightInd w:val="0"/>
              <w:ind w:firstLine="480"/>
              <w:rPr>
                <w:color w:val="auto"/>
              </w:rPr>
            </w:pPr>
            <w:r>
              <w:rPr>
                <w:rFonts w:hint="eastAsia"/>
                <w:color w:val="auto"/>
              </w:rPr>
              <w:t>（1）</w:t>
            </w:r>
            <w:r>
              <w:rPr>
                <w:color w:val="auto"/>
              </w:rPr>
              <w:t>对</w:t>
            </w:r>
            <w:r>
              <w:rPr>
                <w:rFonts w:hint="eastAsia"/>
                <w:color w:val="auto"/>
              </w:rPr>
              <w:t>鸟类</w:t>
            </w:r>
            <w:r>
              <w:rPr>
                <w:color w:val="auto"/>
              </w:rPr>
              <w:t>的影响</w:t>
            </w:r>
          </w:p>
          <w:p w14:paraId="6EAA2640">
            <w:pPr>
              <w:adjustRightInd w:val="0"/>
              <w:ind w:firstLine="480"/>
              <w:rPr>
                <w:color w:val="auto"/>
              </w:rPr>
            </w:pPr>
            <w:r>
              <w:rPr>
                <w:rFonts w:hint="eastAsia"/>
                <w:color w:val="auto"/>
              </w:rPr>
              <w:t>太阳能电池板在晴天运行后，会产生高温，如果鸟类接触会使鸟类受到伤害或者致其死亡。成片的太阳能电池板会让迁徙的候鸟以为是湖面，从而俯冲降落对其产生伤害。另一方面，输电线路的鸟体短接也会伤害鸟类。鸟体短接是指鸟类穿越输电线路时，展翅的鸟体使得架空输电线路不同相的导线之间、导线对地之间或者是杆塔的塔窗的空气间隙距离突然减少，引起电场畸变，导致空气被击穿引起架空输电线路跳闸，此时鸟类一般会被击伤或击毙。评价区不在云南鸟类迁徙通道上，离云南候鸟迁徙的路线距离较远，对候鸟的影响较小。</w:t>
            </w:r>
          </w:p>
          <w:p w14:paraId="108A5B7D">
            <w:pPr>
              <w:ind w:firstLine="480"/>
              <w:rPr>
                <w:color w:val="auto"/>
              </w:rPr>
            </w:pPr>
            <w:r>
              <w:rPr>
                <w:rFonts w:hint="eastAsia"/>
                <w:color w:val="auto"/>
              </w:rPr>
              <w:t>（2）对其他动物的影响</w:t>
            </w:r>
          </w:p>
          <w:p w14:paraId="26E4962A">
            <w:pPr>
              <w:ind w:firstLine="480"/>
              <w:rPr>
                <w:color w:val="auto"/>
                <w:szCs w:val="21"/>
              </w:rPr>
            </w:pPr>
            <w:r>
              <w:rPr>
                <w:color w:val="auto"/>
                <w:szCs w:val="21"/>
              </w:rPr>
              <w:t>为避免影响周边动物夜间正常活动，项目运营期间现场维护和检修等工作均在昼间进行。项目运行噪声可能会对声环境敏感的动物迁移至远离光伏电站处，但光伏电站运行噪声影响范围主要为站界外几百米范围内的区域，影响范围较小。项目光伏板区域设置围栏，光伏列阵的支架占用将减少地面动物的活动区域，但围栏遮挡以及支架使用的面积较小，对动物的影响范围小。且本项目声源少，噪声值较低，噪声源产生的噪声经光伏组件隔声和距离衰减后，对地面上动物的日常迁徙及鸟类正常活动影响较小。</w:t>
            </w:r>
          </w:p>
          <w:p w14:paraId="2A61953D">
            <w:pPr>
              <w:pStyle w:val="4"/>
              <w:spacing w:before="48" w:after="48"/>
              <w:rPr>
                <w:color w:val="auto"/>
              </w:rPr>
            </w:pPr>
            <w:bookmarkStart w:id="1197" w:name="_Toc159349067"/>
            <w:bookmarkStart w:id="1198" w:name="_Toc156137878"/>
            <w:bookmarkStart w:id="1199" w:name="_Toc177482920"/>
            <w:bookmarkStart w:id="1200" w:name="_Toc161415592"/>
            <w:bookmarkStart w:id="1201" w:name="_Toc181738242"/>
            <w:bookmarkStart w:id="1202" w:name="_Toc158491299"/>
            <w:bookmarkStart w:id="1203" w:name="_Toc32304"/>
            <w:bookmarkStart w:id="1204" w:name="_Toc136794353"/>
            <w:bookmarkStart w:id="1205" w:name="_Toc9723"/>
            <w:bookmarkStart w:id="1206" w:name="_Toc177072848"/>
            <w:bookmarkStart w:id="1207" w:name="_Toc160473838"/>
            <w:bookmarkStart w:id="1208" w:name="_Toc177072420"/>
            <w:bookmarkStart w:id="1209" w:name="_Toc160730914"/>
            <w:bookmarkStart w:id="1210" w:name="_Toc177488232"/>
            <w:bookmarkStart w:id="1211" w:name="_Toc136794228"/>
            <w:bookmarkStart w:id="1212" w:name="_Toc181293557"/>
            <w:bookmarkStart w:id="1213" w:name="_Toc156144192"/>
            <w:bookmarkStart w:id="1214" w:name="_Toc181732835"/>
            <w:r>
              <w:rPr>
                <w:color w:val="auto"/>
              </w:rPr>
              <w:t>运营期对当地生态系统的影响</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7CA6FFAD">
            <w:pPr>
              <w:ind w:firstLine="480"/>
              <w:rPr>
                <w:color w:val="auto"/>
                <w:szCs w:val="21"/>
              </w:rPr>
            </w:pPr>
            <w:r>
              <w:rPr>
                <w:color w:val="auto"/>
                <w:szCs w:val="21"/>
              </w:rPr>
              <w:t>根据现场踏勘，项目所在地主要为</w:t>
            </w:r>
            <w:r>
              <w:rPr>
                <w:rFonts w:hint="eastAsia"/>
                <w:color w:val="auto"/>
                <w:szCs w:val="21"/>
              </w:rPr>
              <w:t>林地景观（暖温性针叶林、暖温性石灰岩灌丛、暖温性稀树灌木草丛、人工林/园地景观、农田景观、河流水域景观、建设用地景观）</w:t>
            </w:r>
            <w:r>
              <w:rPr>
                <w:color w:val="auto"/>
                <w:szCs w:val="21"/>
              </w:rPr>
              <w:t>，生物多样性较差。项目运营期在光伏电站征占地范围可以逐步恢复当地耕地生态系统，不改变项目土地利用性质，保持生态系统的稳定性；其次，运营期在空地及道路两侧进行植被恢复，植被绿化将吸引跟多小型动物增加当地物种多样性，使得食物链更加复杂，逐步恢复生态系统的完整性，随之生态系统将更加稳定。环评要求，在进行植被恢复时不得引入外来物种，在采取植被恢复措施后，项目的建设对当地生态系统具有显著的环境正效益。</w:t>
            </w:r>
          </w:p>
          <w:p w14:paraId="2DAB8ABB">
            <w:pPr>
              <w:pStyle w:val="4"/>
              <w:spacing w:before="48" w:after="48"/>
              <w:rPr>
                <w:color w:val="auto"/>
              </w:rPr>
            </w:pPr>
            <w:bookmarkStart w:id="1215" w:name="_Toc136794229"/>
            <w:bookmarkStart w:id="1216" w:name="_Toc136794354"/>
            <w:bookmarkStart w:id="1217" w:name="_Toc156144193"/>
            <w:bookmarkStart w:id="1218" w:name="_Toc158491300"/>
            <w:bookmarkStart w:id="1219" w:name="_Toc159349068"/>
            <w:bookmarkStart w:id="1220" w:name="_Toc160473839"/>
            <w:bookmarkStart w:id="1221" w:name="_Toc160730915"/>
            <w:bookmarkStart w:id="1222" w:name="_Toc156137879"/>
            <w:bookmarkStart w:id="1223" w:name="_Toc19976"/>
            <w:bookmarkStart w:id="1224" w:name="_Toc5162"/>
            <w:bookmarkStart w:id="1225" w:name="_Toc181732836"/>
            <w:bookmarkStart w:id="1226" w:name="_Toc177488233"/>
            <w:bookmarkStart w:id="1227" w:name="_Toc177482921"/>
            <w:bookmarkStart w:id="1228" w:name="_Toc181738243"/>
            <w:bookmarkStart w:id="1229" w:name="_Toc177072421"/>
            <w:bookmarkStart w:id="1230" w:name="_Toc161415593"/>
            <w:bookmarkStart w:id="1231" w:name="_Toc181293558"/>
            <w:bookmarkStart w:id="1232" w:name="_Toc177072849"/>
            <w:r>
              <w:rPr>
                <w:color w:val="auto"/>
              </w:rPr>
              <w:t>水土流失影响</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28F5FD94">
            <w:pPr>
              <w:ind w:firstLine="480"/>
              <w:rPr>
                <w:color w:val="auto"/>
                <w:szCs w:val="21"/>
              </w:rPr>
            </w:pPr>
            <w:r>
              <w:rPr>
                <w:color w:val="auto"/>
                <w:szCs w:val="21"/>
              </w:rPr>
              <w:t>项目投入运行后，其水土流失防护工程也完成并逐渐发挥作用，可有效控制项目建设引起的水土流失。在水土保持工程和植物措施有效发挥作用后，项目区内的水土流失可得到完全控制，项目建设区的水土流失可达到轻度以下水平，工程建设造成的水土流失可得到基本治理，并使工程占地区域内水土流失状况得到明显改善。因此，项目运营期对水土流失的影响较小。</w:t>
            </w:r>
          </w:p>
          <w:p w14:paraId="000DE1D9">
            <w:pPr>
              <w:pStyle w:val="3"/>
              <w:spacing w:before="72" w:after="72"/>
              <w:rPr>
                <w:color w:val="auto"/>
              </w:rPr>
            </w:pPr>
            <w:bookmarkStart w:id="1233" w:name="_Toc156137880"/>
            <w:bookmarkStart w:id="1234" w:name="_Toc136794230"/>
            <w:bookmarkStart w:id="1235" w:name="_Toc158491301"/>
            <w:bookmarkStart w:id="1236" w:name="_Toc160730916"/>
            <w:bookmarkStart w:id="1237" w:name="_Toc159349069"/>
            <w:bookmarkStart w:id="1238" w:name="_Toc156144194"/>
            <w:bookmarkStart w:id="1239" w:name="_Toc161415594"/>
            <w:bookmarkStart w:id="1240" w:name="_Toc27031"/>
            <w:bookmarkStart w:id="1241" w:name="_Toc177072850"/>
            <w:bookmarkStart w:id="1242" w:name="_Toc160473840"/>
            <w:bookmarkStart w:id="1243" w:name="_Toc177482922"/>
            <w:bookmarkStart w:id="1244" w:name="_Toc181732837"/>
            <w:bookmarkStart w:id="1245" w:name="_Toc181738244"/>
            <w:bookmarkStart w:id="1246" w:name="_Toc22366"/>
            <w:bookmarkStart w:id="1247" w:name="_Toc181293559"/>
            <w:bookmarkStart w:id="1248" w:name="_Toc177072422"/>
            <w:bookmarkStart w:id="1249" w:name="_Toc177488234"/>
            <w:bookmarkStart w:id="1250" w:name="_Toc136794355"/>
            <w:r>
              <w:rPr>
                <w:color w:val="auto"/>
              </w:rPr>
              <w:t>光污染影响</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2F9DF575">
            <w:pPr>
              <w:ind w:firstLine="480"/>
              <w:rPr>
                <w:color w:val="auto"/>
                <w:szCs w:val="21"/>
              </w:rPr>
            </w:pPr>
            <w:r>
              <w:rPr>
                <w:color w:val="auto"/>
                <w:szCs w:val="21"/>
              </w:rPr>
              <w:t>光污染是指因为有害反射光、外溢光或杂散光的不利影响而造成的不良光环境。光污染属物理性污染，其特点有两个：第一，是局部的，因为物理性污染属能量污染，会随着距离的增加而迅速衰减；第二，在环境中不会有残留的物质存在，一但污染源消除以后，污染也消失。行业中一般将光污染分为三类，即：白亮污染、人工白昼和彩光污染。白亮污染是指阳光照射强烈时，建筑物的玻璃幕墙、釉面砖墙、磨光大理石和各种涂料等装饰反射光线，明晃白亮、眩眼夺目。本项目的光污染类型属于白亮污染。</w:t>
            </w:r>
          </w:p>
          <w:p w14:paraId="59DE691D">
            <w:pPr>
              <w:ind w:firstLine="480"/>
              <w:rPr>
                <w:color w:val="auto"/>
                <w:szCs w:val="21"/>
              </w:rPr>
            </w:pPr>
            <w:r>
              <w:rPr>
                <w:color w:val="auto"/>
                <w:szCs w:val="21"/>
              </w:rPr>
              <w:t>白亮污染主要会有三种危害：第一，对附近道路的行人或者司机正常的视觉活动的影响；第二，影响为交通运输作业提供视觉信号灯、灯塔和灯光标志等的正常工作，降低其工作效能；第三，长时间在白色光亮污染环境下工作和生活的人，视网膜和虹膜都会受到不同程度的损害，视力急剧下降，白内障的发病率高达45%，还使人头昏心烦，甚至发生失眠、食欲下降、情绪低落、身体乏力等类似神经衰弱的症状。</w:t>
            </w:r>
          </w:p>
          <w:p w14:paraId="44735C52">
            <w:pPr>
              <w:ind w:firstLine="480"/>
              <w:rPr>
                <w:color w:val="auto"/>
                <w:szCs w:val="21"/>
              </w:rPr>
            </w:pPr>
            <w:r>
              <w:rPr>
                <w:color w:val="auto"/>
                <w:szCs w:val="21"/>
              </w:rPr>
              <w:t>太阳能电池组件产品的表面最大程度地减少对太阳光的反射，以利于提高其发电效率。太阳能电池方阵的反光性一般是很低的。本项目光伏采用</w:t>
            </w:r>
            <w:r>
              <w:rPr>
                <w:rFonts w:hint="eastAsia"/>
                <w:color w:val="auto"/>
                <w:szCs w:val="21"/>
              </w:rPr>
              <w:t>异质结</w:t>
            </w:r>
            <w:r>
              <w:rPr>
                <w:color w:val="auto"/>
                <w:szCs w:val="21"/>
              </w:rPr>
              <w:t>太阳能电池，该电池组件最外层为特种钢化玻璃，其透光率极低，基本不会产生光污染，所有外露在强光下的金属构件均采用哑光处理工艺，不会对周边环境造成明显光污染干扰。</w:t>
            </w:r>
          </w:p>
          <w:p w14:paraId="18A98704">
            <w:pPr>
              <w:ind w:firstLine="480"/>
              <w:rPr>
                <w:color w:val="auto"/>
                <w:szCs w:val="21"/>
              </w:rPr>
            </w:pPr>
            <w:r>
              <w:rPr>
                <w:color w:val="auto"/>
                <w:szCs w:val="21"/>
              </w:rPr>
              <w:t>本项目属于节能减排的环保项目，基本上不会产生环境污染，对环境的影响主要是光污染和可能对局部生态的影响。光伏电池组件产品的表面设计要求最大程度地减少对太阳光的反射，以利于提高其发电效率。因此，光伏电池方阵的反光性应该是很低的。光伏电池组件需面向南布置、与水平面的夹角为2</w:t>
            </w:r>
            <w:r>
              <w:rPr>
                <w:rFonts w:hint="eastAsia"/>
                <w:color w:val="auto"/>
                <w:szCs w:val="21"/>
              </w:rPr>
              <w:t>0</w:t>
            </w:r>
            <w:r>
              <w:rPr>
                <w:color w:val="auto"/>
                <w:szCs w:val="21"/>
              </w:rPr>
              <w:t>度。因此，本项目光伏电池方阵的设计布置，可以避免对公路上来往车辆与人员的光污染影响。光伏电池方阵的微弱反射光是射向南面天空，对周围环境也没有形成污染。</w:t>
            </w:r>
          </w:p>
          <w:p w14:paraId="3AAD5409">
            <w:pPr>
              <w:pStyle w:val="3"/>
              <w:spacing w:before="72" w:after="72"/>
              <w:rPr>
                <w:color w:val="auto"/>
              </w:rPr>
            </w:pPr>
            <w:bookmarkStart w:id="1251" w:name="_Toc156144195"/>
            <w:bookmarkStart w:id="1252" w:name="_Toc161415595"/>
            <w:bookmarkStart w:id="1253" w:name="_Toc136794356"/>
            <w:bookmarkStart w:id="1254" w:name="_Toc177072423"/>
            <w:bookmarkStart w:id="1255" w:name="_Toc159349070"/>
            <w:bookmarkStart w:id="1256" w:name="_Toc177072851"/>
            <w:bookmarkStart w:id="1257" w:name="_Toc177482923"/>
            <w:bookmarkStart w:id="1258" w:name="_Toc25734"/>
            <w:bookmarkStart w:id="1259" w:name="_Toc160473841"/>
            <w:bookmarkStart w:id="1260" w:name="_Toc181293560"/>
            <w:bookmarkStart w:id="1261" w:name="_Toc181738245"/>
            <w:bookmarkStart w:id="1262" w:name="_Toc13241"/>
            <w:bookmarkStart w:id="1263" w:name="_Toc177488235"/>
            <w:bookmarkStart w:id="1264" w:name="_Toc112424306"/>
            <w:bookmarkStart w:id="1265" w:name="_Toc136794231"/>
            <w:bookmarkStart w:id="1266" w:name="_Toc181732838"/>
            <w:bookmarkStart w:id="1267" w:name="_Toc160730917"/>
            <w:bookmarkStart w:id="1268" w:name="_Toc112165669"/>
            <w:bookmarkStart w:id="1269" w:name="_Toc112173964"/>
            <w:bookmarkStart w:id="1270" w:name="_Toc156137881"/>
            <w:bookmarkStart w:id="1271" w:name="_Toc158491302"/>
            <w:r>
              <w:rPr>
                <w:color w:val="auto"/>
              </w:rPr>
              <w:t>环境风险分析</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267D9DDC">
            <w:pPr>
              <w:ind w:firstLine="480"/>
              <w:rPr>
                <w:color w:val="auto"/>
                <w:szCs w:val="21"/>
              </w:rPr>
            </w:pPr>
            <w:r>
              <w:rPr>
                <w:color w:val="auto"/>
                <w:szCs w:val="21"/>
              </w:rPr>
              <w:t>本项目主要风险来自变压器油的泄漏和火灾可能带来的环境影响。本次环评根据《建设项目环境风险评价技术导则》（HJ169-2018）的要求，并结合本项目实际情况，对本项目可能发生的事故进行风险识别，同时针对最大可信风险事故对环境造成的影响进行分析及评价，对此提出事故应急处理计划和应急预案，以减少或控制本项目事故发生频率，减少事故风险对环境的危害。</w:t>
            </w:r>
          </w:p>
          <w:p w14:paraId="3C1DCA6D">
            <w:pPr>
              <w:pStyle w:val="4"/>
              <w:spacing w:before="48" w:after="48"/>
              <w:rPr>
                <w:color w:val="auto"/>
              </w:rPr>
            </w:pPr>
            <w:bookmarkStart w:id="1272" w:name="_Toc112165670"/>
            <w:bookmarkStart w:id="1273" w:name="_Toc112424307"/>
            <w:bookmarkStart w:id="1274" w:name="_Toc112173965"/>
            <w:bookmarkStart w:id="1275" w:name="_Toc17969"/>
            <w:bookmarkStart w:id="1276" w:name="_Toc161415596"/>
            <w:bookmarkStart w:id="1277" w:name="_Toc177488236"/>
            <w:bookmarkStart w:id="1278" w:name="_Toc181293561"/>
            <w:bookmarkStart w:id="1279" w:name="_Toc181732839"/>
            <w:bookmarkStart w:id="1280" w:name="_Toc181738246"/>
            <w:bookmarkStart w:id="1281" w:name="_Toc136794232"/>
            <w:bookmarkStart w:id="1282" w:name="_Toc136794357"/>
            <w:bookmarkStart w:id="1283" w:name="_Toc177482924"/>
            <w:bookmarkStart w:id="1284" w:name="_Toc158491303"/>
            <w:bookmarkStart w:id="1285" w:name="_Toc156137882"/>
            <w:bookmarkStart w:id="1286" w:name="_Toc156144196"/>
            <w:bookmarkStart w:id="1287" w:name="_Toc177072424"/>
            <w:bookmarkStart w:id="1288" w:name="_Toc177072852"/>
            <w:bookmarkStart w:id="1289" w:name="_Toc160473842"/>
            <w:bookmarkStart w:id="1290" w:name="_Toc14099"/>
            <w:bookmarkStart w:id="1291" w:name="_Toc159349071"/>
            <w:bookmarkStart w:id="1292" w:name="_Toc160730918"/>
            <w:r>
              <w:rPr>
                <w:color w:val="auto"/>
              </w:rPr>
              <w:t>风险</w:t>
            </w:r>
            <w:bookmarkEnd w:id="1272"/>
            <w:bookmarkEnd w:id="1273"/>
            <w:bookmarkEnd w:id="1274"/>
            <w:r>
              <w:rPr>
                <w:color w:val="auto"/>
              </w:rPr>
              <w:t>调查</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DEB98B4">
            <w:pPr>
              <w:ind w:firstLine="480"/>
              <w:rPr>
                <w:color w:val="auto"/>
                <w:szCs w:val="21"/>
              </w:rPr>
            </w:pPr>
            <w:r>
              <w:rPr>
                <w:color w:val="auto"/>
                <w:szCs w:val="21"/>
              </w:rPr>
              <w:t>按《建设项目环境风险评价技术导则》（HJ169-2018）对本项目涉及的物质进行危险性识别，筛选环境风险评价因子。本项目主要设计的风险评价因子为变压</w:t>
            </w:r>
            <w:r>
              <w:rPr>
                <w:rFonts w:hint="eastAsia"/>
                <w:color w:val="auto"/>
                <w:szCs w:val="21"/>
              </w:rPr>
              <w:t>油</w:t>
            </w:r>
            <w:r>
              <w:rPr>
                <w:color w:val="auto"/>
                <w:szCs w:val="21"/>
              </w:rPr>
              <w:t>（包括变压器油、检修废油）。主要物化性质和危险特性见下表。</w:t>
            </w:r>
          </w:p>
          <w:p w14:paraId="324E1AD1">
            <w:pPr>
              <w:pStyle w:val="63"/>
              <w:ind w:firstLine="422"/>
              <w:rPr>
                <w:color w:val="auto"/>
                <w:szCs w:val="21"/>
              </w:rPr>
            </w:pPr>
            <w:r>
              <w:rPr>
                <w:color w:val="auto"/>
                <w:szCs w:val="24"/>
              </w:rPr>
              <w:t xml:space="preserve">表 </w:t>
            </w:r>
            <w:r>
              <w:rPr>
                <w:color w:val="auto"/>
                <w:szCs w:val="24"/>
              </w:rPr>
              <w:fldChar w:fldCharType="begin"/>
            </w:r>
            <w:r>
              <w:rPr>
                <w:color w:val="auto"/>
                <w:szCs w:val="24"/>
              </w:rPr>
              <w:instrText xml:space="preserve"> STYLEREF 2 \s </w:instrText>
            </w:r>
            <w:r>
              <w:rPr>
                <w:color w:val="auto"/>
                <w:szCs w:val="24"/>
              </w:rPr>
              <w:fldChar w:fldCharType="separate"/>
            </w:r>
            <w:r>
              <w:rPr>
                <w:color w:val="auto"/>
                <w:szCs w:val="24"/>
              </w:rPr>
              <w:t>4.9</w:t>
            </w:r>
            <w:r>
              <w:rPr>
                <w:color w:val="auto"/>
                <w:szCs w:val="24"/>
              </w:rPr>
              <w:fldChar w:fldCharType="end"/>
            </w:r>
            <w:r>
              <w:rPr>
                <w:color w:val="auto"/>
                <w:szCs w:val="24"/>
              </w:rPr>
              <w:noBreakHyphen/>
            </w:r>
            <w:r>
              <w:rPr>
                <w:color w:val="auto"/>
                <w:szCs w:val="24"/>
              </w:rPr>
              <w:fldChar w:fldCharType="begin"/>
            </w:r>
            <w:r>
              <w:rPr>
                <w:color w:val="auto"/>
                <w:szCs w:val="24"/>
              </w:rPr>
              <w:instrText xml:space="preserve"> SEQ 表 \* ARABIC \s 2 </w:instrText>
            </w:r>
            <w:r>
              <w:rPr>
                <w:color w:val="auto"/>
                <w:szCs w:val="24"/>
              </w:rPr>
              <w:fldChar w:fldCharType="separate"/>
            </w:r>
            <w:r>
              <w:rPr>
                <w:color w:val="auto"/>
                <w:szCs w:val="24"/>
              </w:rPr>
              <w:t>1</w:t>
            </w:r>
            <w:r>
              <w:rPr>
                <w:color w:val="auto"/>
                <w:szCs w:val="24"/>
              </w:rPr>
              <w:fldChar w:fldCharType="end"/>
            </w:r>
            <w:r>
              <w:rPr>
                <w:color w:val="auto"/>
                <w:szCs w:val="24"/>
              </w:rPr>
              <w:t xml:space="preserve">  </w:t>
            </w:r>
            <w:r>
              <w:rPr>
                <w:color w:val="auto"/>
                <w:szCs w:val="21"/>
              </w:rPr>
              <w:t>变压器油理化性质和危险特性</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164"/>
              <w:gridCol w:w="2254"/>
              <w:gridCol w:w="2439"/>
              <w:gridCol w:w="1253"/>
            </w:tblGrid>
            <w:tr w14:paraId="7E1B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70" w:type="pct"/>
                  <w:gridSpan w:val="2"/>
                  <w:tcBorders>
                    <w:tl2br w:val="nil"/>
                    <w:tr2bl w:val="nil"/>
                  </w:tcBorders>
                  <w:vAlign w:val="center"/>
                </w:tcPr>
                <w:p w14:paraId="79678D34">
                  <w:pPr>
                    <w:widowControl/>
                    <w:adjustRightInd w:val="0"/>
                    <w:snapToGrid w:val="0"/>
                    <w:spacing w:line="240" w:lineRule="auto"/>
                    <w:ind w:firstLine="0" w:firstLineChars="0"/>
                    <w:jc w:val="center"/>
                    <w:rPr>
                      <w:b/>
                      <w:bCs/>
                      <w:color w:val="auto"/>
                      <w:kern w:val="0"/>
                      <w:sz w:val="21"/>
                      <w:szCs w:val="21"/>
                    </w:rPr>
                  </w:pPr>
                  <w:r>
                    <w:rPr>
                      <w:color w:val="auto"/>
                      <w:sz w:val="21"/>
                      <w:szCs w:val="21"/>
                    </w:rPr>
                    <w:t>产品名称</w:t>
                  </w:r>
                </w:p>
              </w:tc>
              <w:tc>
                <w:tcPr>
                  <w:tcW w:w="3830" w:type="pct"/>
                  <w:gridSpan w:val="3"/>
                  <w:tcBorders>
                    <w:tl2br w:val="nil"/>
                    <w:tr2bl w:val="nil"/>
                  </w:tcBorders>
                  <w:vAlign w:val="center"/>
                </w:tcPr>
                <w:p w14:paraId="14A0F675">
                  <w:pPr>
                    <w:widowControl/>
                    <w:adjustRightInd w:val="0"/>
                    <w:snapToGrid w:val="0"/>
                    <w:spacing w:line="240" w:lineRule="auto"/>
                    <w:ind w:firstLine="0" w:firstLineChars="0"/>
                    <w:jc w:val="center"/>
                    <w:rPr>
                      <w:b/>
                      <w:bCs/>
                      <w:color w:val="auto"/>
                      <w:sz w:val="21"/>
                      <w:szCs w:val="21"/>
                    </w:rPr>
                  </w:pPr>
                  <w:r>
                    <w:rPr>
                      <w:color w:val="auto"/>
                      <w:sz w:val="21"/>
                      <w:szCs w:val="21"/>
                    </w:rPr>
                    <w:t>变压</w:t>
                  </w:r>
                  <w:r>
                    <w:rPr>
                      <w:rFonts w:hint="eastAsia"/>
                      <w:color w:val="auto"/>
                      <w:sz w:val="21"/>
                      <w:szCs w:val="21"/>
                    </w:rPr>
                    <w:t>油</w:t>
                  </w:r>
                  <w:r>
                    <w:rPr>
                      <w:color w:val="auto"/>
                      <w:sz w:val="21"/>
                      <w:szCs w:val="21"/>
                    </w:rPr>
                    <w:t>（包括变压器油、检修废油）</w:t>
                  </w:r>
                </w:p>
              </w:tc>
            </w:tr>
            <w:tr w14:paraId="5C61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pct"/>
                  <w:gridSpan w:val="2"/>
                  <w:tcBorders>
                    <w:tl2br w:val="nil"/>
                    <w:tr2bl w:val="nil"/>
                  </w:tcBorders>
                  <w:vAlign w:val="center"/>
                </w:tcPr>
                <w:p w14:paraId="0822137E">
                  <w:pPr>
                    <w:widowControl/>
                    <w:adjustRightInd w:val="0"/>
                    <w:snapToGrid w:val="0"/>
                    <w:spacing w:line="240" w:lineRule="auto"/>
                    <w:ind w:firstLine="0" w:firstLineChars="0"/>
                    <w:jc w:val="center"/>
                    <w:rPr>
                      <w:b/>
                      <w:bCs/>
                      <w:color w:val="auto"/>
                      <w:kern w:val="0"/>
                      <w:sz w:val="21"/>
                      <w:szCs w:val="21"/>
                    </w:rPr>
                  </w:pPr>
                  <w:r>
                    <w:rPr>
                      <w:color w:val="auto"/>
                      <w:sz w:val="21"/>
                      <w:szCs w:val="21"/>
                    </w:rPr>
                    <w:t>化学品英文名称</w:t>
                  </w:r>
                </w:p>
              </w:tc>
              <w:tc>
                <w:tcPr>
                  <w:tcW w:w="3830" w:type="pct"/>
                  <w:gridSpan w:val="3"/>
                  <w:tcBorders>
                    <w:tl2br w:val="nil"/>
                    <w:tr2bl w:val="nil"/>
                  </w:tcBorders>
                  <w:vAlign w:val="center"/>
                </w:tcPr>
                <w:p w14:paraId="1E52750F">
                  <w:pPr>
                    <w:adjustRightInd w:val="0"/>
                    <w:snapToGrid w:val="0"/>
                    <w:spacing w:line="240" w:lineRule="auto"/>
                    <w:ind w:firstLine="0" w:firstLineChars="0"/>
                    <w:jc w:val="center"/>
                    <w:rPr>
                      <w:color w:val="auto"/>
                      <w:sz w:val="21"/>
                      <w:szCs w:val="21"/>
                    </w:rPr>
                  </w:pPr>
                  <w:r>
                    <w:rPr>
                      <w:color w:val="auto"/>
                      <w:sz w:val="21"/>
                      <w:szCs w:val="21"/>
                    </w:rPr>
                    <w:t>transformer oil</w:t>
                  </w:r>
                </w:p>
              </w:tc>
            </w:tr>
            <w:tr w14:paraId="0C4D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pct"/>
                  <w:gridSpan w:val="2"/>
                  <w:tcBorders>
                    <w:tl2br w:val="nil"/>
                    <w:tr2bl w:val="nil"/>
                  </w:tcBorders>
                  <w:vAlign w:val="center"/>
                </w:tcPr>
                <w:p w14:paraId="23ABA59F">
                  <w:pPr>
                    <w:widowControl/>
                    <w:adjustRightInd w:val="0"/>
                    <w:snapToGrid w:val="0"/>
                    <w:spacing w:line="240" w:lineRule="auto"/>
                    <w:ind w:firstLine="0" w:firstLineChars="0"/>
                    <w:jc w:val="center"/>
                    <w:rPr>
                      <w:b/>
                      <w:bCs/>
                      <w:color w:val="auto"/>
                      <w:kern w:val="0"/>
                      <w:sz w:val="21"/>
                      <w:szCs w:val="21"/>
                    </w:rPr>
                  </w:pPr>
                  <w:r>
                    <w:rPr>
                      <w:color w:val="auto"/>
                      <w:sz w:val="21"/>
                      <w:szCs w:val="21"/>
                    </w:rPr>
                    <w:t>性状</w:t>
                  </w:r>
                </w:p>
              </w:tc>
              <w:tc>
                <w:tcPr>
                  <w:tcW w:w="1452" w:type="pct"/>
                  <w:tcBorders>
                    <w:tl2br w:val="nil"/>
                    <w:tr2bl w:val="nil"/>
                  </w:tcBorders>
                  <w:vAlign w:val="center"/>
                </w:tcPr>
                <w:p w14:paraId="0AFD9563">
                  <w:pPr>
                    <w:widowControl/>
                    <w:adjustRightInd w:val="0"/>
                    <w:snapToGrid w:val="0"/>
                    <w:spacing w:line="240" w:lineRule="auto"/>
                    <w:ind w:firstLine="0" w:firstLineChars="0"/>
                    <w:jc w:val="center"/>
                    <w:rPr>
                      <w:b/>
                      <w:bCs/>
                      <w:color w:val="auto"/>
                      <w:kern w:val="0"/>
                      <w:sz w:val="21"/>
                      <w:szCs w:val="21"/>
                    </w:rPr>
                  </w:pPr>
                  <w:r>
                    <w:rPr>
                      <w:color w:val="auto"/>
                      <w:sz w:val="21"/>
                      <w:szCs w:val="21"/>
                    </w:rPr>
                    <w:t>浅色液体</w:t>
                  </w:r>
                </w:p>
              </w:tc>
              <w:tc>
                <w:tcPr>
                  <w:tcW w:w="1571" w:type="pct"/>
                  <w:tcBorders>
                    <w:tl2br w:val="nil"/>
                    <w:tr2bl w:val="nil"/>
                  </w:tcBorders>
                  <w:vAlign w:val="center"/>
                </w:tcPr>
                <w:p w14:paraId="3D58BB86">
                  <w:pPr>
                    <w:widowControl/>
                    <w:adjustRightInd w:val="0"/>
                    <w:snapToGrid w:val="0"/>
                    <w:spacing w:line="240" w:lineRule="auto"/>
                    <w:ind w:firstLine="0" w:firstLineChars="0"/>
                    <w:jc w:val="center"/>
                    <w:rPr>
                      <w:color w:val="auto"/>
                      <w:sz w:val="21"/>
                      <w:szCs w:val="21"/>
                    </w:rPr>
                  </w:pPr>
                  <w:r>
                    <w:rPr>
                      <w:color w:val="auto"/>
                      <w:sz w:val="21"/>
                      <w:szCs w:val="21"/>
                    </w:rPr>
                    <w:t>颜色</w:t>
                  </w:r>
                </w:p>
              </w:tc>
              <w:tc>
                <w:tcPr>
                  <w:tcW w:w="808" w:type="pct"/>
                  <w:tcBorders>
                    <w:tl2br w:val="nil"/>
                    <w:tr2bl w:val="nil"/>
                  </w:tcBorders>
                  <w:vAlign w:val="center"/>
                </w:tcPr>
                <w:p w14:paraId="101EE53D">
                  <w:pPr>
                    <w:widowControl/>
                    <w:adjustRightInd w:val="0"/>
                    <w:snapToGrid w:val="0"/>
                    <w:spacing w:line="240" w:lineRule="auto"/>
                    <w:ind w:firstLine="0" w:firstLineChars="0"/>
                    <w:jc w:val="center"/>
                    <w:rPr>
                      <w:color w:val="auto"/>
                      <w:sz w:val="21"/>
                      <w:szCs w:val="21"/>
                    </w:rPr>
                  </w:pPr>
                  <w:r>
                    <w:rPr>
                      <w:color w:val="auto"/>
                      <w:sz w:val="21"/>
                      <w:szCs w:val="21"/>
                    </w:rPr>
                    <w:t>&lt;1.0</w:t>
                  </w:r>
                </w:p>
              </w:tc>
            </w:tr>
            <w:tr w14:paraId="6A45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pct"/>
                  <w:gridSpan w:val="2"/>
                  <w:tcBorders>
                    <w:tl2br w:val="nil"/>
                    <w:tr2bl w:val="nil"/>
                  </w:tcBorders>
                  <w:vAlign w:val="center"/>
                </w:tcPr>
                <w:p w14:paraId="052B460B">
                  <w:pPr>
                    <w:widowControl/>
                    <w:adjustRightInd w:val="0"/>
                    <w:snapToGrid w:val="0"/>
                    <w:spacing w:line="240" w:lineRule="auto"/>
                    <w:ind w:firstLine="0" w:firstLineChars="0"/>
                    <w:jc w:val="center"/>
                    <w:rPr>
                      <w:b/>
                      <w:bCs/>
                      <w:color w:val="auto"/>
                      <w:kern w:val="0"/>
                      <w:sz w:val="21"/>
                      <w:szCs w:val="21"/>
                    </w:rPr>
                  </w:pPr>
                  <w:r>
                    <w:rPr>
                      <w:color w:val="auto"/>
                      <w:sz w:val="21"/>
                      <w:szCs w:val="21"/>
                    </w:rPr>
                    <w:t>气味</w:t>
                  </w:r>
                </w:p>
              </w:tc>
              <w:tc>
                <w:tcPr>
                  <w:tcW w:w="1452" w:type="pct"/>
                  <w:tcBorders>
                    <w:tl2br w:val="nil"/>
                    <w:tr2bl w:val="nil"/>
                  </w:tcBorders>
                  <w:vAlign w:val="center"/>
                </w:tcPr>
                <w:p w14:paraId="682ABC15">
                  <w:pPr>
                    <w:adjustRightInd w:val="0"/>
                    <w:snapToGrid w:val="0"/>
                    <w:spacing w:line="240" w:lineRule="auto"/>
                    <w:ind w:firstLine="0" w:firstLineChars="0"/>
                    <w:jc w:val="center"/>
                    <w:rPr>
                      <w:b/>
                      <w:bCs/>
                      <w:color w:val="auto"/>
                      <w:kern w:val="0"/>
                      <w:sz w:val="21"/>
                      <w:szCs w:val="21"/>
                    </w:rPr>
                  </w:pPr>
                  <w:r>
                    <w:rPr>
                      <w:color w:val="auto"/>
                      <w:sz w:val="21"/>
                      <w:szCs w:val="21"/>
                    </w:rPr>
                    <w:t>无味</w:t>
                  </w:r>
                </w:p>
              </w:tc>
              <w:tc>
                <w:tcPr>
                  <w:tcW w:w="1571" w:type="pct"/>
                  <w:tcBorders>
                    <w:tl2br w:val="nil"/>
                    <w:tr2bl w:val="nil"/>
                  </w:tcBorders>
                  <w:vAlign w:val="center"/>
                </w:tcPr>
                <w:p w14:paraId="4A7E5249">
                  <w:pPr>
                    <w:adjustRightInd w:val="0"/>
                    <w:snapToGrid w:val="0"/>
                    <w:spacing w:line="240" w:lineRule="auto"/>
                    <w:ind w:firstLine="0" w:firstLineChars="0"/>
                    <w:jc w:val="center"/>
                    <w:rPr>
                      <w:color w:val="auto"/>
                      <w:sz w:val="21"/>
                      <w:szCs w:val="21"/>
                    </w:rPr>
                  </w:pPr>
                  <w:r>
                    <w:rPr>
                      <w:color w:val="auto"/>
                      <w:sz w:val="21"/>
                      <w:szCs w:val="21"/>
                    </w:rPr>
                    <w:t>倾点</w:t>
                  </w:r>
                </w:p>
              </w:tc>
              <w:tc>
                <w:tcPr>
                  <w:tcW w:w="808" w:type="pct"/>
                  <w:tcBorders>
                    <w:tl2br w:val="nil"/>
                    <w:tr2bl w:val="nil"/>
                  </w:tcBorders>
                  <w:vAlign w:val="center"/>
                </w:tcPr>
                <w:p w14:paraId="6B27A07F">
                  <w:pPr>
                    <w:adjustRightInd w:val="0"/>
                    <w:snapToGrid w:val="0"/>
                    <w:spacing w:line="240" w:lineRule="auto"/>
                    <w:ind w:firstLine="0" w:firstLineChars="0"/>
                    <w:jc w:val="center"/>
                    <w:rPr>
                      <w:color w:val="auto"/>
                      <w:sz w:val="21"/>
                      <w:szCs w:val="21"/>
                    </w:rPr>
                  </w:pPr>
                  <w:r>
                    <w:rPr>
                      <w:color w:val="auto"/>
                      <w:sz w:val="21"/>
                      <w:szCs w:val="21"/>
                    </w:rPr>
                    <w:t>&lt;-35℃</w:t>
                  </w:r>
                </w:p>
              </w:tc>
            </w:tr>
            <w:tr w14:paraId="6EB5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pct"/>
                  <w:gridSpan w:val="2"/>
                  <w:tcBorders>
                    <w:tl2br w:val="nil"/>
                    <w:tr2bl w:val="nil"/>
                  </w:tcBorders>
                  <w:vAlign w:val="center"/>
                </w:tcPr>
                <w:p w14:paraId="75A2F765">
                  <w:pPr>
                    <w:widowControl/>
                    <w:adjustRightInd w:val="0"/>
                    <w:snapToGrid w:val="0"/>
                    <w:spacing w:line="240" w:lineRule="auto"/>
                    <w:ind w:firstLine="0" w:firstLineChars="0"/>
                    <w:jc w:val="center"/>
                    <w:rPr>
                      <w:b/>
                      <w:bCs/>
                      <w:color w:val="auto"/>
                      <w:kern w:val="0"/>
                      <w:sz w:val="21"/>
                      <w:szCs w:val="21"/>
                    </w:rPr>
                  </w:pPr>
                  <w:r>
                    <w:rPr>
                      <w:color w:val="auto"/>
                      <w:sz w:val="21"/>
                      <w:szCs w:val="21"/>
                    </w:rPr>
                    <w:t>初馏点</w:t>
                  </w:r>
                </w:p>
              </w:tc>
              <w:tc>
                <w:tcPr>
                  <w:tcW w:w="1452" w:type="pct"/>
                  <w:tcBorders>
                    <w:tl2br w:val="nil"/>
                    <w:tr2bl w:val="nil"/>
                  </w:tcBorders>
                  <w:vAlign w:val="center"/>
                </w:tcPr>
                <w:p w14:paraId="07F9C240">
                  <w:pPr>
                    <w:adjustRightInd w:val="0"/>
                    <w:snapToGrid w:val="0"/>
                    <w:spacing w:line="240" w:lineRule="auto"/>
                    <w:ind w:firstLine="0" w:firstLineChars="0"/>
                    <w:jc w:val="center"/>
                    <w:rPr>
                      <w:b/>
                      <w:bCs/>
                      <w:color w:val="auto"/>
                      <w:kern w:val="0"/>
                      <w:sz w:val="21"/>
                      <w:szCs w:val="21"/>
                    </w:rPr>
                  </w:pPr>
                  <w:r>
                    <w:rPr>
                      <w:color w:val="auto"/>
                      <w:sz w:val="21"/>
                      <w:szCs w:val="21"/>
                    </w:rPr>
                    <w:t>&gt;250℃</w:t>
                  </w:r>
                </w:p>
              </w:tc>
              <w:tc>
                <w:tcPr>
                  <w:tcW w:w="1571" w:type="pct"/>
                  <w:tcBorders>
                    <w:tl2br w:val="nil"/>
                    <w:tr2bl w:val="nil"/>
                  </w:tcBorders>
                  <w:vAlign w:val="center"/>
                </w:tcPr>
                <w:p w14:paraId="139DBBBD">
                  <w:pPr>
                    <w:adjustRightInd w:val="0"/>
                    <w:snapToGrid w:val="0"/>
                    <w:spacing w:line="240" w:lineRule="auto"/>
                    <w:ind w:firstLine="0" w:firstLineChars="0"/>
                    <w:jc w:val="center"/>
                    <w:rPr>
                      <w:color w:val="auto"/>
                      <w:sz w:val="21"/>
                      <w:szCs w:val="21"/>
                    </w:rPr>
                  </w:pPr>
                  <w:r>
                    <w:rPr>
                      <w:color w:val="auto"/>
                      <w:sz w:val="21"/>
                      <w:szCs w:val="21"/>
                    </w:rPr>
                    <w:t>密度</w:t>
                  </w:r>
                </w:p>
              </w:tc>
              <w:tc>
                <w:tcPr>
                  <w:tcW w:w="808" w:type="pct"/>
                  <w:tcBorders>
                    <w:tl2br w:val="nil"/>
                    <w:tr2bl w:val="nil"/>
                  </w:tcBorders>
                  <w:vAlign w:val="center"/>
                </w:tcPr>
                <w:p w14:paraId="2537F4C3">
                  <w:pPr>
                    <w:adjustRightInd w:val="0"/>
                    <w:snapToGrid w:val="0"/>
                    <w:spacing w:line="240" w:lineRule="auto"/>
                    <w:ind w:firstLine="0" w:firstLineChars="0"/>
                    <w:jc w:val="center"/>
                    <w:rPr>
                      <w:color w:val="auto"/>
                      <w:sz w:val="21"/>
                      <w:szCs w:val="21"/>
                    </w:rPr>
                  </w:pPr>
                  <w:r>
                    <w:rPr>
                      <w:color w:val="auto"/>
                      <w:sz w:val="21"/>
                      <w:szCs w:val="21"/>
                    </w:rPr>
                    <w:t>882kg/m</w:t>
                  </w:r>
                  <w:r>
                    <w:rPr>
                      <w:color w:val="auto"/>
                      <w:sz w:val="21"/>
                      <w:szCs w:val="21"/>
                      <w:vertAlign w:val="superscript"/>
                    </w:rPr>
                    <w:t>3</w:t>
                  </w:r>
                </w:p>
              </w:tc>
            </w:tr>
            <w:tr w14:paraId="1D3D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pct"/>
                  <w:gridSpan w:val="2"/>
                  <w:tcBorders>
                    <w:tl2br w:val="nil"/>
                    <w:tr2bl w:val="nil"/>
                  </w:tcBorders>
                  <w:vAlign w:val="center"/>
                </w:tcPr>
                <w:p w14:paraId="4B7BCAE7">
                  <w:pPr>
                    <w:widowControl/>
                    <w:adjustRightInd w:val="0"/>
                    <w:snapToGrid w:val="0"/>
                    <w:spacing w:line="240" w:lineRule="auto"/>
                    <w:ind w:firstLine="0" w:firstLineChars="0"/>
                    <w:jc w:val="center"/>
                    <w:rPr>
                      <w:b/>
                      <w:bCs/>
                      <w:color w:val="auto"/>
                      <w:kern w:val="0"/>
                      <w:sz w:val="21"/>
                      <w:szCs w:val="21"/>
                    </w:rPr>
                  </w:pPr>
                  <w:r>
                    <w:rPr>
                      <w:color w:val="auto"/>
                      <w:sz w:val="21"/>
                      <w:szCs w:val="21"/>
                    </w:rPr>
                    <w:t>闪点</w:t>
                  </w:r>
                </w:p>
              </w:tc>
              <w:tc>
                <w:tcPr>
                  <w:tcW w:w="1452" w:type="pct"/>
                  <w:tcBorders>
                    <w:tl2br w:val="nil"/>
                    <w:tr2bl w:val="nil"/>
                  </w:tcBorders>
                  <w:vAlign w:val="center"/>
                </w:tcPr>
                <w:p w14:paraId="6723CC45">
                  <w:pPr>
                    <w:adjustRightInd w:val="0"/>
                    <w:snapToGrid w:val="0"/>
                    <w:spacing w:line="240" w:lineRule="auto"/>
                    <w:ind w:firstLine="0" w:firstLineChars="0"/>
                    <w:jc w:val="center"/>
                    <w:rPr>
                      <w:b/>
                      <w:bCs/>
                      <w:color w:val="auto"/>
                      <w:kern w:val="0"/>
                      <w:sz w:val="21"/>
                      <w:szCs w:val="21"/>
                    </w:rPr>
                  </w:pPr>
                  <w:r>
                    <w:rPr>
                      <w:color w:val="auto"/>
                      <w:sz w:val="21"/>
                      <w:szCs w:val="21"/>
                    </w:rPr>
                    <w:t>&gt;140℃</w:t>
                  </w:r>
                </w:p>
              </w:tc>
              <w:tc>
                <w:tcPr>
                  <w:tcW w:w="1571" w:type="pct"/>
                  <w:tcBorders>
                    <w:tl2br w:val="nil"/>
                    <w:tr2bl w:val="nil"/>
                  </w:tcBorders>
                  <w:vAlign w:val="center"/>
                </w:tcPr>
                <w:p w14:paraId="6360506D">
                  <w:pPr>
                    <w:adjustRightInd w:val="0"/>
                    <w:snapToGrid w:val="0"/>
                    <w:spacing w:line="240" w:lineRule="auto"/>
                    <w:ind w:firstLine="0" w:firstLineChars="0"/>
                    <w:jc w:val="center"/>
                    <w:rPr>
                      <w:color w:val="auto"/>
                      <w:sz w:val="21"/>
                      <w:szCs w:val="21"/>
                    </w:rPr>
                  </w:pPr>
                  <w:r>
                    <w:rPr>
                      <w:color w:val="auto"/>
                      <w:sz w:val="21"/>
                      <w:szCs w:val="21"/>
                    </w:rPr>
                    <w:t>自燃点</w:t>
                  </w:r>
                </w:p>
              </w:tc>
              <w:tc>
                <w:tcPr>
                  <w:tcW w:w="808" w:type="pct"/>
                  <w:tcBorders>
                    <w:tl2br w:val="nil"/>
                    <w:tr2bl w:val="nil"/>
                  </w:tcBorders>
                  <w:vAlign w:val="center"/>
                </w:tcPr>
                <w:p w14:paraId="00FA4BE1">
                  <w:pPr>
                    <w:adjustRightInd w:val="0"/>
                    <w:snapToGrid w:val="0"/>
                    <w:spacing w:line="240" w:lineRule="auto"/>
                    <w:ind w:firstLine="0" w:firstLineChars="0"/>
                    <w:jc w:val="center"/>
                    <w:rPr>
                      <w:color w:val="auto"/>
                      <w:sz w:val="21"/>
                      <w:szCs w:val="21"/>
                    </w:rPr>
                  </w:pPr>
                  <w:r>
                    <w:rPr>
                      <w:color w:val="auto"/>
                      <w:sz w:val="21"/>
                      <w:szCs w:val="21"/>
                    </w:rPr>
                    <w:t>&gt;270°C</w:t>
                  </w:r>
                </w:p>
              </w:tc>
            </w:tr>
            <w:tr w14:paraId="1F91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pct"/>
                  <w:gridSpan w:val="2"/>
                  <w:tcBorders>
                    <w:tl2br w:val="nil"/>
                    <w:tr2bl w:val="nil"/>
                  </w:tcBorders>
                  <w:vAlign w:val="center"/>
                </w:tcPr>
                <w:p w14:paraId="615EB5A9">
                  <w:pPr>
                    <w:widowControl/>
                    <w:adjustRightInd w:val="0"/>
                    <w:snapToGrid w:val="0"/>
                    <w:spacing w:line="240" w:lineRule="auto"/>
                    <w:ind w:firstLine="0" w:firstLineChars="0"/>
                    <w:jc w:val="center"/>
                    <w:rPr>
                      <w:b/>
                      <w:bCs/>
                      <w:color w:val="auto"/>
                      <w:kern w:val="0"/>
                      <w:sz w:val="21"/>
                      <w:szCs w:val="21"/>
                    </w:rPr>
                  </w:pPr>
                  <w:r>
                    <w:rPr>
                      <w:color w:val="auto"/>
                      <w:sz w:val="21"/>
                      <w:szCs w:val="21"/>
                    </w:rPr>
                    <w:t>水中溶解性</w:t>
                  </w:r>
                </w:p>
              </w:tc>
              <w:tc>
                <w:tcPr>
                  <w:tcW w:w="1452" w:type="pct"/>
                  <w:tcBorders>
                    <w:tl2br w:val="nil"/>
                    <w:tr2bl w:val="nil"/>
                  </w:tcBorders>
                  <w:vAlign w:val="center"/>
                </w:tcPr>
                <w:p w14:paraId="096C05F4">
                  <w:pPr>
                    <w:adjustRightInd w:val="0"/>
                    <w:snapToGrid w:val="0"/>
                    <w:spacing w:line="240" w:lineRule="auto"/>
                    <w:ind w:firstLine="0" w:firstLineChars="0"/>
                    <w:jc w:val="center"/>
                    <w:rPr>
                      <w:b/>
                      <w:bCs/>
                      <w:color w:val="auto"/>
                      <w:kern w:val="0"/>
                      <w:sz w:val="21"/>
                      <w:szCs w:val="21"/>
                    </w:rPr>
                  </w:pPr>
                  <w:r>
                    <w:rPr>
                      <w:color w:val="auto"/>
                      <w:sz w:val="21"/>
                      <w:szCs w:val="21"/>
                    </w:rPr>
                    <w:t>不溶</w:t>
                  </w:r>
                </w:p>
              </w:tc>
              <w:tc>
                <w:tcPr>
                  <w:tcW w:w="1571" w:type="pct"/>
                  <w:tcBorders>
                    <w:tl2br w:val="nil"/>
                    <w:tr2bl w:val="nil"/>
                  </w:tcBorders>
                  <w:vAlign w:val="center"/>
                </w:tcPr>
                <w:p w14:paraId="102D0C81">
                  <w:pPr>
                    <w:adjustRightInd w:val="0"/>
                    <w:snapToGrid w:val="0"/>
                    <w:spacing w:line="240" w:lineRule="auto"/>
                    <w:ind w:firstLine="0" w:firstLineChars="0"/>
                    <w:jc w:val="center"/>
                    <w:rPr>
                      <w:color w:val="auto"/>
                      <w:sz w:val="21"/>
                      <w:szCs w:val="21"/>
                    </w:rPr>
                  </w:pPr>
                  <w:r>
                    <w:rPr>
                      <w:color w:val="auto"/>
                      <w:sz w:val="21"/>
                      <w:szCs w:val="21"/>
                    </w:rPr>
                    <w:t>有机溶剂中溶解性</w:t>
                  </w:r>
                </w:p>
              </w:tc>
              <w:tc>
                <w:tcPr>
                  <w:tcW w:w="808" w:type="pct"/>
                  <w:tcBorders>
                    <w:tl2br w:val="nil"/>
                    <w:tr2bl w:val="nil"/>
                  </w:tcBorders>
                  <w:vAlign w:val="center"/>
                </w:tcPr>
                <w:p w14:paraId="2B456072">
                  <w:pPr>
                    <w:adjustRightInd w:val="0"/>
                    <w:snapToGrid w:val="0"/>
                    <w:spacing w:line="240" w:lineRule="auto"/>
                    <w:ind w:firstLine="0" w:firstLineChars="0"/>
                    <w:jc w:val="center"/>
                    <w:rPr>
                      <w:color w:val="auto"/>
                      <w:sz w:val="21"/>
                      <w:szCs w:val="21"/>
                    </w:rPr>
                  </w:pPr>
                  <w:r>
                    <w:rPr>
                      <w:color w:val="auto"/>
                      <w:sz w:val="21"/>
                      <w:szCs w:val="21"/>
                    </w:rPr>
                    <w:t>可溶</w:t>
                  </w:r>
                </w:p>
              </w:tc>
            </w:tr>
            <w:tr w14:paraId="650E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pct"/>
                  <w:gridSpan w:val="2"/>
                  <w:tcBorders>
                    <w:tl2br w:val="nil"/>
                    <w:tr2bl w:val="nil"/>
                  </w:tcBorders>
                  <w:vAlign w:val="center"/>
                </w:tcPr>
                <w:p w14:paraId="34000DDE">
                  <w:pPr>
                    <w:widowControl/>
                    <w:adjustRightInd w:val="0"/>
                    <w:snapToGrid w:val="0"/>
                    <w:spacing w:line="240" w:lineRule="auto"/>
                    <w:ind w:firstLine="0" w:firstLineChars="0"/>
                    <w:jc w:val="center"/>
                    <w:rPr>
                      <w:b/>
                      <w:bCs/>
                      <w:color w:val="auto"/>
                      <w:kern w:val="0"/>
                      <w:sz w:val="21"/>
                      <w:szCs w:val="21"/>
                    </w:rPr>
                  </w:pPr>
                  <w:r>
                    <w:rPr>
                      <w:color w:val="auto"/>
                      <w:sz w:val="21"/>
                      <w:szCs w:val="21"/>
                    </w:rPr>
                    <w:t>粘度</w:t>
                  </w:r>
                </w:p>
              </w:tc>
              <w:tc>
                <w:tcPr>
                  <w:tcW w:w="3830" w:type="pct"/>
                  <w:gridSpan w:val="3"/>
                  <w:tcBorders>
                    <w:tl2br w:val="nil"/>
                    <w:tr2bl w:val="nil"/>
                  </w:tcBorders>
                  <w:vAlign w:val="center"/>
                </w:tcPr>
                <w:p w14:paraId="0120DEC2">
                  <w:pPr>
                    <w:adjustRightInd w:val="0"/>
                    <w:snapToGrid w:val="0"/>
                    <w:spacing w:line="240" w:lineRule="auto"/>
                    <w:ind w:firstLine="0" w:firstLineChars="0"/>
                    <w:jc w:val="center"/>
                    <w:rPr>
                      <w:color w:val="auto"/>
                      <w:sz w:val="21"/>
                      <w:szCs w:val="21"/>
                    </w:rPr>
                  </w:pPr>
                  <w:r>
                    <w:rPr>
                      <w:color w:val="auto"/>
                      <w:sz w:val="21"/>
                      <w:szCs w:val="21"/>
                    </w:rPr>
                    <w:t>&lt;13mm</w:t>
                  </w:r>
                  <w:r>
                    <w:rPr>
                      <w:color w:val="auto"/>
                      <w:sz w:val="21"/>
                      <w:szCs w:val="21"/>
                      <w:vertAlign w:val="superscript"/>
                    </w:rPr>
                    <w:t>2</w:t>
                  </w:r>
                  <w:r>
                    <w:rPr>
                      <w:color w:val="auto"/>
                      <w:sz w:val="21"/>
                      <w:szCs w:val="21"/>
                    </w:rPr>
                    <w:t>/s</w:t>
                  </w:r>
                </w:p>
              </w:tc>
            </w:tr>
            <w:tr w14:paraId="2DA0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pct"/>
                  <w:gridSpan w:val="2"/>
                  <w:tcBorders>
                    <w:tl2br w:val="nil"/>
                    <w:tr2bl w:val="nil"/>
                  </w:tcBorders>
                  <w:vAlign w:val="center"/>
                </w:tcPr>
                <w:p w14:paraId="77A62669">
                  <w:pPr>
                    <w:widowControl/>
                    <w:adjustRightInd w:val="0"/>
                    <w:snapToGrid w:val="0"/>
                    <w:spacing w:line="240" w:lineRule="auto"/>
                    <w:ind w:firstLine="0" w:firstLineChars="0"/>
                    <w:jc w:val="center"/>
                    <w:rPr>
                      <w:b/>
                      <w:bCs/>
                      <w:color w:val="auto"/>
                      <w:kern w:val="0"/>
                      <w:sz w:val="21"/>
                      <w:szCs w:val="21"/>
                    </w:rPr>
                  </w:pPr>
                  <w:r>
                    <w:rPr>
                      <w:color w:val="auto"/>
                      <w:sz w:val="21"/>
                      <w:szCs w:val="21"/>
                    </w:rPr>
                    <w:t>碳型分析</w:t>
                  </w:r>
                </w:p>
              </w:tc>
              <w:tc>
                <w:tcPr>
                  <w:tcW w:w="3830" w:type="pct"/>
                  <w:gridSpan w:val="3"/>
                  <w:tcBorders>
                    <w:tl2br w:val="nil"/>
                    <w:tr2bl w:val="nil"/>
                  </w:tcBorders>
                  <w:vAlign w:val="center"/>
                </w:tcPr>
                <w:p w14:paraId="3C1C882D">
                  <w:pPr>
                    <w:adjustRightInd w:val="0"/>
                    <w:snapToGrid w:val="0"/>
                    <w:spacing w:line="240" w:lineRule="auto"/>
                    <w:ind w:firstLine="0" w:firstLineChars="0"/>
                    <w:jc w:val="center"/>
                    <w:rPr>
                      <w:color w:val="auto"/>
                      <w:sz w:val="21"/>
                      <w:szCs w:val="21"/>
                    </w:rPr>
                  </w:pPr>
                  <w:r>
                    <w:rPr>
                      <w:color w:val="auto"/>
                      <w:sz w:val="21"/>
                      <w:szCs w:val="21"/>
                    </w:rPr>
                    <w:t>CA，%&lt;10  CN，%&gt;40</w:t>
                  </w:r>
                </w:p>
              </w:tc>
            </w:tr>
            <w:tr w14:paraId="454B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pct"/>
                  <w:gridSpan w:val="2"/>
                  <w:tcBorders>
                    <w:tl2br w:val="nil"/>
                    <w:tr2bl w:val="nil"/>
                  </w:tcBorders>
                  <w:vAlign w:val="center"/>
                </w:tcPr>
                <w:p w14:paraId="11D3A2AB">
                  <w:pPr>
                    <w:widowControl/>
                    <w:adjustRightInd w:val="0"/>
                    <w:snapToGrid w:val="0"/>
                    <w:spacing w:line="240" w:lineRule="auto"/>
                    <w:ind w:firstLine="0" w:firstLineChars="0"/>
                    <w:jc w:val="center"/>
                    <w:rPr>
                      <w:b/>
                      <w:bCs/>
                      <w:color w:val="auto"/>
                      <w:kern w:val="0"/>
                      <w:sz w:val="21"/>
                      <w:szCs w:val="21"/>
                    </w:rPr>
                  </w:pPr>
                  <w:r>
                    <w:rPr>
                      <w:color w:val="auto"/>
                      <w:sz w:val="21"/>
                      <w:szCs w:val="21"/>
                    </w:rPr>
                    <w:t>PCA含量DMSO</w:t>
                  </w:r>
                </w:p>
              </w:tc>
              <w:tc>
                <w:tcPr>
                  <w:tcW w:w="3830" w:type="pct"/>
                  <w:gridSpan w:val="3"/>
                  <w:tcBorders>
                    <w:tl2br w:val="nil"/>
                    <w:tr2bl w:val="nil"/>
                  </w:tcBorders>
                  <w:vAlign w:val="center"/>
                </w:tcPr>
                <w:p w14:paraId="7F14353C">
                  <w:pPr>
                    <w:adjustRightInd w:val="0"/>
                    <w:snapToGrid w:val="0"/>
                    <w:spacing w:line="240" w:lineRule="auto"/>
                    <w:ind w:firstLine="0" w:firstLineChars="0"/>
                    <w:jc w:val="center"/>
                    <w:rPr>
                      <w:color w:val="auto"/>
                      <w:sz w:val="21"/>
                      <w:szCs w:val="21"/>
                    </w:rPr>
                  </w:pPr>
                  <w:r>
                    <w:rPr>
                      <w:color w:val="auto"/>
                      <w:sz w:val="21"/>
                      <w:szCs w:val="21"/>
                    </w:rPr>
                    <w:t>&lt;3%</w:t>
                  </w:r>
                </w:p>
              </w:tc>
            </w:tr>
            <w:tr w14:paraId="79DB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0" w:type="pct"/>
                  <w:gridSpan w:val="2"/>
                  <w:tcBorders>
                    <w:tl2br w:val="nil"/>
                    <w:tr2bl w:val="nil"/>
                  </w:tcBorders>
                  <w:vAlign w:val="center"/>
                </w:tcPr>
                <w:p w14:paraId="748B7FD9">
                  <w:pPr>
                    <w:widowControl/>
                    <w:adjustRightInd w:val="0"/>
                    <w:snapToGrid w:val="0"/>
                    <w:spacing w:line="240" w:lineRule="auto"/>
                    <w:ind w:firstLine="0" w:firstLineChars="0"/>
                    <w:jc w:val="center"/>
                    <w:rPr>
                      <w:b/>
                      <w:bCs/>
                      <w:color w:val="auto"/>
                      <w:kern w:val="0"/>
                      <w:sz w:val="21"/>
                      <w:szCs w:val="21"/>
                    </w:rPr>
                  </w:pPr>
                  <w:r>
                    <w:rPr>
                      <w:color w:val="auto"/>
                      <w:sz w:val="21"/>
                      <w:szCs w:val="21"/>
                    </w:rPr>
                    <w:t>有害物成分</w:t>
                  </w:r>
                </w:p>
              </w:tc>
              <w:tc>
                <w:tcPr>
                  <w:tcW w:w="3830" w:type="pct"/>
                  <w:gridSpan w:val="3"/>
                  <w:tcBorders>
                    <w:tl2br w:val="nil"/>
                    <w:tr2bl w:val="nil"/>
                  </w:tcBorders>
                  <w:vAlign w:val="center"/>
                </w:tcPr>
                <w:p w14:paraId="26B49C46">
                  <w:pPr>
                    <w:adjustRightInd w:val="0"/>
                    <w:snapToGrid w:val="0"/>
                    <w:spacing w:line="240" w:lineRule="auto"/>
                    <w:ind w:firstLine="0" w:firstLineChars="0"/>
                    <w:jc w:val="center"/>
                    <w:rPr>
                      <w:color w:val="auto"/>
                      <w:sz w:val="21"/>
                      <w:szCs w:val="21"/>
                    </w:rPr>
                  </w:pPr>
                  <w:r>
                    <w:rPr>
                      <w:color w:val="auto"/>
                      <w:sz w:val="21"/>
                      <w:szCs w:val="21"/>
                    </w:rPr>
                    <w:t>烷烃、环烷族饱和烃、芳香族不饱和烃等组成的化合物</w:t>
                  </w:r>
                </w:p>
              </w:tc>
            </w:tr>
            <w:tr w14:paraId="6037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restart"/>
                  <w:tcBorders>
                    <w:tl2br w:val="nil"/>
                    <w:tr2bl w:val="nil"/>
                  </w:tcBorders>
                  <w:vAlign w:val="center"/>
                </w:tcPr>
                <w:p w14:paraId="0448EFDA">
                  <w:pPr>
                    <w:widowControl/>
                    <w:adjustRightInd w:val="0"/>
                    <w:snapToGrid w:val="0"/>
                    <w:spacing w:line="240" w:lineRule="auto"/>
                    <w:ind w:firstLine="0" w:firstLineChars="0"/>
                    <w:jc w:val="center"/>
                    <w:rPr>
                      <w:b/>
                      <w:bCs/>
                      <w:color w:val="auto"/>
                      <w:kern w:val="0"/>
                      <w:sz w:val="21"/>
                      <w:szCs w:val="21"/>
                    </w:rPr>
                  </w:pPr>
                  <w:r>
                    <w:rPr>
                      <w:color w:val="auto"/>
                      <w:sz w:val="21"/>
                      <w:szCs w:val="21"/>
                    </w:rPr>
                    <w:t>危险性概述</w:t>
                  </w:r>
                </w:p>
              </w:tc>
              <w:tc>
                <w:tcPr>
                  <w:tcW w:w="750" w:type="pct"/>
                  <w:tcBorders>
                    <w:tl2br w:val="nil"/>
                    <w:tr2bl w:val="nil"/>
                  </w:tcBorders>
                  <w:vAlign w:val="center"/>
                </w:tcPr>
                <w:p w14:paraId="7D262FDF">
                  <w:pPr>
                    <w:adjustRightInd w:val="0"/>
                    <w:snapToGrid w:val="0"/>
                    <w:spacing w:line="240" w:lineRule="auto"/>
                    <w:ind w:firstLine="0" w:firstLineChars="0"/>
                    <w:jc w:val="center"/>
                    <w:rPr>
                      <w:b/>
                      <w:bCs/>
                      <w:color w:val="auto"/>
                      <w:kern w:val="0"/>
                      <w:sz w:val="21"/>
                      <w:szCs w:val="21"/>
                    </w:rPr>
                  </w:pPr>
                  <w:r>
                    <w:rPr>
                      <w:color w:val="auto"/>
                      <w:sz w:val="21"/>
                      <w:szCs w:val="21"/>
                    </w:rPr>
                    <w:t>物理和化学危险</w:t>
                  </w:r>
                </w:p>
              </w:tc>
              <w:tc>
                <w:tcPr>
                  <w:tcW w:w="3830" w:type="pct"/>
                  <w:gridSpan w:val="3"/>
                  <w:tcBorders>
                    <w:tl2br w:val="nil"/>
                    <w:tr2bl w:val="nil"/>
                  </w:tcBorders>
                  <w:vAlign w:val="center"/>
                </w:tcPr>
                <w:p w14:paraId="3D076843">
                  <w:pPr>
                    <w:adjustRightInd w:val="0"/>
                    <w:snapToGrid w:val="0"/>
                    <w:spacing w:line="240" w:lineRule="auto"/>
                    <w:ind w:firstLine="0" w:firstLineChars="0"/>
                    <w:rPr>
                      <w:color w:val="auto"/>
                      <w:sz w:val="21"/>
                      <w:szCs w:val="21"/>
                    </w:rPr>
                  </w:pPr>
                  <w:r>
                    <w:rPr>
                      <w:color w:val="auto"/>
                      <w:sz w:val="21"/>
                      <w:szCs w:val="21"/>
                    </w:rPr>
                    <w:t>温度升高超过物理性质的指标时，会释放出可燃的蒸气和分解产物。</w:t>
                  </w:r>
                </w:p>
              </w:tc>
            </w:tr>
            <w:tr w14:paraId="4E95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505CCED5">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1377B30C">
                  <w:pPr>
                    <w:adjustRightInd w:val="0"/>
                    <w:snapToGrid w:val="0"/>
                    <w:spacing w:line="240" w:lineRule="auto"/>
                    <w:ind w:firstLine="0" w:firstLineChars="0"/>
                    <w:jc w:val="center"/>
                    <w:rPr>
                      <w:color w:val="auto"/>
                      <w:sz w:val="21"/>
                      <w:szCs w:val="21"/>
                    </w:rPr>
                  </w:pPr>
                  <w:r>
                    <w:rPr>
                      <w:color w:val="auto"/>
                      <w:sz w:val="21"/>
                      <w:szCs w:val="21"/>
                    </w:rPr>
                    <w:t>人类健康</w:t>
                  </w:r>
                </w:p>
              </w:tc>
              <w:tc>
                <w:tcPr>
                  <w:tcW w:w="3830" w:type="pct"/>
                  <w:gridSpan w:val="3"/>
                  <w:tcBorders>
                    <w:tl2br w:val="nil"/>
                    <w:tr2bl w:val="nil"/>
                  </w:tcBorders>
                  <w:vAlign w:val="center"/>
                </w:tcPr>
                <w:p w14:paraId="721C9BE3">
                  <w:pPr>
                    <w:adjustRightInd w:val="0"/>
                    <w:snapToGrid w:val="0"/>
                    <w:spacing w:line="240" w:lineRule="auto"/>
                    <w:ind w:firstLine="0" w:firstLineChars="0"/>
                    <w:rPr>
                      <w:color w:val="auto"/>
                      <w:sz w:val="21"/>
                      <w:szCs w:val="21"/>
                    </w:rPr>
                  </w:pPr>
                  <w:r>
                    <w:rPr>
                      <w:color w:val="auto"/>
                      <w:sz w:val="21"/>
                      <w:szCs w:val="21"/>
                    </w:rPr>
                    <w:t>吸入蒸气或烟雾（在高温情况下才会产生）会刺激呼吸道。长期或重复皮肤接触会造成脱脂或刺激。眼睛接触可能引起刺激。</w:t>
                  </w:r>
                </w:p>
              </w:tc>
            </w:tr>
            <w:tr w14:paraId="6BC9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20" w:type="pct"/>
                  <w:vMerge w:val="continue"/>
                  <w:tcBorders>
                    <w:tl2br w:val="nil"/>
                    <w:tr2bl w:val="nil"/>
                  </w:tcBorders>
                  <w:vAlign w:val="center"/>
                </w:tcPr>
                <w:p w14:paraId="50BAA43F">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233BF6A1">
                  <w:pPr>
                    <w:adjustRightInd w:val="0"/>
                    <w:snapToGrid w:val="0"/>
                    <w:spacing w:line="240" w:lineRule="auto"/>
                    <w:ind w:firstLine="0" w:firstLineChars="0"/>
                    <w:jc w:val="center"/>
                    <w:rPr>
                      <w:color w:val="auto"/>
                      <w:sz w:val="21"/>
                      <w:szCs w:val="21"/>
                    </w:rPr>
                  </w:pPr>
                  <w:r>
                    <w:rPr>
                      <w:color w:val="auto"/>
                      <w:sz w:val="21"/>
                      <w:szCs w:val="21"/>
                    </w:rPr>
                    <w:t>环境</w:t>
                  </w:r>
                </w:p>
              </w:tc>
              <w:tc>
                <w:tcPr>
                  <w:tcW w:w="3830" w:type="pct"/>
                  <w:gridSpan w:val="3"/>
                  <w:tcBorders>
                    <w:tl2br w:val="nil"/>
                    <w:tr2bl w:val="nil"/>
                  </w:tcBorders>
                  <w:vAlign w:val="center"/>
                </w:tcPr>
                <w:p w14:paraId="4E714DFD">
                  <w:pPr>
                    <w:adjustRightInd w:val="0"/>
                    <w:snapToGrid w:val="0"/>
                    <w:spacing w:line="240" w:lineRule="auto"/>
                    <w:ind w:firstLine="0" w:firstLineChars="0"/>
                    <w:rPr>
                      <w:color w:val="auto"/>
                      <w:sz w:val="21"/>
                      <w:szCs w:val="21"/>
                    </w:rPr>
                  </w:pPr>
                  <w:r>
                    <w:rPr>
                      <w:color w:val="auto"/>
                      <w:sz w:val="21"/>
                      <w:szCs w:val="21"/>
                    </w:rPr>
                    <w:t>矿物白油缓慢生物降解，产品将在环境中保留一段时间。存在污染地面、土壤和水的风险。</w:t>
                  </w:r>
                </w:p>
              </w:tc>
            </w:tr>
            <w:tr w14:paraId="4735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33BFD5EB">
                  <w:pPr>
                    <w:widowControl/>
                    <w:adjustRightInd w:val="0"/>
                    <w:snapToGrid w:val="0"/>
                    <w:spacing w:line="240" w:lineRule="auto"/>
                    <w:ind w:firstLine="0" w:firstLineChars="0"/>
                    <w:jc w:val="center"/>
                    <w:rPr>
                      <w:color w:val="auto"/>
                      <w:sz w:val="21"/>
                      <w:szCs w:val="21"/>
                    </w:rPr>
                  </w:pPr>
                </w:p>
              </w:tc>
              <w:tc>
                <w:tcPr>
                  <w:tcW w:w="4580" w:type="pct"/>
                  <w:gridSpan w:val="4"/>
                  <w:tcBorders>
                    <w:tl2br w:val="nil"/>
                    <w:tr2bl w:val="nil"/>
                  </w:tcBorders>
                  <w:vAlign w:val="center"/>
                </w:tcPr>
                <w:p w14:paraId="617E5955">
                  <w:pPr>
                    <w:adjustRightInd w:val="0"/>
                    <w:snapToGrid w:val="0"/>
                    <w:spacing w:line="240" w:lineRule="auto"/>
                    <w:ind w:firstLine="0" w:firstLineChars="0"/>
                    <w:rPr>
                      <w:color w:val="auto"/>
                      <w:sz w:val="21"/>
                      <w:szCs w:val="21"/>
                    </w:rPr>
                  </w:pPr>
                  <w:r>
                    <w:rPr>
                      <w:color w:val="auto"/>
                      <w:sz w:val="21"/>
                      <w:szCs w:val="21"/>
                    </w:rPr>
                    <w:t>备注：在正常使用的情况下，本产品不存在不可预计的危险。</w:t>
                  </w:r>
                </w:p>
              </w:tc>
            </w:tr>
            <w:tr w14:paraId="6D60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restart"/>
                  <w:tcBorders>
                    <w:tl2br w:val="nil"/>
                    <w:tr2bl w:val="nil"/>
                  </w:tcBorders>
                  <w:vAlign w:val="center"/>
                </w:tcPr>
                <w:p w14:paraId="7D66C392">
                  <w:pPr>
                    <w:widowControl/>
                    <w:adjustRightInd w:val="0"/>
                    <w:snapToGrid w:val="0"/>
                    <w:spacing w:line="240" w:lineRule="auto"/>
                    <w:ind w:firstLine="0" w:firstLineChars="0"/>
                    <w:jc w:val="center"/>
                    <w:rPr>
                      <w:color w:val="auto"/>
                      <w:sz w:val="21"/>
                      <w:szCs w:val="21"/>
                    </w:rPr>
                  </w:pPr>
                  <w:r>
                    <w:rPr>
                      <w:color w:val="auto"/>
                      <w:sz w:val="21"/>
                      <w:szCs w:val="21"/>
                    </w:rPr>
                    <w:t>急救措施</w:t>
                  </w:r>
                </w:p>
              </w:tc>
              <w:tc>
                <w:tcPr>
                  <w:tcW w:w="750" w:type="pct"/>
                  <w:tcBorders>
                    <w:tl2br w:val="nil"/>
                    <w:tr2bl w:val="nil"/>
                  </w:tcBorders>
                  <w:vAlign w:val="center"/>
                </w:tcPr>
                <w:p w14:paraId="6A69A356">
                  <w:pPr>
                    <w:adjustRightInd w:val="0"/>
                    <w:snapToGrid w:val="0"/>
                    <w:spacing w:line="240" w:lineRule="auto"/>
                    <w:ind w:firstLine="0" w:firstLineChars="0"/>
                    <w:jc w:val="center"/>
                    <w:rPr>
                      <w:color w:val="auto"/>
                      <w:sz w:val="21"/>
                      <w:szCs w:val="21"/>
                    </w:rPr>
                  </w:pPr>
                  <w:r>
                    <w:rPr>
                      <w:color w:val="auto"/>
                      <w:sz w:val="21"/>
                      <w:szCs w:val="21"/>
                    </w:rPr>
                    <w:t>皮肤接触</w:t>
                  </w:r>
                </w:p>
              </w:tc>
              <w:tc>
                <w:tcPr>
                  <w:tcW w:w="3830" w:type="pct"/>
                  <w:gridSpan w:val="3"/>
                  <w:tcBorders>
                    <w:tl2br w:val="nil"/>
                    <w:tr2bl w:val="nil"/>
                  </w:tcBorders>
                  <w:vAlign w:val="center"/>
                </w:tcPr>
                <w:p w14:paraId="71ABF846">
                  <w:pPr>
                    <w:adjustRightInd w:val="0"/>
                    <w:snapToGrid w:val="0"/>
                    <w:spacing w:line="240" w:lineRule="auto"/>
                    <w:ind w:firstLine="0" w:firstLineChars="0"/>
                    <w:rPr>
                      <w:color w:val="auto"/>
                      <w:sz w:val="21"/>
                      <w:szCs w:val="21"/>
                    </w:rPr>
                  </w:pPr>
                  <w:r>
                    <w:rPr>
                      <w:color w:val="auto"/>
                      <w:sz w:val="21"/>
                      <w:szCs w:val="21"/>
                    </w:rPr>
                    <w:t>立即脱去被污染的衣物，擦去矿物油，并用香皂和大量水清洗。衣物未清洗前勿使用。如果发生刺激反应，请与医生联系。</w:t>
                  </w:r>
                </w:p>
              </w:tc>
            </w:tr>
            <w:tr w14:paraId="6750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2D1CDC64">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473FB32E">
                  <w:pPr>
                    <w:adjustRightInd w:val="0"/>
                    <w:snapToGrid w:val="0"/>
                    <w:spacing w:line="240" w:lineRule="auto"/>
                    <w:ind w:firstLine="0" w:firstLineChars="0"/>
                    <w:jc w:val="center"/>
                    <w:rPr>
                      <w:color w:val="auto"/>
                      <w:sz w:val="21"/>
                      <w:szCs w:val="21"/>
                    </w:rPr>
                  </w:pPr>
                  <w:r>
                    <w:rPr>
                      <w:color w:val="auto"/>
                      <w:sz w:val="21"/>
                      <w:szCs w:val="21"/>
                    </w:rPr>
                    <w:t>眼睛接触</w:t>
                  </w:r>
                </w:p>
              </w:tc>
              <w:tc>
                <w:tcPr>
                  <w:tcW w:w="3830" w:type="pct"/>
                  <w:gridSpan w:val="3"/>
                  <w:tcBorders>
                    <w:tl2br w:val="nil"/>
                    <w:tr2bl w:val="nil"/>
                  </w:tcBorders>
                  <w:vAlign w:val="center"/>
                </w:tcPr>
                <w:p w14:paraId="71C9D728">
                  <w:pPr>
                    <w:adjustRightInd w:val="0"/>
                    <w:snapToGrid w:val="0"/>
                    <w:spacing w:line="240" w:lineRule="auto"/>
                    <w:ind w:firstLine="0" w:firstLineChars="0"/>
                    <w:rPr>
                      <w:color w:val="auto"/>
                      <w:sz w:val="21"/>
                      <w:szCs w:val="21"/>
                    </w:rPr>
                  </w:pPr>
                  <w:r>
                    <w:rPr>
                      <w:color w:val="auto"/>
                      <w:sz w:val="21"/>
                      <w:szCs w:val="21"/>
                    </w:rPr>
                    <w:t>用大量的水清洗。如果发生刺激反应，请与医生联系。</w:t>
                  </w:r>
                </w:p>
              </w:tc>
            </w:tr>
            <w:tr w14:paraId="6E3D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03EFF5F7">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27BBBEE0">
                  <w:pPr>
                    <w:adjustRightInd w:val="0"/>
                    <w:snapToGrid w:val="0"/>
                    <w:spacing w:line="240" w:lineRule="auto"/>
                    <w:ind w:firstLine="0" w:firstLineChars="0"/>
                    <w:jc w:val="center"/>
                    <w:rPr>
                      <w:color w:val="auto"/>
                      <w:sz w:val="21"/>
                      <w:szCs w:val="21"/>
                    </w:rPr>
                  </w:pPr>
                  <w:r>
                    <w:rPr>
                      <w:color w:val="auto"/>
                      <w:sz w:val="21"/>
                      <w:szCs w:val="21"/>
                    </w:rPr>
                    <w:t>吸入</w:t>
                  </w:r>
                </w:p>
              </w:tc>
              <w:tc>
                <w:tcPr>
                  <w:tcW w:w="3830" w:type="pct"/>
                  <w:gridSpan w:val="3"/>
                  <w:tcBorders>
                    <w:tl2br w:val="nil"/>
                    <w:tr2bl w:val="nil"/>
                  </w:tcBorders>
                  <w:vAlign w:val="center"/>
                </w:tcPr>
                <w:p w14:paraId="68966F6A">
                  <w:pPr>
                    <w:adjustRightInd w:val="0"/>
                    <w:snapToGrid w:val="0"/>
                    <w:spacing w:line="240" w:lineRule="auto"/>
                    <w:ind w:firstLine="0" w:firstLineChars="0"/>
                    <w:rPr>
                      <w:color w:val="auto"/>
                      <w:sz w:val="21"/>
                      <w:szCs w:val="21"/>
                    </w:rPr>
                  </w:pPr>
                  <w:r>
                    <w:rPr>
                      <w:color w:val="auto"/>
                      <w:sz w:val="21"/>
                      <w:szCs w:val="21"/>
                    </w:rPr>
                    <w:t>如果吸入雾、烟或蒸气引起刺激反应，立即转移到新鲜空气处。如果呼吸困难可进行吸氧。如症状未缓解，请与医生联系。如呼吸停止应进行人工呼吸并立即送医院就诊。</w:t>
                  </w:r>
                </w:p>
              </w:tc>
            </w:tr>
            <w:tr w14:paraId="3AD9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39F81EAF">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7EBDE4E1">
                  <w:pPr>
                    <w:adjustRightInd w:val="0"/>
                    <w:snapToGrid w:val="0"/>
                    <w:spacing w:line="240" w:lineRule="auto"/>
                    <w:ind w:firstLine="0" w:firstLineChars="0"/>
                    <w:jc w:val="center"/>
                    <w:rPr>
                      <w:color w:val="auto"/>
                      <w:sz w:val="21"/>
                      <w:szCs w:val="21"/>
                    </w:rPr>
                  </w:pPr>
                  <w:r>
                    <w:rPr>
                      <w:color w:val="auto"/>
                      <w:sz w:val="21"/>
                      <w:szCs w:val="21"/>
                    </w:rPr>
                    <w:t>食入</w:t>
                  </w:r>
                </w:p>
              </w:tc>
              <w:tc>
                <w:tcPr>
                  <w:tcW w:w="3830" w:type="pct"/>
                  <w:gridSpan w:val="3"/>
                  <w:tcBorders>
                    <w:tl2br w:val="nil"/>
                    <w:tr2bl w:val="nil"/>
                  </w:tcBorders>
                  <w:vAlign w:val="center"/>
                </w:tcPr>
                <w:p w14:paraId="56028C9D">
                  <w:pPr>
                    <w:adjustRightInd w:val="0"/>
                    <w:snapToGrid w:val="0"/>
                    <w:spacing w:line="240" w:lineRule="auto"/>
                    <w:ind w:firstLine="0" w:firstLineChars="0"/>
                    <w:rPr>
                      <w:color w:val="auto"/>
                      <w:sz w:val="21"/>
                      <w:szCs w:val="21"/>
                    </w:rPr>
                  </w:pPr>
                  <w:r>
                    <w:rPr>
                      <w:color w:val="auto"/>
                      <w:sz w:val="21"/>
                      <w:szCs w:val="21"/>
                    </w:rPr>
                    <w:t>用水清洗口腔，如果吞下量较大请与医生联系，不要进行催吐。</w:t>
                  </w:r>
                </w:p>
              </w:tc>
            </w:tr>
            <w:tr w14:paraId="36E2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20" w:type="pct"/>
                  <w:vMerge w:val="restart"/>
                  <w:tcBorders>
                    <w:tl2br w:val="nil"/>
                    <w:tr2bl w:val="nil"/>
                  </w:tcBorders>
                  <w:vAlign w:val="center"/>
                </w:tcPr>
                <w:p w14:paraId="3D6E131D">
                  <w:pPr>
                    <w:adjustRightInd w:val="0"/>
                    <w:snapToGrid w:val="0"/>
                    <w:spacing w:line="240" w:lineRule="auto"/>
                    <w:ind w:firstLine="0" w:firstLineChars="0"/>
                    <w:jc w:val="center"/>
                    <w:rPr>
                      <w:color w:val="auto"/>
                      <w:sz w:val="21"/>
                      <w:szCs w:val="21"/>
                    </w:rPr>
                  </w:pPr>
                  <w:r>
                    <w:rPr>
                      <w:color w:val="auto"/>
                      <w:sz w:val="21"/>
                      <w:szCs w:val="21"/>
                    </w:rPr>
                    <w:t>消防措施</w:t>
                  </w:r>
                </w:p>
              </w:tc>
              <w:tc>
                <w:tcPr>
                  <w:tcW w:w="750" w:type="pct"/>
                  <w:tcBorders>
                    <w:tl2br w:val="nil"/>
                    <w:tr2bl w:val="nil"/>
                  </w:tcBorders>
                  <w:vAlign w:val="center"/>
                </w:tcPr>
                <w:p w14:paraId="42E01122">
                  <w:pPr>
                    <w:adjustRightInd w:val="0"/>
                    <w:snapToGrid w:val="0"/>
                    <w:spacing w:line="240" w:lineRule="auto"/>
                    <w:ind w:firstLine="0" w:firstLineChars="0"/>
                    <w:jc w:val="center"/>
                    <w:rPr>
                      <w:color w:val="auto"/>
                      <w:sz w:val="21"/>
                      <w:szCs w:val="21"/>
                    </w:rPr>
                  </w:pPr>
                  <w:r>
                    <w:rPr>
                      <w:color w:val="auto"/>
                      <w:sz w:val="21"/>
                      <w:szCs w:val="21"/>
                    </w:rPr>
                    <w:t>合适的灭火剂</w:t>
                  </w:r>
                </w:p>
              </w:tc>
              <w:tc>
                <w:tcPr>
                  <w:tcW w:w="3830" w:type="pct"/>
                  <w:gridSpan w:val="3"/>
                  <w:tcBorders>
                    <w:tl2br w:val="nil"/>
                    <w:tr2bl w:val="nil"/>
                  </w:tcBorders>
                  <w:vAlign w:val="center"/>
                </w:tcPr>
                <w:p w14:paraId="28FE17C6">
                  <w:pPr>
                    <w:adjustRightInd w:val="0"/>
                    <w:snapToGrid w:val="0"/>
                    <w:spacing w:line="240" w:lineRule="auto"/>
                    <w:ind w:firstLine="0" w:firstLineChars="0"/>
                    <w:rPr>
                      <w:color w:val="auto"/>
                      <w:sz w:val="21"/>
                      <w:szCs w:val="21"/>
                    </w:rPr>
                  </w:pPr>
                  <w:r>
                    <w:rPr>
                      <w:color w:val="auto"/>
                      <w:sz w:val="21"/>
                      <w:szCs w:val="21"/>
                    </w:rPr>
                    <w:t>使用干粉、二氧化碳或泡沫灭火剂，也可使用喷雾或水雾。</w:t>
                  </w:r>
                </w:p>
              </w:tc>
            </w:tr>
            <w:tr w14:paraId="1448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37B6442C">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66621B7B">
                  <w:pPr>
                    <w:adjustRightInd w:val="0"/>
                    <w:snapToGrid w:val="0"/>
                    <w:spacing w:line="240" w:lineRule="auto"/>
                    <w:ind w:firstLine="0" w:firstLineChars="0"/>
                    <w:jc w:val="center"/>
                    <w:rPr>
                      <w:color w:val="auto"/>
                      <w:sz w:val="21"/>
                      <w:szCs w:val="21"/>
                    </w:rPr>
                  </w:pPr>
                  <w:r>
                    <w:rPr>
                      <w:color w:val="auto"/>
                      <w:sz w:val="21"/>
                      <w:szCs w:val="21"/>
                    </w:rPr>
                    <w:t>不能使用的灭火剂</w:t>
                  </w:r>
                </w:p>
              </w:tc>
              <w:tc>
                <w:tcPr>
                  <w:tcW w:w="3830" w:type="pct"/>
                  <w:gridSpan w:val="3"/>
                  <w:tcBorders>
                    <w:tl2br w:val="nil"/>
                    <w:tr2bl w:val="nil"/>
                  </w:tcBorders>
                  <w:vAlign w:val="center"/>
                </w:tcPr>
                <w:p w14:paraId="5CC5332B">
                  <w:pPr>
                    <w:adjustRightInd w:val="0"/>
                    <w:snapToGrid w:val="0"/>
                    <w:spacing w:line="240" w:lineRule="auto"/>
                    <w:ind w:firstLine="0" w:firstLineChars="0"/>
                    <w:rPr>
                      <w:color w:val="auto"/>
                      <w:sz w:val="21"/>
                      <w:szCs w:val="21"/>
                    </w:rPr>
                  </w:pPr>
                  <w:r>
                    <w:rPr>
                      <w:color w:val="auto"/>
                      <w:sz w:val="21"/>
                      <w:szCs w:val="21"/>
                    </w:rPr>
                    <w:t>不要直接使用水流。</w:t>
                  </w:r>
                </w:p>
              </w:tc>
            </w:tr>
            <w:tr w14:paraId="5B93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20" w:type="pct"/>
                  <w:vMerge w:val="continue"/>
                  <w:tcBorders>
                    <w:tl2br w:val="nil"/>
                    <w:tr2bl w:val="nil"/>
                  </w:tcBorders>
                  <w:vAlign w:val="center"/>
                </w:tcPr>
                <w:p w14:paraId="4D6A94BD">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0CD8FC0B">
                  <w:pPr>
                    <w:adjustRightInd w:val="0"/>
                    <w:snapToGrid w:val="0"/>
                    <w:spacing w:line="240" w:lineRule="auto"/>
                    <w:ind w:firstLine="0" w:firstLineChars="0"/>
                    <w:jc w:val="center"/>
                    <w:rPr>
                      <w:color w:val="auto"/>
                      <w:sz w:val="21"/>
                      <w:szCs w:val="21"/>
                    </w:rPr>
                  </w:pPr>
                  <w:r>
                    <w:rPr>
                      <w:color w:val="auto"/>
                      <w:sz w:val="21"/>
                      <w:szCs w:val="21"/>
                    </w:rPr>
                    <w:t>消防人员防护</w:t>
                  </w:r>
                </w:p>
              </w:tc>
              <w:tc>
                <w:tcPr>
                  <w:tcW w:w="3830" w:type="pct"/>
                  <w:gridSpan w:val="3"/>
                  <w:tcBorders>
                    <w:tl2br w:val="nil"/>
                    <w:tr2bl w:val="nil"/>
                  </w:tcBorders>
                  <w:vAlign w:val="center"/>
                </w:tcPr>
                <w:p w14:paraId="7B49DC41">
                  <w:pPr>
                    <w:adjustRightInd w:val="0"/>
                    <w:snapToGrid w:val="0"/>
                    <w:spacing w:line="240" w:lineRule="auto"/>
                    <w:ind w:firstLine="0" w:firstLineChars="0"/>
                    <w:rPr>
                      <w:color w:val="auto"/>
                      <w:sz w:val="21"/>
                      <w:szCs w:val="21"/>
                    </w:rPr>
                  </w:pPr>
                  <w:r>
                    <w:rPr>
                      <w:color w:val="auto"/>
                      <w:sz w:val="21"/>
                      <w:szCs w:val="21"/>
                    </w:rPr>
                    <w:t>消防人员应穿着全身防护服，并配带正压呼吸器。</w:t>
                  </w:r>
                </w:p>
              </w:tc>
            </w:tr>
            <w:tr w14:paraId="30B2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restart"/>
                  <w:tcBorders>
                    <w:tl2br w:val="nil"/>
                    <w:tr2bl w:val="nil"/>
                  </w:tcBorders>
                  <w:vAlign w:val="center"/>
                </w:tcPr>
                <w:p w14:paraId="47B62D67">
                  <w:pPr>
                    <w:widowControl/>
                    <w:adjustRightInd w:val="0"/>
                    <w:snapToGrid w:val="0"/>
                    <w:spacing w:line="240" w:lineRule="auto"/>
                    <w:ind w:firstLine="0" w:firstLineChars="0"/>
                    <w:jc w:val="center"/>
                    <w:rPr>
                      <w:color w:val="auto"/>
                      <w:sz w:val="21"/>
                      <w:szCs w:val="21"/>
                    </w:rPr>
                  </w:pPr>
                  <w:r>
                    <w:rPr>
                      <w:color w:val="auto"/>
                      <w:sz w:val="21"/>
                      <w:szCs w:val="21"/>
                    </w:rPr>
                    <w:t>意外泄漏应急处理</w:t>
                  </w:r>
                </w:p>
              </w:tc>
              <w:tc>
                <w:tcPr>
                  <w:tcW w:w="750" w:type="pct"/>
                  <w:tcBorders>
                    <w:tl2br w:val="nil"/>
                    <w:tr2bl w:val="nil"/>
                  </w:tcBorders>
                  <w:vAlign w:val="center"/>
                </w:tcPr>
                <w:p w14:paraId="32F895E5">
                  <w:pPr>
                    <w:adjustRightInd w:val="0"/>
                    <w:snapToGrid w:val="0"/>
                    <w:spacing w:line="240" w:lineRule="auto"/>
                    <w:ind w:firstLine="0" w:firstLineChars="0"/>
                    <w:jc w:val="center"/>
                    <w:rPr>
                      <w:color w:val="auto"/>
                      <w:sz w:val="21"/>
                      <w:szCs w:val="21"/>
                    </w:rPr>
                  </w:pPr>
                  <w:r>
                    <w:rPr>
                      <w:color w:val="auto"/>
                      <w:sz w:val="21"/>
                      <w:szCs w:val="21"/>
                    </w:rPr>
                    <w:t>个人措施</w:t>
                  </w:r>
                </w:p>
              </w:tc>
              <w:tc>
                <w:tcPr>
                  <w:tcW w:w="3830" w:type="pct"/>
                  <w:gridSpan w:val="3"/>
                  <w:tcBorders>
                    <w:tl2br w:val="nil"/>
                    <w:tr2bl w:val="nil"/>
                  </w:tcBorders>
                  <w:vAlign w:val="center"/>
                </w:tcPr>
                <w:p w14:paraId="059B44FE">
                  <w:pPr>
                    <w:adjustRightInd w:val="0"/>
                    <w:snapToGrid w:val="0"/>
                    <w:spacing w:line="240" w:lineRule="auto"/>
                    <w:ind w:firstLine="0" w:firstLineChars="0"/>
                    <w:rPr>
                      <w:color w:val="auto"/>
                      <w:sz w:val="21"/>
                      <w:szCs w:val="21"/>
                    </w:rPr>
                  </w:pPr>
                  <w:r>
                    <w:rPr>
                      <w:color w:val="auto"/>
                      <w:sz w:val="21"/>
                      <w:szCs w:val="21"/>
                    </w:rPr>
                    <w:t>佩带适当的防护设备，立即熄灭火源。</w:t>
                  </w:r>
                </w:p>
              </w:tc>
            </w:tr>
            <w:tr w14:paraId="39DA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20" w:type="pct"/>
                  <w:vMerge w:val="continue"/>
                  <w:tcBorders>
                    <w:tl2br w:val="nil"/>
                    <w:tr2bl w:val="nil"/>
                  </w:tcBorders>
                  <w:vAlign w:val="center"/>
                </w:tcPr>
                <w:p w14:paraId="4802456F">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1A2E84B3">
                  <w:pPr>
                    <w:adjustRightInd w:val="0"/>
                    <w:snapToGrid w:val="0"/>
                    <w:spacing w:line="240" w:lineRule="auto"/>
                    <w:ind w:firstLine="0" w:firstLineChars="0"/>
                    <w:jc w:val="center"/>
                    <w:rPr>
                      <w:color w:val="auto"/>
                      <w:sz w:val="21"/>
                      <w:szCs w:val="21"/>
                    </w:rPr>
                  </w:pPr>
                  <w:r>
                    <w:rPr>
                      <w:color w:val="auto"/>
                      <w:sz w:val="21"/>
                      <w:szCs w:val="21"/>
                    </w:rPr>
                    <w:t>环境措施</w:t>
                  </w:r>
                </w:p>
              </w:tc>
              <w:tc>
                <w:tcPr>
                  <w:tcW w:w="3830" w:type="pct"/>
                  <w:gridSpan w:val="3"/>
                  <w:tcBorders>
                    <w:tl2br w:val="nil"/>
                    <w:tr2bl w:val="nil"/>
                  </w:tcBorders>
                  <w:vAlign w:val="center"/>
                </w:tcPr>
                <w:p w14:paraId="05A5848C">
                  <w:pPr>
                    <w:adjustRightInd w:val="0"/>
                    <w:snapToGrid w:val="0"/>
                    <w:spacing w:line="240" w:lineRule="auto"/>
                    <w:ind w:firstLine="0" w:firstLineChars="0"/>
                    <w:rPr>
                      <w:color w:val="auto"/>
                      <w:sz w:val="21"/>
                      <w:szCs w:val="21"/>
                    </w:rPr>
                  </w:pPr>
                  <w:r>
                    <w:rPr>
                      <w:color w:val="auto"/>
                      <w:sz w:val="21"/>
                      <w:szCs w:val="21"/>
                    </w:rPr>
                    <w:t>防止溢出物进入或蔓延到排水沟、水道和土壤中。与当地环境保护部门联系。</w:t>
                  </w:r>
                </w:p>
              </w:tc>
            </w:tr>
            <w:tr w14:paraId="07BA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144D6683">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7862634A">
                  <w:pPr>
                    <w:adjustRightInd w:val="0"/>
                    <w:snapToGrid w:val="0"/>
                    <w:spacing w:line="240" w:lineRule="auto"/>
                    <w:ind w:firstLine="0" w:firstLineChars="0"/>
                    <w:jc w:val="center"/>
                    <w:rPr>
                      <w:color w:val="auto"/>
                      <w:sz w:val="21"/>
                      <w:szCs w:val="21"/>
                    </w:rPr>
                  </w:pPr>
                  <w:r>
                    <w:rPr>
                      <w:color w:val="auto"/>
                      <w:sz w:val="21"/>
                      <w:szCs w:val="21"/>
                    </w:rPr>
                    <w:t>清洁方法</w:t>
                  </w:r>
                </w:p>
              </w:tc>
              <w:tc>
                <w:tcPr>
                  <w:tcW w:w="3830" w:type="pct"/>
                  <w:gridSpan w:val="3"/>
                  <w:tcBorders>
                    <w:tl2br w:val="nil"/>
                    <w:tr2bl w:val="nil"/>
                  </w:tcBorders>
                  <w:vAlign w:val="center"/>
                </w:tcPr>
                <w:p w14:paraId="7187F475">
                  <w:pPr>
                    <w:adjustRightInd w:val="0"/>
                    <w:snapToGrid w:val="0"/>
                    <w:spacing w:line="240" w:lineRule="auto"/>
                    <w:ind w:firstLine="0" w:firstLineChars="0"/>
                    <w:rPr>
                      <w:color w:val="auto"/>
                      <w:sz w:val="21"/>
                      <w:szCs w:val="21"/>
                    </w:rPr>
                  </w:pPr>
                  <w:r>
                    <w:rPr>
                      <w:color w:val="auto"/>
                      <w:sz w:val="21"/>
                      <w:szCs w:val="21"/>
                    </w:rPr>
                    <w:t>如果无危险，应尽快停止泄漏。少量泄漏使，用粘土、沙、土或其它合适的材料吸收。大量泄漏时，用泵将泄漏的油泵入合适的容器中，然后再用上面提到的材料吸收。</w:t>
                  </w:r>
                </w:p>
              </w:tc>
            </w:tr>
            <w:tr w14:paraId="5CEC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restart"/>
                  <w:tcBorders>
                    <w:tl2br w:val="nil"/>
                    <w:tr2bl w:val="nil"/>
                  </w:tcBorders>
                  <w:vAlign w:val="center"/>
                </w:tcPr>
                <w:p w14:paraId="0A69437D">
                  <w:pPr>
                    <w:adjustRightInd w:val="0"/>
                    <w:snapToGrid w:val="0"/>
                    <w:spacing w:line="240" w:lineRule="auto"/>
                    <w:ind w:firstLine="0" w:firstLineChars="0"/>
                    <w:jc w:val="center"/>
                    <w:rPr>
                      <w:color w:val="auto"/>
                      <w:sz w:val="21"/>
                      <w:szCs w:val="21"/>
                    </w:rPr>
                  </w:pPr>
                  <w:r>
                    <w:rPr>
                      <w:color w:val="auto"/>
                      <w:sz w:val="21"/>
                      <w:szCs w:val="21"/>
                    </w:rPr>
                    <w:t>操作处置与储存</w:t>
                  </w:r>
                </w:p>
              </w:tc>
              <w:tc>
                <w:tcPr>
                  <w:tcW w:w="750" w:type="pct"/>
                  <w:tcBorders>
                    <w:tl2br w:val="nil"/>
                    <w:tr2bl w:val="nil"/>
                  </w:tcBorders>
                  <w:vAlign w:val="center"/>
                </w:tcPr>
                <w:p w14:paraId="034ED673">
                  <w:pPr>
                    <w:adjustRightInd w:val="0"/>
                    <w:snapToGrid w:val="0"/>
                    <w:spacing w:line="240" w:lineRule="auto"/>
                    <w:ind w:firstLine="0" w:firstLineChars="0"/>
                    <w:jc w:val="center"/>
                    <w:rPr>
                      <w:color w:val="auto"/>
                      <w:sz w:val="21"/>
                      <w:szCs w:val="21"/>
                    </w:rPr>
                  </w:pPr>
                  <w:r>
                    <w:rPr>
                      <w:color w:val="auto"/>
                      <w:sz w:val="21"/>
                      <w:szCs w:val="21"/>
                    </w:rPr>
                    <w:t>处理</w:t>
                  </w:r>
                </w:p>
              </w:tc>
              <w:tc>
                <w:tcPr>
                  <w:tcW w:w="3830" w:type="pct"/>
                  <w:gridSpan w:val="3"/>
                  <w:tcBorders>
                    <w:tl2br w:val="nil"/>
                    <w:tr2bl w:val="nil"/>
                  </w:tcBorders>
                  <w:vAlign w:val="center"/>
                </w:tcPr>
                <w:p w14:paraId="0285AA8F">
                  <w:pPr>
                    <w:adjustRightInd w:val="0"/>
                    <w:snapToGrid w:val="0"/>
                    <w:spacing w:line="240" w:lineRule="auto"/>
                    <w:ind w:firstLine="0" w:firstLineChars="0"/>
                    <w:rPr>
                      <w:color w:val="auto"/>
                      <w:sz w:val="21"/>
                      <w:szCs w:val="21"/>
                    </w:rPr>
                  </w:pPr>
                  <w:r>
                    <w:rPr>
                      <w:color w:val="auto"/>
                      <w:sz w:val="21"/>
                      <w:szCs w:val="21"/>
                    </w:rPr>
                    <w:t>避免热、明火和强氧化剂。所有处理设备要进行接地，以防电火花。如果处于高温下或高速运动的机械设备中，可能会释放出蒸气或雾，因此需要良好的通风，使用防爆通风设备。</w:t>
                  </w:r>
                </w:p>
              </w:tc>
            </w:tr>
            <w:tr w14:paraId="6AC7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20" w:type="pct"/>
                  <w:vMerge w:val="continue"/>
                  <w:tcBorders>
                    <w:tl2br w:val="nil"/>
                    <w:tr2bl w:val="nil"/>
                  </w:tcBorders>
                  <w:vAlign w:val="center"/>
                </w:tcPr>
                <w:p w14:paraId="084AC4D9">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376E68DD">
                  <w:pPr>
                    <w:adjustRightInd w:val="0"/>
                    <w:snapToGrid w:val="0"/>
                    <w:spacing w:line="240" w:lineRule="auto"/>
                    <w:ind w:firstLine="0" w:firstLineChars="0"/>
                    <w:jc w:val="center"/>
                    <w:rPr>
                      <w:color w:val="auto"/>
                      <w:sz w:val="21"/>
                      <w:szCs w:val="21"/>
                    </w:rPr>
                  </w:pPr>
                  <w:r>
                    <w:rPr>
                      <w:color w:val="auto"/>
                      <w:sz w:val="21"/>
                      <w:szCs w:val="21"/>
                    </w:rPr>
                    <w:t>贮存</w:t>
                  </w:r>
                </w:p>
              </w:tc>
              <w:tc>
                <w:tcPr>
                  <w:tcW w:w="3830" w:type="pct"/>
                  <w:gridSpan w:val="3"/>
                  <w:tcBorders>
                    <w:tl2br w:val="nil"/>
                    <w:tr2bl w:val="nil"/>
                  </w:tcBorders>
                  <w:vAlign w:val="center"/>
                </w:tcPr>
                <w:p w14:paraId="21B9AA52">
                  <w:pPr>
                    <w:adjustRightInd w:val="0"/>
                    <w:snapToGrid w:val="0"/>
                    <w:spacing w:line="240" w:lineRule="auto"/>
                    <w:ind w:firstLine="0" w:firstLineChars="0"/>
                    <w:rPr>
                      <w:color w:val="auto"/>
                      <w:sz w:val="21"/>
                      <w:szCs w:val="21"/>
                    </w:rPr>
                  </w:pPr>
                  <w:r>
                    <w:rPr>
                      <w:color w:val="auto"/>
                      <w:sz w:val="21"/>
                      <w:szCs w:val="21"/>
                    </w:rPr>
                    <w:t>贮存于干燥，凉爽环境下，通风良好处。避免强烈日光，明火和高温。</w:t>
                  </w:r>
                </w:p>
              </w:tc>
            </w:tr>
            <w:tr w14:paraId="4579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restart"/>
                  <w:tcBorders>
                    <w:tl2br w:val="nil"/>
                    <w:tr2bl w:val="nil"/>
                  </w:tcBorders>
                  <w:vAlign w:val="center"/>
                </w:tcPr>
                <w:p w14:paraId="1159A7D2">
                  <w:pPr>
                    <w:widowControl/>
                    <w:adjustRightInd w:val="0"/>
                    <w:snapToGrid w:val="0"/>
                    <w:spacing w:line="240" w:lineRule="auto"/>
                    <w:ind w:firstLine="0" w:firstLineChars="0"/>
                    <w:jc w:val="center"/>
                    <w:rPr>
                      <w:color w:val="auto"/>
                      <w:sz w:val="21"/>
                      <w:szCs w:val="21"/>
                    </w:rPr>
                  </w:pPr>
                  <w:r>
                    <w:rPr>
                      <w:color w:val="auto"/>
                      <w:sz w:val="21"/>
                      <w:szCs w:val="21"/>
                    </w:rPr>
                    <w:t>接触控制个体防护</w:t>
                  </w:r>
                </w:p>
              </w:tc>
              <w:tc>
                <w:tcPr>
                  <w:tcW w:w="750" w:type="pct"/>
                  <w:tcBorders>
                    <w:tl2br w:val="nil"/>
                    <w:tr2bl w:val="nil"/>
                  </w:tcBorders>
                  <w:vAlign w:val="center"/>
                </w:tcPr>
                <w:p w14:paraId="3787D15F">
                  <w:pPr>
                    <w:adjustRightInd w:val="0"/>
                    <w:snapToGrid w:val="0"/>
                    <w:spacing w:line="240" w:lineRule="auto"/>
                    <w:ind w:firstLine="0" w:firstLineChars="0"/>
                    <w:jc w:val="center"/>
                    <w:rPr>
                      <w:color w:val="auto"/>
                      <w:sz w:val="21"/>
                      <w:szCs w:val="21"/>
                    </w:rPr>
                  </w:pPr>
                  <w:r>
                    <w:rPr>
                      <w:color w:val="auto"/>
                      <w:sz w:val="21"/>
                      <w:szCs w:val="21"/>
                    </w:rPr>
                    <w:t>控制因素</w:t>
                  </w:r>
                </w:p>
              </w:tc>
              <w:tc>
                <w:tcPr>
                  <w:tcW w:w="3830" w:type="pct"/>
                  <w:gridSpan w:val="3"/>
                  <w:tcBorders>
                    <w:tl2br w:val="nil"/>
                    <w:tr2bl w:val="nil"/>
                  </w:tcBorders>
                  <w:vAlign w:val="center"/>
                </w:tcPr>
                <w:p w14:paraId="7077F82F">
                  <w:pPr>
                    <w:adjustRightInd w:val="0"/>
                    <w:snapToGrid w:val="0"/>
                    <w:spacing w:line="240" w:lineRule="auto"/>
                    <w:ind w:firstLine="0" w:firstLineChars="0"/>
                    <w:jc w:val="center"/>
                    <w:rPr>
                      <w:color w:val="auto"/>
                      <w:sz w:val="21"/>
                      <w:szCs w:val="21"/>
                    </w:rPr>
                  </w:pPr>
                  <w:r>
                    <w:rPr>
                      <w:color w:val="auto"/>
                      <w:sz w:val="21"/>
                      <w:szCs w:val="21"/>
                    </w:rPr>
                    <w:t>如果存在矿物油的尘雾，应进行通风。</w:t>
                  </w:r>
                </w:p>
              </w:tc>
            </w:tr>
            <w:tr w14:paraId="1FE0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51B2FEE7">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5AE9CE04">
                  <w:pPr>
                    <w:adjustRightInd w:val="0"/>
                    <w:snapToGrid w:val="0"/>
                    <w:spacing w:line="240" w:lineRule="auto"/>
                    <w:ind w:firstLine="0" w:firstLineChars="0"/>
                    <w:jc w:val="center"/>
                    <w:rPr>
                      <w:color w:val="auto"/>
                      <w:sz w:val="21"/>
                      <w:szCs w:val="21"/>
                    </w:rPr>
                  </w:pPr>
                  <w:r>
                    <w:rPr>
                      <w:color w:val="auto"/>
                      <w:sz w:val="21"/>
                      <w:szCs w:val="21"/>
                    </w:rPr>
                    <w:t>呼吸防护</w:t>
                  </w:r>
                </w:p>
              </w:tc>
              <w:tc>
                <w:tcPr>
                  <w:tcW w:w="3830" w:type="pct"/>
                  <w:gridSpan w:val="3"/>
                  <w:tcBorders>
                    <w:tl2br w:val="nil"/>
                    <w:tr2bl w:val="nil"/>
                  </w:tcBorders>
                  <w:vAlign w:val="center"/>
                </w:tcPr>
                <w:p w14:paraId="56915115">
                  <w:pPr>
                    <w:adjustRightInd w:val="0"/>
                    <w:snapToGrid w:val="0"/>
                    <w:spacing w:line="240" w:lineRule="auto"/>
                    <w:ind w:firstLine="0" w:firstLineChars="0"/>
                    <w:rPr>
                      <w:color w:val="auto"/>
                      <w:sz w:val="21"/>
                      <w:szCs w:val="21"/>
                    </w:rPr>
                  </w:pPr>
                  <w:r>
                    <w:rPr>
                      <w:color w:val="auto"/>
                      <w:sz w:val="21"/>
                      <w:szCs w:val="21"/>
                    </w:rPr>
                    <w:t>如果产品需要加热，应佩戴能防护有机物蒸气的面具或呼吸器。</w:t>
                  </w:r>
                </w:p>
              </w:tc>
            </w:tr>
            <w:tr w14:paraId="7935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03937C65">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4C17D727">
                  <w:pPr>
                    <w:adjustRightInd w:val="0"/>
                    <w:snapToGrid w:val="0"/>
                    <w:spacing w:line="240" w:lineRule="auto"/>
                    <w:ind w:firstLine="0" w:firstLineChars="0"/>
                    <w:jc w:val="center"/>
                    <w:rPr>
                      <w:color w:val="auto"/>
                      <w:sz w:val="21"/>
                      <w:szCs w:val="21"/>
                    </w:rPr>
                  </w:pPr>
                  <w:r>
                    <w:rPr>
                      <w:color w:val="auto"/>
                      <w:sz w:val="21"/>
                      <w:szCs w:val="21"/>
                    </w:rPr>
                    <w:t>手的防护</w:t>
                  </w:r>
                </w:p>
              </w:tc>
              <w:tc>
                <w:tcPr>
                  <w:tcW w:w="3830" w:type="pct"/>
                  <w:gridSpan w:val="3"/>
                  <w:tcBorders>
                    <w:tl2br w:val="nil"/>
                    <w:tr2bl w:val="nil"/>
                  </w:tcBorders>
                  <w:vAlign w:val="center"/>
                </w:tcPr>
                <w:p w14:paraId="49A5D04E">
                  <w:pPr>
                    <w:adjustRightInd w:val="0"/>
                    <w:snapToGrid w:val="0"/>
                    <w:spacing w:line="240" w:lineRule="auto"/>
                    <w:ind w:firstLine="0" w:firstLineChars="0"/>
                    <w:jc w:val="center"/>
                    <w:rPr>
                      <w:color w:val="auto"/>
                      <w:sz w:val="21"/>
                      <w:szCs w:val="21"/>
                    </w:rPr>
                  </w:pPr>
                  <w:r>
                    <w:rPr>
                      <w:color w:val="auto"/>
                      <w:sz w:val="21"/>
                      <w:szCs w:val="21"/>
                    </w:rPr>
                    <w:t>如果存在与皮肤反复接触的可能性，佩带防油手套。</w:t>
                  </w:r>
                </w:p>
              </w:tc>
            </w:tr>
            <w:tr w14:paraId="079E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03F530A3">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705795A2">
                  <w:pPr>
                    <w:adjustRightInd w:val="0"/>
                    <w:snapToGrid w:val="0"/>
                    <w:spacing w:line="240" w:lineRule="auto"/>
                    <w:ind w:firstLine="0" w:firstLineChars="0"/>
                    <w:jc w:val="center"/>
                    <w:rPr>
                      <w:color w:val="auto"/>
                      <w:sz w:val="21"/>
                      <w:szCs w:val="21"/>
                    </w:rPr>
                  </w:pPr>
                  <w:r>
                    <w:rPr>
                      <w:color w:val="auto"/>
                      <w:sz w:val="21"/>
                      <w:szCs w:val="21"/>
                    </w:rPr>
                    <w:t>眼睛防护</w:t>
                  </w:r>
                </w:p>
              </w:tc>
              <w:tc>
                <w:tcPr>
                  <w:tcW w:w="3830" w:type="pct"/>
                  <w:gridSpan w:val="3"/>
                  <w:tcBorders>
                    <w:tl2br w:val="nil"/>
                    <w:tr2bl w:val="nil"/>
                  </w:tcBorders>
                  <w:vAlign w:val="center"/>
                </w:tcPr>
                <w:p w14:paraId="6B145F6F">
                  <w:pPr>
                    <w:adjustRightInd w:val="0"/>
                    <w:snapToGrid w:val="0"/>
                    <w:spacing w:line="240" w:lineRule="auto"/>
                    <w:ind w:firstLine="0" w:firstLineChars="0"/>
                    <w:jc w:val="center"/>
                    <w:rPr>
                      <w:color w:val="auto"/>
                      <w:sz w:val="21"/>
                      <w:szCs w:val="21"/>
                    </w:rPr>
                  </w:pPr>
                  <w:r>
                    <w:rPr>
                      <w:color w:val="auto"/>
                      <w:sz w:val="21"/>
                      <w:szCs w:val="21"/>
                    </w:rPr>
                    <w:t>如果可能发生溅出，佩带护目镜。</w:t>
                  </w:r>
                </w:p>
              </w:tc>
            </w:tr>
            <w:tr w14:paraId="408A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587D0483">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4F230C6D">
                  <w:pPr>
                    <w:adjustRightInd w:val="0"/>
                    <w:snapToGrid w:val="0"/>
                    <w:spacing w:line="240" w:lineRule="auto"/>
                    <w:ind w:firstLine="0" w:firstLineChars="0"/>
                    <w:jc w:val="center"/>
                    <w:rPr>
                      <w:color w:val="auto"/>
                      <w:sz w:val="21"/>
                      <w:szCs w:val="21"/>
                    </w:rPr>
                  </w:pPr>
                  <w:r>
                    <w:rPr>
                      <w:color w:val="auto"/>
                      <w:sz w:val="21"/>
                      <w:szCs w:val="21"/>
                    </w:rPr>
                    <w:t>皮肤与身体防护</w:t>
                  </w:r>
                </w:p>
              </w:tc>
              <w:tc>
                <w:tcPr>
                  <w:tcW w:w="3830" w:type="pct"/>
                  <w:gridSpan w:val="3"/>
                  <w:tcBorders>
                    <w:tl2br w:val="nil"/>
                    <w:tr2bl w:val="nil"/>
                  </w:tcBorders>
                  <w:vAlign w:val="center"/>
                </w:tcPr>
                <w:p w14:paraId="0EA08E96">
                  <w:pPr>
                    <w:adjustRightInd w:val="0"/>
                    <w:snapToGrid w:val="0"/>
                    <w:spacing w:line="240" w:lineRule="auto"/>
                    <w:ind w:firstLine="0" w:firstLineChars="0"/>
                    <w:rPr>
                      <w:color w:val="auto"/>
                      <w:sz w:val="21"/>
                      <w:szCs w:val="21"/>
                    </w:rPr>
                  </w:pPr>
                  <w:r>
                    <w:rPr>
                      <w:color w:val="auto"/>
                      <w:sz w:val="21"/>
                      <w:szCs w:val="21"/>
                    </w:rPr>
                    <w:t>如果可能存在皮肤身体接触，穿戴防护服，经常更换或污染时更换。</w:t>
                  </w:r>
                </w:p>
              </w:tc>
            </w:tr>
            <w:tr w14:paraId="654A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28F11739">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44149D4E">
                  <w:pPr>
                    <w:adjustRightInd w:val="0"/>
                    <w:snapToGrid w:val="0"/>
                    <w:spacing w:line="240" w:lineRule="auto"/>
                    <w:ind w:firstLine="0" w:firstLineChars="0"/>
                    <w:jc w:val="center"/>
                    <w:rPr>
                      <w:color w:val="auto"/>
                      <w:sz w:val="21"/>
                      <w:szCs w:val="21"/>
                    </w:rPr>
                  </w:pPr>
                  <w:r>
                    <w:rPr>
                      <w:color w:val="auto"/>
                      <w:sz w:val="21"/>
                      <w:szCs w:val="21"/>
                    </w:rPr>
                    <w:t>卫生措施</w:t>
                  </w:r>
                </w:p>
              </w:tc>
              <w:tc>
                <w:tcPr>
                  <w:tcW w:w="3830" w:type="pct"/>
                  <w:gridSpan w:val="3"/>
                  <w:tcBorders>
                    <w:tl2br w:val="nil"/>
                    <w:tr2bl w:val="nil"/>
                  </w:tcBorders>
                  <w:vAlign w:val="center"/>
                </w:tcPr>
                <w:p w14:paraId="65E38AA2">
                  <w:pPr>
                    <w:adjustRightInd w:val="0"/>
                    <w:snapToGrid w:val="0"/>
                    <w:spacing w:line="240" w:lineRule="auto"/>
                    <w:ind w:firstLine="0" w:firstLineChars="0"/>
                    <w:rPr>
                      <w:color w:val="auto"/>
                      <w:sz w:val="21"/>
                      <w:szCs w:val="21"/>
                    </w:rPr>
                  </w:pPr>
                  <w:r>
                    <w:rPr>
                      <w:color w:val="auto"/>
                      <w:sz w:val="21"/>
                      <w:szCs w:val="21"/>
                    </w:rPr>
                    <w:t>在吃饭、喝水、吸烟，使用化妆品和上厕所前用肥皂和水洗手。受污染的衣物在重新使用前要清洗。</w:t>
                  </w:r>
                </w:p>
              </w:tc>
            </w:tr>
            <w:tr w14:paraId="5523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restart"/>
                  <w:tcBorders>
                    <w:tl2br w:val="nil"/>
                    <w:tr2bl w:val="nil"/>
                  </w:tcBorders>
                  <w:vAlign w:val="center"/>
                </w:tcPr>
                <w:p w14:paraId="6D632CAB">
                  <w:pPr>
                    <w:widowControl/>
                    <w:adjustRightInd w:val="0"/>
                    <w:snapToGrid w:val="0"/>
                    <w:spacing w:line="240" w:lineRule="auto"/>
                    <w:ind w:firstLine="0" w:firstLineChars="0"/>
                    <w:jc w:val="center"/>
                    <w:rPr>
                      <w:color w:val="auto"/>
                      <w:sz w:val="21"/>
                      <w:szCs w:val="21"/>
                    </w:rPr>
                  </w:pPr>
                  <w:r>
                    <w:rPr>
                      <w:color w:val="auto"/>
                      <w:sz w:val="21"/>
                      <w:szCs w:val="21"/>
                    </w:rPr>
                    <w:t>稳定性和反应活性</w:t>
                  </w:r>
                </w:p>
              </w:tc>
              <w:tc>
                <w:tcPr>
                  <w:tcW w:w="750" w:type="pct"/>
                  <w:tcBorders>
                    <w:tl2br w:val="nil"/>
                    <w:tr2bl w:val="nil"/>
                  </w:tcBorders>
                  <w:vAlign w:val="center"/>
                </w:tcPr>
                <w:p w14:paraId="10B58C5E">
                  <w:pPr>
                    <w:adjustRightInd w:val="0"/>
                    <w:snapToGrid w:val="0"/>
                    <w:spacing w:line="240" w:lineRule="auto"/>
                    <w:ind w:firstLine="0" w:firstLineChars="0"/>
                    <w:jc w:val="center"/>
                    <w:rPr>
                      <w:color w:val="auto"/>
                      <w:sz w:val="21"/>
                      <w:szCs w:val="21"/>
                    </w:rPr>
                  </w:pPr>
                  <w:r>
                    <w:rPr>
                      <w:color w:val="auto"/>
                      <w:sz w:val="21"/>
                      <w:szCs w:val="21"/>
                    </w:rPr>
                    <w:t>稳定性</w:t>
                  </w:r>
                </w:p>
              </w:tc>
              <w:tc>
                <w:tcPr>
                  <w:tcW w:w="1452" w:type="pct"/>
                  <w:tcBorders>
                    <w:tl2br w:val="nil"/>
                    <w:tr2bl w:val="nil"/>
                  </w:tcBorders>
                  <w:vAlign w:val="center"/>
                </w:tcPr>
                <w:p w14:paraId="1FD6A986">
                  <w:pPr>
                    <w:adjustRightInd w:val="0"/>
                    <w:snapToGrid w:val="0"/>
                    <w:spacing w:line="240" w:lineRule="auto"/>
                    <w:ind w:firstLine="0" w:firstLineChars="0"/>
                    <w:jc w:val="center"/>
                    <w:rPr>
                      <w:color w:val="auto"/>
                      <w:sz w:val="21"/>
                      <w:szCs w:val="21"/>
                    </w:rPr>
                  </w:pPr>
                  <w:r>
                    <w:rPr>
                      <w:color w:val="auto"/>
                      <w:sz w:val="21"/>
                      <w:szCs w:val="21"/>
                    </w:rPr>
                    <w:t>在通常环境下稳定。</w:t>
                  </w:r>
                </w:p>
              </w:tc>
              <w:tc>
                <w:tcPr>
                  <w:tcW w:w="1571" w:type="pct"/>
                  <w:tcBorders>
                    <w:tl2br w:val="nil"/>
                    <w:tr2bl w:val="nil"/>
                  </w:tcBorders>
                  <w:vAlign w:val="center"/>
                </w:tcPr>
                <w:p w14:paraId="09323613">
                  <w:pPr>
                    <w:adjustRightInd w:val="0"/>
                    <w:snapToGrid w:val="0"/>
                    <w:spacing w:line="240" w:lineRule="auto"/>
                    <w:ind w:firstLine="0" w:firstLineChars="0"/>
                    <w:jc w:val="center"/>
                    <w:rPr>
                      <w:color w:val="auto"/>
                      <w:sz w:val="21"/>
                      <w:szCs w:val="21"/>
                    </w:rPr>
                  </w:pPr>
                  <w:r>
                    <w:rPr>
                      <w:color w:val="auto"/>
                      <w:sz w:val="21"/>
                      <w:szCs w:val="21"/>
                    </w:rPr>
                    <w:t>避免接触的条件</w:t>
                  </w:r>
                </w:p>
              </w:tc>
              <w:tc>
                <w:tcPr>
                  <w:tcW w:w="808" w:type="pct"/>
                  <w:tcBorders>
                    <w:tl2br w:val="nil"/>
                    <w:tr2bl w:val="nil"/>
                  </w:tcBorders>
                  <w:vAlign w:val="center"/>
                </w:tcPr>
                <w:p w14:paraId="665139D0">
                  <w:pPr>
                    <w:adjustRightInd w:val="0"/>
                    <w:snapToGrid w:val="0"/>
                    <w:spacing w:line="240" w:lineRule="auto"/>
                    <w:ind w:firstLine="0" w:firstLineChars="0"/>
                    <w:jc w:val="center"/>
                    <w:rPr>
                      <w:color w:val="auto"/>
                      <w:sz w:val="21"/>
                      <w:szCs w:val="21"/>
                    </w:rPr>
                  </w:pPr>
                  <w:r>
                    <w:rPr>
                      <w:color w:val="auto"/>
                      <w:sz w:val="21"/>
                      <w:szCs w:val="21"/>
                    </w:rPr>
                    <w:t>过热</w:t>
                  </w:r>
                </w:p>
              </w:tc>
            </w:tr>
            <w:tr w14:paraId="62D7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57E0A582">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603A6143">
                  <w:pPr>
                    <w:adjustRightInd w:val="0"/>
                    <w:snapToGrid w:val="0"/>
                    <w:spacing w:line="240" w:lineRule="auto"/>
                    <w:ind w:firstLine="0" w:firstLineChars="0"/>
                    <w:jc w:val="center"/>
                    <w:rPr>
                      <w:color w:val="auto"/>
                      <w:sz w:val="21"/>
                      <w:szCs w:val="21"/>
                    </w:rPr>
                  </w:pPr>
                  <w:r>
                    <w:rPr>
                      <w:color w:val="auto"/>
                      <w:sz w:val="21"/>
                      <w:szCs w:val="21"/>
                    </w:rPr>
                    <w:t>避免</w:t>
                  </w:r>
                </w:p>
              </w:tc>
              <w:tc>
                <w:tcPr>
                  <w:tcW w:w="3830" w:type="pct"/>
                  <w:gridSpan w:val="3"/>
                  <w:tcBorders>
                    <w:tl2br w:val="nil"/>
                    <w:tr2bl w:val="nil"/>
                  </w:tcBorders>
                  <w:vAlign w:val="center"/>
                </w:tcPr>
                <w:p w14:paraId="3AB23CE7">
                  <w:pPr>
                    <w:adjustRightInd w:val="0"/>
                    <w:snapToGrid w:val="0"/>
                    <w:spacing w:line="240" w:lineRule="auto"/>
                    <w:ind w:firstLine="0" w:firstLineChars="0"/>
                    <w:jc w:val="center"/>
                    <w:rPr>
                      <w:color w:val="auto"/>
                      <w:sz w:val="21"/>
                      <w:szCs w:val="21"/>
                    </w:rPr>
                  </w:pPr>
                  <w:r>
                    <w:rPr>
                      <w:color w:val="auto"/>
                      <w:sz w:val="21"/>
                      <w:szCs w:val="21"/>
                    </w:rPr>
                    <w:t>强氧化剂。</w:t>
                  </w:r>
                </w:p>
              </w:tc>
            </w:tr>
            <w:tr w14:paraId="63B8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77469B89">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6AC9BC85">
                  <w:pPr>
                    <w:adjustRightInd w:val="0"/>
                    <w:snapToGrid w:val="0"/>
                    <w:spacing w:line="240" w:lineRule="auto"/>
                    <w:ind w:firstLine="0" w:firstLineChars="0"/>
                    <w:jc w:val="center"/>
                    <w:rPr>
                      <w:color w:val="auto"/>
                      <w:sz w:val="21"/>
                      <w:szCs w:val="21"/>
                    </w:rPr>
                  </w:pPr>
                  <w:r>
                    <w:rPr>
                      <w:color w:val="auto"/>
                      <w:sz w:val="21"/>
                      <w:szCs w:val="21"/>
                    </w:rPr>
                    <w:t>分解产物</w:t>
                  </w:r>
                </w:p>
              </w:tc>
              <w:tc>
                <w:tcPr>
                  <w:tcW w:w="3830" w:type="pct"/>
                  <w:gridSpan w:val="3"/>
                  <w:tcBorders>
                    <w:tl2br w:val="nil"/>
                    <w:tr2bl w:val="nil"/>
                  </w:tcBorders>
                  <w:vAlign w:val="center"/>
                </w:tcPr>
                <w:p w14:paraId="58522DEE">
                  <w:pPr>
                    <w:adjustRightInd w:val="0"/>
                    <w:snapToGrid w:val="0"/>
                    <w:spacing w:line="240" w:lineRule="auto"/>
                    <w:ind w:firstLine="0" w:firstLineChars="0"/>
                    <w:rPr>
                      <w:color w:val="auto"/>
                      <w:sz w:val="21"/>
                      <w:szCs w:val="21"/>
                    </w:rPr>
                  </w:pPr>
                  <w:r>
                    <w:rPr>
                      <w:color w:val="auto"/>
                      <w:sz w:val="21"/>
                      <w:szCs w:val="21"/>
                    </w:rPr>
                    <w:t>热解或分解产物很大程度上取决于条件。会形成一氧化碳、二氧化碳和未知有机物。</w:t>
                  </w:r>
                </w:p>
              </w:tc>
            </w:tr>
            <w:tr w14:paraId="1360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restart"/>
                  <w:tcBorders>
                    <w:tl2br w:val="nil"/>
                    <w:tr2bl w:val="nil"/>
                  </w:tcBorders>
                  <w:vAlign w:val="center"/>
                </w:tcPr>
                <w:p w14:paraId="47A1128A">
                  <w:pPr>
                    <w:widowControl/>
                    <w:adjustRightInd w:val="0"/>
                    <w:snapToGrid w:val="0"/>
                    <w:spacing w:line="240" w:lineRule="auto"/>
                    <w:ind w:firstLine="0" w:firstLineChars="0"/>
                    <w:jc w:val="center"/>
                    <w:rPr>
                      <w:color w:val="auto"/>
                      <w:sz w:val="21"/>
                      <w:szCs w:val="21"/>
                    </w:rPr>
                  </w:pPr>
                  <w:r>
                    <w:rPr>
                      <w:color w:val="auto"/>
                      <w:sz w:val="21"/>
                      <w:szCs w:val="21"/>
                    </w:rPr>
                    <w:t>毒理学资料</w:t>
                  </w:r>
                </w:p>
              </w:tc>
              <w:tc>
                <w:tcPr>
                  <w:tcW w:w="750" w:type="pct"/>
                  <w:tcBorders>
                    <w:tl2br w:val="nil"/>
                    <w:tr2bl w:val="nil"/>
                  </w:tcBorders>
                  <w:vAlign w:val="center"/>
                </w:tcPr>
                <w:p w14:paraId="09511007">
                  <w:pPr>
                    <w:adjustRightInd w:val="0"/>
                    <w:snapToGrid w:val="0"/>
                    <w:spacing w:line="240" w:lineRule="auto"/>
                    <w:ind w:firstLine="0" w:firstLineChars="0"/>
                    <w:jc w:val="center"/>
                    <w:rPr>
                      <w:color w:val="auto"/>
                      <w:sz w:val="21"/>
                      <w:szCs w:val="21"/>
                    </w:rPr>
                  </w:pPr>
                  <w:r>
                    <w:rPr>
                      <w:color w:val="auto"/>
                      <w:sz w:val="21"/>
                      <w:szCs w:val="21"/>
                    </w:rPr>
                    <w:t>急性毒性</w:t>
                  </w:r>
                </w:p>
              </w:tc>
              <w:tc>
                <w:tcPr>
                  <w:tcW w:w="3830" w:type="pct"/>
                  <w:gridSpan w:val="3"/>
                  <w:tcBorders>
                    <w:tl2br w:val="nil"/>
                    <w:tr2bl w:val="nil"/>
                  </w:tcBorders>
                  <w:vAlign w:val="center"/>
                </w:tcPr>
                <w:p w14:paraId="05E0927F">
                  <w:pPr>
                    <w:adjustRightInd w:val="0"/>
                    <w:snapToGrid w:val="0"/>
                    <w:spacing w:line="240" w:lineRule="auto"/>
                    <w:ind w:firstLine="0" w:firstLineChars="0"/>
                    <w:rPr>
                      <w:color w:val="auto"/>
                      <w:sz w:val="21"/>
                      <w:szCs w:val="21"/>
                    </w:rPr>
                  </w:pPr>
                  <w:r>
                    <w:rPr>
                      <w:color w:val="auto"/>
                      <w:sz w:val="21"/>
                      <w:szCs w:val="21"/>
                    </w:rPr>
                    <w:t>现有研究表明LD50口服&gt;5000g/kg，可以认为急性毒性较低。</w:t>
                  </w:r>
                </w:p>
              </w:tc>
            </w:tr>
            <w:tr w14:paraId="3599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0147F832">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41094A64">
                  <w:pPr>
                    <w:adjustRightInd w:val="0"/>
                    <w:snapToGrid w:val="0"/>
                    <w:spacing w:line="240" w:lineRule="auto"/>
                    <w:ind w:firstLine="0" w:firstLineChars="0"/>
                    <w:jc w:val="center"/>
                    <w:rPr>
                      <w:color w:val="auto"/>
                      <w:sz w:val="21"/>
                      <w:szCs w:val="21"/>
                    </w:rPr>
                  </w:pPr>
                  <w:r>
                    <w:rPr>
                      <w:color w:val="auto"/>
                      <w:sz w:val="21"/>
                      <w:szCs w:val="21"/>
                    </w:rPr>
                    <w:t>吸入</w:t>
                  </w:r>
                </w:p>
              </w:tc>
              <w:tc>
                <w:tcPr>
                  <w:tcW w:w="3830" w:type="pct"/>
                  <w:gridSpan w:val="3"/>
                  <w:tcBorders>
                    <w:tl2br w:val="nil"/>
                    <w:tr2bl w:val="nil"/>
                  </w:tcBorders>
                  <w:vAlign w:val="center"/>
                </w:tcPr>
                <w:p w14:paraId="1C77A8F6">
                  <w:pPr>
                    <w:adjustRightInd w:val="0"/>
                    <w:snapToGrid w:val="0"/>
                    <w:spacing w:line="240" w:lineRule="auto"/>
                    <w:ind w:firstLine="0" w:firstLineChars="0"/>
                    <w:rPr>
                      <w:color w:val="auto"/>
                      <w:sz w:val="21"/>
                      <w:szCs w:val="21"/>
                    </w:rPr>
                  </w:pPr>
                  <w:r>
                    <w:rPr>
                      <w:color w:val="auto"/>
                      <w:sz w:val="21"/>
                      <w:szCs w:val="21"/>
                    </w:rPr>
                    <w:t>数据。但长时间和重复吸入高温下产生的蒸气或雾可能会刺激呼吸道。</w:t>
                  </w:r>
                </w:p>
              </w:tc>
            </w:tr>
            <w:tr w14:paraId="48B4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61C2BA0B">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06681C8E">
                  <w:pPr>
                    <w:adjustRightInd w:val="0"/>
                    <w:snapToGrid w:val="0"/>
                    <w:spacing w:line="240" w:lineRule="auto"/>
                    <w:ind w:firstLine="0" w:firstLineChars="0"/>
                    <w:jc w:val="center"/>
                    <w:rPr>
                      <w:color w:val="auto"/>
                      <w:sz w:val="21"/>
                      <w:szCs w:val="21"/>
                    </w:rPr>
                  </w:pPr>
                  <w:r>
                    <w:rPr>
                      <w:color w:val="auto"/>
                      <w:sz w:val="21"/>
                      <w:szCs w:val="21"/>
                    </w:rPr>
                    <w:t>食入</w:t>
                  </w:r>
                </w:p>
              </w:tc>
              <w:tc>
                <w:tcPr>
                  <w:tcW w:w="3830" w:type="pct"/>
                  <w:gridSpan w:val="3"/>
                  <w:tcBorders>
                    <w:tl2br w:val="nil"/>
                    <w:tr2bl w:val="nil"/>
                  </w:tcBorders>
                  <w:vAlign w:val="center"/>
                </w:tcPr>
                <w:p w14:paraId="631C1DEB">
                  <w:pPr>
                    <w:adjustRightInd w:val="0"/>
                    <w:snapToGrid w:val="0"/>
                    <w:spacing w:line="240" w:lineRule="auto"/>
                    <w:ind w:firstLine="0" w:firstLineChars="0"/>
                    <w:jc w:val="center"/>
                    <w:rPr>
                      <w:color w:val="auto"/>
                      <w:sz w:val="21"/>
                      <w:szCs w:val="21"/>
                    </w:rPr>
                  </w:pPr>
                  <w:r>
                    <w:rPr>
                      <w:color w:val="auto"/>
                      <w:sz w:val="21"/>
                      <w:szCs w:val="21"/>
                    </w:rPr>
                    <w:t>无数据。但可能导致恶心甚至呕吐和腹泻。</w:t>
                  </w:r>
                </w:p>
              </w:tc>
            </w:tr>
            <w:tr w14:paraId="673F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572791C6">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2410462D">
                  <w:pPr>
                    <w:adjustRightInd w:val="0"/>
                    <w:snapToGrid w:val="0"/>
                    <w:spacing w:line="240" w:lineRule="auto"/>
                    <w:ind w:firstLine="0" w:firstLineChars="0"/>
                    <w:jc w:val="center"/>
                    <w:rPr>
                      <w:color w:val="auto"/>
                      <w:sz w:val="21"/>
                      <w:szCs w:val="21"/>
                    </w:rPr>
                  </w:pPr>
                  <w:r>
                    <w:rPr>
                      <w:color w:val="auto"/>
                      <w:sz w:val="21"/>
                      <w:szCs w:val="21"/>
                    </w:rPr>
                    <w:t>眼睛接触</w:t>
                  </w:r>
                </w:p>
              </w:tc>
              <w:tc>
                <w:tcPr>
                  <w:tcW w:w="3830" w:type="pct"/>
                  <w:gridSpan w:val="3"/>
                  <w:tcBorders>
                    <w:tl2br w:val="nil"/>
                    <w:tr2bl w:val="nil"/>
                  </w:tcBorders>
                  <w:vAlign w:val="center"/>
                </w:tcPr>
                <w:p w14:paraId="1F60FFBF">
                  <w:pPr>
                    <w:adjustRightInd w:val="0"/>
                    <w:snapToGrid w:val="0"/>
                    <w:spacing w:line="240" w:lineRule="auto"/>
                    <w:ind w:firstLine="0" w:firstLineChars="0"/>
                    <w:jc w:val="center"/>
                    <w:rPr>
                      <w:color w:val="auto"/>
                      <w:sz w:val="21"/>
                      <w:szCs w:val="21"/>
                    </w:rPr>
                  </w:pPr>
                  <w:r>
                    <w:rPr>
                      <w:color w:val="auto"/>
                      <w:sz w:val="21"/>
                      <w:szCs w:val="21"/>
                    </w:rPr>
                    <w:t>无数据。但可能会引起发红和短暂疼痛。</w:t>
                  </w:r>
                </w:p>
              </w:tc>
            </w:tr>
            <w:tr w14:paraId="3CFF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1CBC45F7">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7DD4E919">
                  <w:pPr>
                    <w:adjustRightInd w:val="0"/>
                    <w:snapToGrid w:val="0"/>
                    <w:spacing w:line="240" w:lineRule="auto"/>
                    <w:ind w:firstLine="0" w:firstLineChars="0"/>
                    <w:jc w:val="center"/>
                    <w:rPr>
                      <w:color w:val="auto"/>
                      <w:sz w:val="21"/>
                      <w:szCs w:val="21"/>
                    </w:rPr>
                  </w:pPr>
                  <w:r>
                    <w:rPr>
                      <w:color w:val="auto"/>
                      <w:sz w:val="21"/>
                      <w:szCs w:val="21"/>
                    </w:rPr>
                    <w:t>致敏</w:t>
                  </w:r>
                </w:p>
              </w:tc>
              <w:tc>
                <w:tcPr>
                  <w:tcW w:w="3830" w:type="pct"/>
                  <w:gridSpan w:val="3"/>
                  <w:tcBorders>
                    <w:tl2br w:val="nil"/>
                    <w:tr2bl w:val="nil"/>
                  </w:tcBorders>
                  <w:vAlign w:val="center"/>
                </w:tcPr>
                <w:p w14:paraId="6BFF5226">
                  <w:pPr>
                    <w:adjustRightInd w:val="0"/>
                    <w:snapToGrid w:val="0"/>
                    <w:spacing w:line="240" w:lineRule="auto"/>
                    <w:ind w:firstLine="0" w:firstLineChars="0"/>
                    <w:jc w:val="center"/>
                    <w:rPr>
                      <w:color w:val="auto"/>
                      <w:sz w:val="21"/>
                      <w:szCs w:val="21"/>
                    </w:rPr>
                  </w:pPr>
                  <w:r>
                    <w:rPr>
                      <w:color w:val="auto"/>
                      <w:sz w:val="21"/>
                      <w:szCs w:val="21"/>
                    </w:rPr>
                    <w:t>研究表明无致敏迹象。</w:t>
                  </w:r>
                </w:p>
              </w:tc>
            </w:tr>
            <w:tr w14:paraId="3251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restart"/>
                  <w:tcBorders>
                    <w:tl2br w:val="nil"/>
                    <w:tr2bl w:val="nil"/>
                  </w:tcBorders>
                  <w:vAlign w:val="center"/>
                </w:tcPr>
                <w:p w14:paraId="2F4DF599">
                  <w:pPr>
                    <w:widowControl/>
                    <w:adjustRightInd w:val="0"/>
                    <w:snapToGrid w:val="0"/>
                    <w:spacing w:line="240" w:lineRule="auto"/>
                    <w:ind w:firstLine="0" w:firstLineChars="0"/>
                    <w:jc w:val="center"/>
                    <w:rPr>
                      <w:color w:val="auto"/>
                      <w:sz w:val="21"/>
                      <w:szCs w:val="21"/>
                    </w:rPr>
                  </w:pPr>
                  <w:r>
                    <w:rPr>
                      <w:color w:val="auto"/>
                      <w:sz w:val="21"/>
                      <w:szCs w:val="21"/>
                    </w:rPr>
                    <w:t>生态学资料</w:t>
                  </w:r>
                </w:p>
              </w:tc>
              <w:tc>
                <w:tcPr>
                  <w:tcW w:w="750" w:type="pct"/>
                  <w:tcBorders>
                    <w:tl2br w:val="nil"/>
                    <w:tr2bl w:val="nil"/>
                  </w:tcBorders>
                  <w:vAlign w:val="center"/>
                </w:tcPr>
                <w:p w14:paraId="5CD3B1B7">
                  <w:pPr>
                    <w:adjustRightInd w:val="0"/>
                    <w:snapToGrid w:val="0"/>
                    <w:spacing w:line="240" w:lineRule="auto"/>
                    <w:ind w:firstLine="0" w:firstLineChars="0"/>
                    <w:jc w:val="center"/>
                    <w:rPr>
                      <w:color w:val="auto"/>
                      <w:sz w:val="21"/>
                      <w:szCs w:val="21"/>
                    </w:rPr>
                  </w:pPr>
                  <w:r>
                    <w:rPr>
                      <w:color w:val="auto"/>
                      <w:sz w:val="21"/>
                      <w:szCs w:val="21"/>
                    </w:rPr>
                    <w:t>概述</w:t>
                  </w:r>
                </w:p>
              </w:tc>
              <w:tc>
                <w:tcPr>
                  <w:tcW w:w="3830" w:type="pct"/>
                  <w:gridSpan w:val="3"/>
                  <w:tcBorders>
                    <w:tl2br w:val="nil"/>
                    <w:tr2bl w:val="nil"/>
                  </w:tcBorders>
                  <w:vAlign w:val="center"/>
                </w:tcPr>
                <w:p w14:paraId="4055B018">
                  <w:pPr>
                    <w:adjustRightInd w:val="0"/>
                    <w:snapToGrid w:val="0"/>
                    <w:spacing w:line="240" w:lineRule="auto"/>
                    <w:ind w:firstLine="0" w:firstLineChars="0"/>
                    <w:rPr>
                      <w:color w:val="auto"/>
                      <w:sz w:val="21"/>
                      <w:szCs w:val="21"/>
                    </w:rPr>
                  </w:pPr>
                  <w:r>
                    <w:rPr>
                      <w:color w:val="auto"/>
                      <w:sz w:val="21"/>
                      <w:szCs w:val="21"/>
                    </w:rPr>
                    <w:t>根据OECD-203实验方法进行检测，各产品鱼类急性毒性检测结果均显示LC50&gt;100mg/L，属于低毒类物质。对环境无可预见的损害。</w:t>
                  </w:r>
                </w:p>
              </w:tc>
            </w:tr>
            <w:tr w14:paraId="51E5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74959845">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29FF7A11">
                  <w:pPr>
                    <w:adjustRightInd w:val="0"/>
                    <w:snapToGrid w:val="0"/>
                    <w:spacing w:line="240" w:lineRule="auto"/>
                    <w:ind w:firstLine="0" w:firstLineChars="0"/>
                    <w:jc w:val="center"/>
                    <w:rPr>
                      <w:color w:val="auto"/>
                      <w:sz w:val="21"/>
                      <w:szCs w:val="21"/>
                    </w:rPr>
                  </w:pPr>
                  <w:r>
                    <w:rPr>
                      <w:color w:val="auto"/>
                      <w:sz w:val="21"/>
                      <w:szCs w:val="21"/>
                    </w:rPr>
                    <w:t>迁移率</w:t>
                  </w:r>
                </w:p>
              </w:tc>
              <w:tc>
                <w:tcPr>
                  <w:tcW w:w="3830" w:type="pct"/>
                  <w:gridSpan w:val="3"/>
                  <w:tcBorders>
                    <w:tl2br w:val="nil"/>
                    <w:tr2bl w:val="nil"/>
                  </w:tcBorders>
                  <w:vAlign w:val="center"/>
                </w:tcPr>
                <w:p w14:paraId="48FAA056">
                  <w:pPr>
                    <w:adjustRightInd w:val="0"/>
                    <w:snapToGrid w:val="0"/>
                    <w:spacing w:line="240" w:lineRule="auto"/>
                    <w:ind w:firstLine="0" w:firstLineChars="0"/>
                    <w:jc w:val="center"/>
                    <w:rPr>
                      <w:color w:val="auto"/>
                      <w:sz w:val="21"/>
                      <w:szCs w:val="21"/>
                    </w:rPr>
                  </w:pPr>
                  <w:r>
                    <w:rPr>
                      <w:color w:val="auto"/>
                      <w:sz w:val="21"/>
                      <w:szCs w:val="21"/>
                    </w:rPr>
                    <w:t>低，因为不溶于水。</w:t>
                  </w:r>
                </w:p>
              </w:tc>
            </w:tr>
            <w:tr w14:paraId="4518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20" w:type="pct"/>
                  <w:vMerge w:val="continue"/>
                  <w:tcBorders>
                    <w:tl2br w:val="nil"/>
                    <w:tr2bl w:val="nil"/>
                  </w:tcBorders>
                  <w:vAlign w:val="center"/>
                </w:tcPr>
                <w:p w14:paraId="7C9B4690">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6BEEF39A">
                  <w:pPr>
                    <w:adjustRightInd w:val="0"/>
                    <w:snapToGrid w:val="0"/>
                    <w:spacing w:line="240" w:lineRule="auto"/>
                    <w:ind w:firstLine="0" w:firstLineChars="0"/>
                    <w:jc w:val="center"/>
                    <w:rPr>
                      <w:color w:val="auto"/>
                      <w:sz w:val="21"/>
                      <w:szCs w:val="21"/>
                    </w:rPr>
                  </w:pPr>
                  <w:r>
                    <w:rPr>
                      <w:color w:val="auto"/>
                      <w:sz w:val="21"/>
                      <w:szCs w:val="21"/>
                    </w:rPr>
                    <w:t>持续性/降解能力</w:t>
                  </w:r>
                </w:p>
              </w:tc>
              <w:tc>
                <w:tcPr>
                  <w:tcW w:w="3830" w:type="pct"/>
                  <w:gridSpan w:val="3"/>
                  <w:tcBorders>
                    <w:tl2br w:val="nil"/>
                    <w:tr2bl w:val="nil"/>
                  </w:tcBorders>
                  <w:vAlign w:val="center"/>
                </w:tcPr>
                <w:p w14:paraId="49044D5C">
                  <w:pPr>
                    <w:adjustRightInd w:val="0"/>
                    <w:snapToGrid w:val="0"/>
                    <w:spacing w:line="240" w:lineRule="auto"/>
                    <w:ind w:firstLine="0" w:firstLineChars="0"/>
                    <w:rPr>
                      <w:color w:val="auto"/>
                      <w:sz w:val="21"/>
                      <w:szCs w:val="21"/>
                    </w:rPr>
                  </w:pPr>
                  <w:r>
                    <w:rPr>
                      <w:color w:val="auto"/>
                      <w:sz w:val="21"/>
                      <w:szCs w:val="21"/>
                    </w:rPr>
                    <w:t>根据OECD-301D方法进行检测，各产品28天生物降解率介于10.1%~27.1%间。物质不符合可迅速生物降解的标准。</w:t>
                  </w:r>
                </w:p>
              </w:tc>
            </w:tr>
            <w:tr w14:paraId="4048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5E4BEFB2">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223777ED">
                  <w:pPr>
                    <w:adjustRightInd w:val="0"/>
                    <w:snapToGrid w:val="0"/>
                    <w:spacing w:line="240" w:lineRule="auto"/>
                    <w:ind w:firstLine="0" w:firstLineChars="0"/>
                    <w:jc w:val="center"/>
                    <w:rPr>
                      <w:color w:val="auto"/>
                      <w:sz w:val="21"/>
                      <w:szCs w:val="21"/>
                    </w:rPr>
                  </w:pPr>
                  <w:r>
                    <w:rPr>
                      <w:color w:val="auto"/>
                      <w:sz w:val="21"/>
                      <w:szCs w:val="21"/>
                    </w:rPr>
                    <w:t>生物积聚</w:t>
                  </w:r>
                </w:p>
              </w:tc>
              <w:tc>
                <w:tcPr>
                  <w:tcW w:w="3830" w:type="pct"/>
                  <w:gridSpan w:val="3"/>
                  <w:tcBorders>
                    <w:tl2br w:val="nil"/>
                    <w:tr2bl w:val="nil"/>
                  </w:tcBorders>
                  <w:vAlign w:val="center"/>
                </w:tcPr>
                <w:p w14:paraId="45008707">
                  <w:pPr>
                    <w:adjustRightInd w:val="0"/>
                    <w:snapToGrid w:val="0"/>
                    <w:spacing w:line="240" w:lineRule="auto"/>
                    <w:ind w:firstLine="0" w:firstLineChars="0"/>
                    <w:rPr>
                      <w:color w:val="auto"/>
                      <w:sz w:val="21"/>
                      <w:szCs w:val="21"/>
                    </w:rPr>
                  </w:pPr>
                  <w:r>
                    <w:rPr>
                      <w:color w:val="auto"/>
                      <w:sz w:val="21"/>
                      <w:szCs w:val="21"/>
                    </w:rPr>
                    <w:t>无数据，但烃类分子的体积降低了生物积聚的可能性。</w:t>
                  </w:r>
                </w:p>
              </w:tc>
            </w:tr>
            <w:tr w14:paraId="7AE1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restart"/>
                  <w:tcBorders>
                    <w:tl2br w:val="nil"/>
                    <w:tr2bl w:val="nil"/>
                  </w:tcBorders>
                  <w:vAlign w:val="center"/>
                </w:tcPr>
                <w:p w14:paraId="4B88F571">
                  <w:pPr>
                    <w:widowControl/>
                    <w:adjustRightInd w:val="0"/>
                    <w:snapToGrid w:val="0"/>
                    <w:spacing w:line="240" w:lineRule="auto"/>
                    <w:ind w:firstLine="0" w:firstLineChars="0"/>
                    <w:jc w:val="center"/>
                    <w:rPr>
                      <w:color w:val="auto"/>
                      <w:sz w:val="21"/>
                      <w:szCs w:val="21"/>
                    </w:rPr>
                  </w:pPr>
                  <w:r>
                    <w:rPr>
                      <w:color w:val="auto"/>
                      <w:sz w:val="21"/>
                      <w:szCs w:val="21"/>
                    </w:rPr>
                    <w:t>废弃处置</w:t>
                  </w:r>
                </w:p>
              </w:tc>
              <w:tc>
                <w:tcPr>
                  <w:tcW w:w="750" w:type="pct"/>
                  <w:tcBorders>
                    <w:tl2br w:val="nil"/>
                    <w:tr2bl w:val="nil"/>
                  </w:tcBorders>
                  <w:vAlign w:val="center"/>
                </w:tcPr>
                <w:p w14:paraId="603CD7D3">
                  <w:pPr>
                    <w:adjustRightInd w:val="0"/>
                    <w:snapToGrid w:val="0"/>
                    <w:spacing w:line="240" w:lineRule="auto"/>
                    <w:ind w:firstLine="0" w:firstLineChars="0"/>
                    <w:jc w:val="center"/>
                    <w:rPr>
                      <w:color w:val="auto"/>
                      <w:sz w:val="21"/>
                      <w:szCs w:val="21"/>
                    </w:rPr>
                  </w:pPr>
                  <w:r>
                    <w:rPr>
                      <w:color w:val="auto"/>
                      <w:sz w:val="21"/>
                      <w:szCs w:val="21"/>
                    </w:rPr>
                    <w:t>废弃物性质</w:t>
                  </w:r>
                </w:p>
              </w:tc>
              <w:tc>
                <w:tcPr>
                  <w:tcW w:w="3830" w:type="pct"/>
                  <w:gridSpan w:val="3"/>
                  <w:tcBorders>
                    <w:tl2br w:val="nil"/>
                    <w:tr2bl w:val="nil"/>
                  </w:tcBorders>
                  <w:vAlign w:val="center"/>
                </w:tcPr>
                <w:p w14:paraId="1930A973">
                  <w:pPr>
                    <w:adjustRightInd w:val="0"/>
                    <w:snapToGrid w:val="0"/>
                    <w:spacing w:line="240" w:lineRule="auto"/>
                    <w:ind w:firstLine="0" w:firstLineChars="0"/>
                    <w:jc w:val="center"/>
                    <w:rPr>
                      <w:color w:val="auto"/>
                      <w:sz w:val="21"/>
                      <w:szCs w:val="21"/>
                    </w:rPr>
                  </w:pPr>
                  <w:r>
                    <w:rPr>
                      <w:color w:val="auto"/>
                      <w:sz w:val="21"/>
                      <w:szCs w:val="21"/>
                    </w:rPr>
                    <w:t>无</w:t>
                  </w:r>
                </w:p>
              </w:tc>
            </w:tr>
            <w:tr w14:paraId="52E0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317592C5">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068C58A0">
                  <w:pPr>
                    <w:adjustRightInd w:val="0"/>
                    <w:snapToGrid w:val="0"/>
                    <w:spacing w:line="240" w:lineRule="auto"/>
                    <w:ind w:firstLine="0" w:firstLineChars="0"/>
                    <w:jc w:val="center"/>
                    <w:rPr>
                      <w:color w:val="auto"/>
                      <w:sz w:val="21"/>
                      <w:szCs w:val="21"/>
                    </w:rPr>
                  </w:pPr>
                  <w:r>
                    <w:rPr>
                      <w:color w:val="auto"/>
                      <w:sz w:val="21"/>
                      <w:szCs w:val="21"/>
                    </w:rPr>
                    <w:t>废弃处置方法</w:t>
                  </w:r>
                </w:p>
              </w:tc>
              <w:tc>
                <w:tcPr>
                  <w:tcW w:w="3830" w:type="pct"/>
                  <w:gridSpan w:val="3"/>
                  <w:tcBorders>
                    <w:tl2br w:val="nil"/>
                    <w:tr2bl w:val="nil"/>
                  </w:tcBorders>
                  <w:vAlign w:val="center"/>
                </w:tcPr>
                <w:p w14:paraId="5130A96C">
                  <w:pPr>
                    <w:adjustRightInd w:val="0"/>
                    <w:snapToGrid w:val="0"/>
                    <w:spacing w:line="240" w:lineRule="auto"/>
                    <w:ind w:firstLine="0" w:firstLineChars="0"/>
                    <w:rPr>
                      <w:color w:val="auto"/>
                      <w:sz w:val="21"/>
                      <w:szCs w:val="21"/>
                    </w:rPr>
                  </w:pPr>
                  <w:r>
                    <w:rPr>
                      <w:color w:val="auto"/>
                      <w:sz w:val="21"/>
                      <w:szCs w:val="21"/>
                    </w:rPr>
                    <w:t>一般认为，未使用的产品可以不视为有害废弃物，被污染的包 装物应视为有害废弃物，按当地法规进行处置。</w:t>
                  </w:r>
                </w:p>
              </w:tc>
            </w:tr>
            <w:tr w14:paraId="560D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0" w:type="pct"/>
                  <w:vMerge w:val="continue"/>
                  <w:tcBorders>
                    <w:tl2br w:val="nil"/>
                    <w:tr2bl w:val="nil"/>
                  </w:tcBorders>
                  <w:vAlign w:val="center"/>
                </w:tcPr>
                <w:p w14:paraId="07365D37">
                  <w:pPr>
                    <w:widowControl/>
                    <w:adjustRightInd w:val="0"/>
                    <w:snapToGrid w:val="0"/>
                    <w:spacing w:line="240" w:lineRule="auto"/>
                    <w:ind w:firstLine="0" w:firstLineChars="0"/>
                    <w:jc w:val="center"/>
                    <w:rPr>
                      <w:color w:val="auto"/>
                      <w:sz w:val="21"/>
                      <w:szCs w:val="21"/>
                    </w:rPr>
                  </w:pPr>
                </w:p>
              </w:tc>
              <w:tc>
                <w:tcPr>
                  <w:tcW w:w="750" w:type="pct"/>
                  <w:tcBorders>
                    <w:tl2br w:val="nil"/>
                    <w:tr2bl w:val="nil"/>
                  </w:tcBorders>
                  <w:vAlign w:val="center"/>
                </w:tcPr>
                <w:p w14:paraId="4BA2C1F3">
                  <w:pPr>
                    <w:adjustRightInd w:val="0"/>
                    <w:snapToGrid w:val="0"/>
                    <w:spacing w:line="240" w:lineRule="auto"/>
                    <w:ind w:firstLine="0" w:firstLineChars="0"/>
                    <w:jc w:val="center"/>
                    <w:rPr>
                      <w:color w:val="auto"/>
                      <w:sz w:val="21"/>
                      <w:szCs w:val="21"/>
                    </w:rPr>
                  </w:pPr>
                  <w:r>
                    <w:rPr>
                      <w:color w:val="auto"/>
                      <w:sz w:val="21"/>
                      <w:szCs w:val="21"/>
                    </w:rPr>
                    <w:t>废弃注意事项</w:t>
                  </w:r>
                </w:p>
              </w:tc>
              <w:tc>
                <w:tcPr>
                  <w:tcW w:w="3830" w:type="pct"/>
                  <w:gridSpan w:val="3"/>
                  <w:tcBorders>
                    <w:tl2br w:val="nil"/>
                    <w:tr2bl w:val="nil"/>
                  </w:tcBorders>
                  <w:vAlign w:val="center"/>
                </w:tcPr>
                <w:p w14:paraId="3DF75F3E">
                  <w:pPr>
                    <w:adjustRightInd w:val="0"/>
                    <w:snapToGrid w:val="0"/>
                    <w:spacing w:line="240" w:lineRule="auto"/>
                    <w:ind w:firstLine="0" w:firstLineChars="0"/>
                    <w:rPr>
                      <w:color w:val="auto"/>
                      <w:sz w:val="21"/>
                      <w:szCs w:val="21"/>
                    </w:rPr>
                  </w:pPr>
                  <w:r>
                    <w:rPr>
                      <w:color w:val="auto"/>
                      <w:sz w:val="21"/>
                      <w:szCs w:val="21"/>
                    </w:rPr>
                    <w:t>无</w:t>
                  </w:r>
                </w:p>
              </w:tc>
            </w:tr>
            <w:tr w14:paraId="1C68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70" w:type="pct"/>
                  <w:gridSpan w:val="2"/>
                  <w:tcBorders>
                    <w:tl2br w:val="nil"/>
                    <w:tr2bl w:val="nil"/>
                  </w:tcBorders>
                  <w:vAlign w:val="center"/>
                </w:tcPr>
                <w:p w14:paraId="66449C29">
                  <w:pPr>
                    <w:adjustRightInd w:val="0"/>
                    <w:snapToGrid w:val="0"/>
                    <w:spacing w:line="240" w:lineRule="auto"/>
                    <w:ind w:firstLine="0" w:firstLineChars="0"/>
                    <w:jc w:val="center"/>
                    <w:rPr>
                      <w:color w:val="auto"/>
                      <w:sz w:val="21"/>
                      <w:szCs w:val="21"/>
                    </w:rPr>
                  </w:pPr>
                  <w:r>
                    <w:rPr>
                      <w:color w:val="auto"/>
                      <w:sz w:val="21"/>
                      <w:szCs w:val="21"/>
                    </w:rPr>
                    <w:t>运输信息</w:t>
                  </w:r>
                </w:p>
              </w:tc>
              <w:tc>
                <w:tcPr>
                  <w:tcW w:w="3830" w:type="pct"/>
                  <w:gridSpan w:val="3"/>
                  <w:tcBorders>
                    <w:tl2br w:val="nil"/>
                    <w:tr2bl w:val="nil"/>
                  </w:tcBorders>
                  <w:vAlign w:val="center"/>
                </w:tcPr>
                <w:p w14:paraId="7127BC1D">
                  <w:pPr>
                    <w:adjustRightInd w:val="0"/>
                    <w:snapToGrid w:val="0"/>
                    <w:spacing w:line="240" w:lineRule="auto"/>
                    <w:ind w:firstLine="0" w:firstLineChars="0"/>
                    <w:rPr>
                      <w:color w:val="auto"/>
                      <w:sz w:val="21"/>
                      <w:szCs w:val="21"/>
                    </w:rPr>
                  </w:pPr>
                  <w:r>
                    <w:rPr>
                      <w:color w:val="auto"/>
                      <w:sz w:val="21"/>
                      <w:szCs w:val="21"/>
                    </w:rPr>
                    <w:t>根据中国和国际相应的法规，产品在陆路、铁路运输、海运和空运时不作为有危险的商品。</w:t>
                  </w:r>
                </w:p>
              </w:tc>
            </w:tr>
          </w:tbl>
          <w:p w14:paraId="751A5D44">
            <w:pPr>
              <w:pStyle w:val="4"/>
              <w:spacing w:before="48" w:after="48"/>
              <w:rPr>
                <w:color w:val="auto"/>
              </w:rPr>
            </w:pPr>
            <w:r>
              <w:rPr>
                <w:color w:val="auto"/>
              </w:rPr>
              <w:t>风险潜势初判</w:t>
            </w:r>
          </w:p>
          <w:p w14:paraId="0F78E00F">
            <w:pPr>
              <w:ind w:firstLine="480"/>
              <w:rPr>
                <w:color w:val="auto"/>
                <w:szCs w:val="21"/>
              </w:rPr>
            </w:pPr>
            <w:r>
              <w:rPr>
                <w:color w:val="auto"/>
                <w:szCs w:val="21"/>
              </w:rPr>
              <w:t>根据《建设项目环境风险评价技术导则》（HJ169-2018）附录B.1对主要化学品进行重大危险源辨识，具体情况见下表。</w:t>
            </w:r>
          </w:p>
          <w:p w14:paraId="2B3857B9">
            <w:pPr>
              <w:ind w:firstLine="0" w:firstLineChars="0"/>
              <w:jc w:val="center"/>
              <w:rPr>
                <w:b/>
                <w:color w:val="auto"/>
                <w:szCs w:val="21"/>
              </w:rPr>
            </w:pPr>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4.9</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2</w:t>
            </w:r>
            <w:r>
              <w:rPr>
                <w:b/>
                <w:bCs/>
                <w:color w:val="auto"/>
                <w:szCs w:val="24"/>
              </w:rPr>
              <w:fldChar w:fldCharType="end"/>
            </w:r>
            <w:r>
              <w:rPr>
                <w:b/>
                <w:bCs/>
                <w:color w:val="auto"/>
                <w:szCs w:val="24"/>
              </w:rPr>
              <w:t xml:space="preserve">  </w:t>
            </w:r>
            <w:r>
              <w:rPr>
                <w:b/>
                <w:color w:val="auto"/>
                <w:szCs w:val="21"/>
              </w:rPr>
              <w:t>风险因子计算表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408"/>
              <w:gridCol w:w="1312"/>
              <w:gridCol w:w="1464"/>
              <w:gridCol w:w="1813"/>
              <w:gridCol w:w="1110"/>
            </w:tblGrid>
            <w:tr w14:paraId="64D7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22" w:type="pct"/>
                  <w:tcBorders>
                    <w:tl2br w:val="nil"/>
                    <w:tr2bl w:val="nil"/>
                  </w:tcBorders>
                  <w:vAlign w:val="center"/>
                </w:tcPr>
                <w:p w14:paraId="2B8A177F">
                  <w:pPr>
                    <w:pStyle w:val="167"/>
                    <w:rPr>
                      <w:rFonts w:hAnsi="Times New Roman"/>
                      <w:b/>
                      <w:bCs/>
                      <w:color w:val="auto"/>
                      <w:sz w:val="21"/>
                      <w:szCs w:val="18"/>
                    </w:rPr>
                  </w:pPr>
                  <w:r>
                    <w:rPr>
                      <w:rFonts w:hAnsi="Times New Roman"/>
                      <w:b/>
                      <w:bCs/>
                      <w:color w:val="auto"/>
                      <w:sz w:val="21"/>
                      <w:szCs w:val="18"/>
                    </w:rPr>
                    <w:t>序号</w:t>
                  </w:r>
                </w:p>
              </w:tc>
              <w:tc>
                <w:tcPr>
                  <w:tcW w:w="907" w:type="pct"/>
                  <w:tcBorders>
                    <w:tl2br w:val="nil"/>
                    <w:tr2bl w:val="nil"/>
                  </w:tcBorders>
                  <w:vAlign w:val="center"/>
                </w:tcPr>
                <w:p w14:paraId="6BB41AF5">
                  <w:pPr>
                    <w:pStyle w:val="167"/>
                    <w:rPr>
                      <w:rFonts w:hAnsi="Times New Roman"/>
                      <w:b/>
                      <w:bCs/>
                      <w:color w:val="auto"/>
                      <w:sz w:val="21"/>
                      <w:szCs w:val="18"/>
                    </w:rPr>
                  </w:pPr>
                  <w:r>
                    <w:rPr>
                      <w:rFonts w:hAnsi="Times New Roman"/>
                      <w:b/>
                      <w:bCs/>
                      <w:color w:val="auto"/>
                      <w:sz w:val="21"/>
                      <w:szCs w:val="18"/>
                    </w:rPr>
                    <w:t>原料名称</w:t>
                  </w:r>
                </w:p>
              </w:tc>
              <w:tc>
                <w:tcPr>
                  <w:tcW w:w="845" w:type="pct"/>
                  <w:tcBorders>
                    <w:tl2br w:val="nil"/>
                    <w:tr2bl w:val="nil"/>
                  </w:tcBorders>
                  <w:vAlign w:val="center"/>
                </w:tcPr>
                <w:p w14:paraId="777B0F34">
                  <w:pPr>
                    <w:pStyle w:val="167"/>
                    <w:rPr>
                      <w:rFonts w:hAnsi="Times New Roman"/>
                      <w:b/>
                      <w:bCs/>
                      <w:color w:val="auto"/>
                      <w:sz w:val="21"/>
                      <w:szCs w:val="18"/>
                    </w:rPr>
                  </w:pPr>
                  <w:r>
                    <w:rPr>
                      <w:rFonts w:hAnsi="Times New Roman"/>
                      <w:b/>
                      <w:bCs/>
                      <w:color w:val="auto"/>
                      <w:sz w:val="21"/>
                      <w:szCs w:val="18"/>
                    </w:rPr>
                    <w:t>危险性分类</w:t>
                  </w:r>
                </w:p>
              </w:tc>
              <w:tc>
                <w:tcPr>
                  <w:tcW w:w="943" w:type="pct"/>
                  <w:tcBorders>
                    <w:tl2br w:val="nil"/>
                    <w:tr2bl w:val="nil"/>
                  </w:tcBorders>
                  <w:vAlign w:val="center"/>
                </w:tcPr>
                <w:p w14:paraId="470334CD">
                  <w:pPr>
                    <w:pStyle w:val="167"/>
                    <w:rPr>
                      <w:rFonts w:hAnsi="Times New Roman"/>
                      <w:b/>
                      <w:bCs/>
                      <w:color w:val="auto"/>
                      <w:sz w:val="21"/>
                      <w:szCs w:val="18"/>
                    </w:rPr>
                  </w:pPr>
                  <w:r>
                    <w:rPr>
                      <w:rFonts w:hAnsi="Times New Roman"/>
                      <w:b/>
                      <w:bCs/>
                      <w:color w:val="auto"/>
                      <w:sz w:val="21"/>
                      <w:szCs w:val="18"/>
                    </w:rPr>
                    <w:t>临界量（t）</w:t>
                  </w:r>
                </w:p>
              </w:tc>
              <w:tc>
                <w:tcPr>
                  <w:tcW w:w="1168" w:type="pct"/>
                  <w:tcBorders>
                    <w:tl2br w:val="nil"/>
                    <w:tr2bl w:val="nil"/>
                  </w:tcBorders>
                  <w:vAlign w:val="center"/>
                </w:tcPr>
                <w:p w14:paraId="610D8080">
                  <w:pPr>
                    <w:pStyle w:val="167"/>
                    <w:rPr>
                      <w:rFonts w:hAnsi="Times New Roman"/>
                      <w:b/>
                      <w:bCs/>
                      <w:color w:val="auto"/>
                      <w:sz w:val="21"/>
                      <w:szCs w:val="18"/>
                    </w:rPr>
                  </w:pPr>
                  <w:r>
                    <w:rPr>
                      <w:rFonts w:hAnsi="Times New Roman"/>
                      <w:b/>
                      <w:bCs/>
                      <w:color w:val="auto"/>
                      <w:sz w:val="21"/>
                      <w:szCs w:val="18"/>
                    </w:rPr>
                    <w:t>最大储存量（t）</w:t>
                  </w:r>
                </w:p>
              </w:tc>
              <w:tc>
                <w:tcPr>
                  <w:tcW w:w="715" w:type="pct"/>
                  <w:tcBorders>
                    <w:tl2br w:val="nil"/>
                    <w:tr2bl w:val="nil"/>
                  </w:tcBorders>
                  <w:vAlign w:val="center"/>
                </w:tcPr>
                <w:p w14:paraId="5E079B25">
                  <w:pPr>
                    <w:pStyle w:val="167"/>
                    <w:rPr>
                      <w:rFonts w:hAnsi="Times New Roman"/>
                      <w:b/>
                      <w:bCs/>
                      <w:color w:val="auto"/>
                      <w:sz w:val="21"/>
                      <w:szCs w:val="18"/>
                    </w:rPr>
                  </w:pPr>
                  <w:r>
                    <w:rPr>
                      <w:rFonts w:hAnsi="Times New Roman"/>
                      <w:b/>
                      <w:bCs/>
                      <w:color w:val="auto"/>
                      <w:sz w:val="21"/>
                      <w:szCs w:val="18"/>
                    </w:rPr>
                    <w:t>比值Qi</w:t>
                  </w:r>
                </w:p>
              </w:tc>
            </w:tr>
            <w:tr w14:paraId="3E25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2" w:type="pct"/>
                  <w:tcBorders>
                    <w:tl2br w:val="nil"/>
                    <w:tr2bl w:val="nil"/>
                  </w:tcBorders>
                  <w:vAlign w:val="center"/>
                </w:tcPr>
                <w:p w14:paraId="4459A6BD">
                  <w:pPr>
                    <w:pStyle w:val="167"/>
                    <w:rPr>
                      <w:rFonts w:hAnsi="Times New Roman"/>
                      <w:color w:val="auto"/>
                      <w:sz w:val="21"/>
                      <w:szCs w:val="18"/>
                    </w:rPr>
                  </w:pPr>
                  <w:r>
                    <w:rPr>
                      <w:rFonts w:hAnsi="Times New Roman"/>
                      <w:color w:val="auto"/>
                      <w:sz w:val="21"/>
                      <w:szCs w:val="18"/>
                    </w:rPr>
                    <w:t>1</w:t>
                  </w:r>
                </w:p>
              </w:tc>
              <w:tc>
                <w:tcPr>
                  <w:tcW w:w="907" w:type="pct"/>
                  <w:tcBorders>
                    <w:tl2br w:val="nil"/>
                    <w:tr2bl w:val="nil"/>
                  </w:tcBorders>
                  <w:vAlign w:val="center"/>
                </w:tcPr>
                <w:p w14:paraId="3E5E8032">
                  <w:pPr>
                    <w:pStyle w:val="167"/>
                    <w:rPr>
                      <w:rFonts w:hAnsi="Times New Roman"/>
                      <w:color w:val="auto"/>
                      <w:sz w:val="21"/>
                      <w:szCs w:val="18"/>
                    </w:rPr>
                  </w:pPr>
                  <w:r>
                    <w:rPr>
                      <w:rFonts w:hint="eastAsia" w:hAnsi="Times New Roman"/>
                      <w:color w:val="auto"/>
                      <w:sz w:val="21"/>
                      <w:szCs w:val="18"/>
                    </w:rPr>
                    <w:t>变压油</w:t>
                  </w:r>
                </w:p>
              </w:tc>
              <w:tc>
                <w:tcPr>
                  <w:tcW w:w="845" w:type="pct"/>
                  <w:tcBorders>
                    <w:tl2br w:val="nil"/>
                    <w:tr2bl w:val="nil"/>
                  </w:tcBorders>
                  <w:vAlign w:val="center"/>
                </w:tcPr>
                <w:p w14:paraId="4A68C858">
                  <w:pPr>
                    <w:pStyle w:val="167"/>
                    <w:rPr>
                      <w:rFonts w:hAnsi="Times New Roman"/>
                      <w:color w:val="auto"/>
                      <w:sz w:val="21"/>
                      <w:szCs w:val="18"/>
                    </w:rPr>
                  </w:pPr>
                  <w:r>
                    <w:rPr>
                      <w:rFonts w:hAnsi="Times New Roman"/>
                      <w:color w:val="auto"/>
                      <w:sz w:val="21"/>
                      <w:szCs w:val="18"/>
                    </w:rPr>
                    <w:t>油类物质</w:t>
                  </w:r>
                </w:p>
              </w:tc>
              <w:tc>
                <w:tcPr>
                  <w:tcW w:w="943" w:type="pct"/>
                  <w:tcBorders>
                    <w:tl2br w:val="nil"/>
                    <w:tr2bl w:val="nil"/>
                  </w:tcBorders>
                  <w:vAlign w:val="center"/>
                </w:tcPr>
                <w:p w14:paraId="30DAAB11">
                  <w:pPr>
                    <w:pStyle w:val="167"/>
                    <w:rPr>
                      <w:rFonts w:hAnsi="Times New Roman"/>
                      <w:color w:val="auto"/>
                      <w:sz w:val="21"/>
                      <w:szCs w:val="18"/>
                    </w:rPr>
                  </w:pPr>
                  <w:r>
                    <w:rPr>
                      <w:rFonts w:hAnsi="Times New Roman"/>
                      <w:color w:val="auto"/>
                      <w:sz w:val="21"/>
                      <w:szCs w:val="18"/>
                    </w:rPr>
                    <w:t>2500</w:t>
                  </w:r>
                </w:p>
              </w:tc>
              <w:tc>
                <w:tcPr>
                  <w:tcW w:w="1168" w:type="pct"/>
                  <w:tcBorders>
                    <w:tl2br w:val="nil"/>
                    <w:tr2bl w:val="nil"/>
                  </w:tcBorders>
                  <w:vAlign w:val="center"/>
                </w:tcPr>
                <w:p w14:paraId="4FE16F82">
                  <w:pPr>
                    <w:pStyle w:val="167"/>
                    <w:rPr>
                      <w:rFonts w:hAnsi="Times New Roman"/>
                      <w:color w:val="auto"/>
                      <w:sz w:val="21"/>
                      <w:szCs w:val="18"/>
                    </w:rPr>
                  </w:pPr>
                  <w:r>
                    <w:rPr>
                      <w:rFonts w:hint="eastAsia" w:hAnsi="Times New Roman"/>
                      <w:color w:val="auto"/>
                      <w:sz w:val="21"/>
                      <w:szCs w:val="18"/>
                    </w:rPr>
                    <w:t>44</w:t>
                  </w:r>
                </w:p>
              </w:tc>
              <w:tc>
                <w:tcPr>
                  <w:tcW w:w="715" w:type="pct"/>
                  <w:tcBorders>
                    <w:tl2br w:val="nil"/>
                    <w:tr2bl w:val="nil"/>
                  </w:tcBorders>
                  <w:vAlign w:val="center"/>
                </w:tcPr>
                <w:p w14:paraId="167FC13F">
                  <w:pPr>
                    <w:pStyle w:val="167"/>
                    <w:rPr>
                      <w:rFonts w:hAnsi="Times New Roman"/>
                      <w:color w:val="auto"/>
                      <w:sz w:val="21"/>
                      <w:szCs w:val="18"/>
                    </w:rPr>
                  </w:pPr>
                  <w:bookmarkStart w:id="1293" w:name="OLE_LINK29"/>
                  <w:r>
                    <w:rPr>
                      <w:rFonts w:hint="eastAsia" w:hAnsi="Times New Roman"/>
                      <w:color w:val="auto"/>
                      <w:sz w:val="21"/>
                      <w:szCs w:val="18"/>
                    </w:rPr>
                    <w:t>0.0176</w:t>
                  </w:r>
                  <w:bookmarkEnd w:id="1293"/>
                </w:p>
              </w:tc>
            </w:tr>
          </w:tbl>
          <w:p w14:paraId="353E0A7C">
            <w:pPr>
              <w:ind w:firstLine="480"/>
              <w:rPr>
                <w:color w:val="auto"/>
              </w:rPr>
            </w:pPr>
            <w:r>
              <w:rPr>
                <w:rFonts w:hint="eastAsia"/>
                <w:color w:val="auto"/>
              </w:rPr>
              <w:t>注：废变压器油为22台箱式变压器储油量。</w:t>
            </w:r>
          </w:p>
          <w:p w14:paraId="28251010">
            <w:pPr>
              <w:ind w:firstLine="480"/>
              <w:rPr>
                <w:color w:val="auto"/>
                <w:szCs w:val="21"/>
              </w:rPr>
            </w:pPr>
            <w:r>
              <w:rPr>
                <w:color w:val="auto"/>
                <w:szCs w:val="21"/>
              </w:rPr>
              <w:t>由上表可知，拟建项目</w:t>
            </w:r>
            <w:r>
              <w:rPr>
                <w:rFonts w:hint="eastAsia"/>
                <w:color w:val="auto"/>
                <w:szCs w:val="21"/>
              </w:rPr>
              <w:t>变压器油</w:t>
            </w:r>
            <w:r>
              <w:rPr>
                <w:color w:val="auto"/>
                <w:szCs w:val="21"/>
              </w:rPr>
              <w:t>Q=0.0176，根据《建设项目环境风险评价技术导则》（HJ169-2018）附录C确定，当Q&lt;1时，该项目环境风险潜势为Ⅰ。</w:t>
            </w:r>
          </w:p>
          <w:p w14:paraId="30E6078F">
            <w:pPr>
              <w:pStyle w:val="4"/>
              <w:spacing w:before="48" w:after="48"/>
              <w:rPr>
                <w:color w:val="auto"/>
              </w:rPr>
            </w:pPr>
            <w:r>
              <w:rPr>
                <w:color w:val="auto"/>
              </w:rPr>
              <w:t>评价等级</w:t>
            </w:r>
          </w:p>
          <w:p w14:paraId="03BCD950">
            <w:pPr>
              <w:ind w:firstLine="480"/>
              <w:rPr>
                <w:color w:val="auto"/>
                <w:szCs w:val="21"/>
              </w:rPr>
            </w:pPr>
            <w:r>
              <w:rPr>
                <w:color w:val="auto"/>
                <w:szCs w:val="21"/>
              </w:rPr>
              <w:t>根据《建设项目环境风险评价技术导则》（HJ169-2018）评价工作等级划分表可知，本项目潜势为Ⅰ时环境风险仅进行简单分析即可。</w:t>
            </w:r>
          </w:p>
          <w:p w14:paraId="7EE975CD">
            <w:pPr>
              <w:ind w:firstLine="0" w:firstLineChars="0"/>
              <w:jc w:val="center"/>
              <w:rPr>
                <w:b/>
                <w:color w:val="auto"/>
                <w:szCs w:val="21"/>
              </w:rPr>
            </w:pPr>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4.9</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3</w:t>
            </w:r>
            <w:r>
              <w:rPr>
                <w:b/>
                <w:bCs/>
                <w:color w:val="auto"/>
                <w:szCs w:val="24"/>
              </w:rPr>
              <w:fldChar w:fldCharType="end"/>
            </w:r>
            <w:r>
              <w:rPr>
                <w:b/>
                <w:bCs/>
                <w:color w:val="auto"/>
                <w:szCs w:val="24"/>
              </w:rPr>
              <w:t xml:space="preserve">  </w:t>
            </w:r>
            <w:r>
              <w:rPr>
                <w:b/>
                <w:color w:val="auto"/>
                <w:szCs w:val="21"/>
              </w:rPr>
              <w:t>风险评价等级划分</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1515"/>
              <w:gridCol w:w="1146"/>
              <w:gridCol w:w="1369"/>
              <w:gridCol w:w="1462"/>
            </w:tblGrid>
            <w:tr w14:paraId="2ECD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2" w:type="pct"/>
                  <w:tcBorders>
                    <w:tl2br w:val="nil"/>
                    <w:tr2bl w:val="nil"/>
                  </w:tcBorders>
                  <w:vAlign w:val="center"/>
                </w:tcPr>
                <w:p w14:paraId="5D592BF6">
                  <w:pPr>
                    <w:pStyle w:val="167"/>
                    <w:rPr>
                      <w:rFonts w:hAnsi="Times New Roman"/>
                      <w:b/>
                      <w:bCs/>
                      <w:color w:val="auto"/>
                      <w:sz w:val="21"/>
                      <w:szCs w:val="18"/>
                    </w:rPr>
                  </w:pPr>
                  <w:r>
                    <w:rPr>
                      <w:rFonts w:hAnsi="Times New Roman"/>
                      <w:b/>
                      <w:bCs/>
                      <w:color w:val="auto"/>
                      <w:sz w:val="21"/>
                      <w:szCs w:val="18"/>
                    </w:rPr>
                    <w:t>环境风险潜势</w:t>
                  </w:r>
                </w:p>
              </w:tc>
              <w:tc>
                <w:tcPr>
                  <w:tcW w:w="976" w:type="pct"/>
                  <w:tcBorders>
                    <w:tl2br w:val="nil"/>
                    <w:tr2bl w:val="nil"/>
                  </w:tcBorders>
                  <w:vAlign w:val="center"/>
                </w:tcPr>
                <w:p w14:paraId="40F86B30">
                  <w:pPr>
                    <w:pStyle w:val="167"/>
                    <w:rPr>
                      <w:rFonts w:hAnsi="Times New Roman"/>
                      <w:b/>
                      <w:bCs/>
                      <w:color w:val="auto"/>
                      <w:sz w:val="21"/>
                      <w:szCs w:val="18"/>
                    </w:rPr>
                  </w:pPr>
                  <w:r>
                    <w:rPr>
                      <w:rFonts w:hAnsi="Times New Roman"/>
                      <w:b/>
                      <w:bCs/>
                      <w:color w:val="auto"/>
                      <w:sz w:val="21"/>
                      <w:szCs w:val="18"/>
                    </w:rPr>
                    <w:t>Ⅳ、Ⅳ+</w:t>
                  </w:r>
                </w:p>
              </w:tc>
              <w:tc>
                <w:tcPr>
                  <w:tcW w:w="738" w:type="pct"/>
                  <w:tcBorders>
                    <w:tl2br w:val="nil"/>
                    <w:tr2bl w:val="nil"/>
                  </w:tcBorders>
                  <w:vAlign w:val="center"/>
                </w:tcPr>
                <w:p w14:paraId="1534DCB8">
                  <w:pPr>
                    <w:pStyle w:val="167"/>
                    <w:rPr>
                      <w:rFonts w:hAnsi="Times New Roman"/>
                      <w:b/>
                      <w:bCs/>
                      <w:color w:val="auto"/>
                      <w:sz w:val="21"/>
                      <w:szCs w:val="18"/>
                    </w:rPr>
                  </w:pPr>
                  <w:r>
                    <w:rPr>
                      <w:rFonts w:hAnsi="Times New Roman"/>
                      <w:b/>
                      <w:bCs/>
                      <w:color w:val="auto"/>
                      <w:sz w:val="21"/>
                      <w:szCs w:val="18"/>
                    </w:rPr>
                    <w:t>Ⅲ</w:t>
                  </w:r>
                </w:p>
              </w:tc>
              <w:tc>
                <w:tcPr>
                  <w:tcW w:w="882" w:type="pct"/>
                  <w:tcBorders>
                    <w:tl2br w:val="nil"/>
                    <w:tr2bl w:val="nil"/>
                  </w:tcBorders>
                  <w:vAlign w:val="center"/>
                </w:tcPr>
                <w:p w14:paraId="28042EE0">
                  <w:pPr>
                    <w:pStyle w:val="167"/>
                    <w:rPr>
                      <w:rFonts w:hAnsi="Times New Roman"/>
                      <w:b/>
                      <w:bCs/>
                      <w:color w:val="auto"/>
                      <w:sz w:val="21"/>
                      <w:szCs w:val="18"/>
                    </w:rPr>
                  </w:pPr>
                  <w:r>
                    <w:rPr>
                      <w:rFonts w:hAnsi="Times New Roman"/>
                      <w:b/>
                      <w:bCs/>
                      <w:color w:val="auto"/>
                      <w:sz w:val="21"/>
                      <w:szCs w:val="18"/>
                    </w:rPr>
                    <w:t>Ⅱ</w:t>
                  </w:r>
                </w:p>
              </w:tc>
              <w:tc>
                <w:tcPr>
                  <w:tcW w:w="942" w:type="pct"/>
                  <w:tcBorders>
                    <w:tl2br w:val="nil"/>
                    <w:tr2bl w:val="nil"/>
                  </w:tcBorders>
                  <w:vAlign w:val="center"/>
                </w:tcPr>
                <w:p w14:paraId="43870B69">
                  <w:pPr>
                    <w:pStyle w:val="167"/>
                    <w:rPr>
                      <w:rFonts w:hAnsi="Times New Roman"/>
                      <w:b/>
                      <w:bCs/>
                      <w:color w:val="auto"/>
                      <w:sz w:val="21"/>
                      <w:szCs w:val="18"/>
                    </w:rPr>
                  </w:pPr>
                  <w:r>
                    <w:rPr>
                      <w:rFonts w:hAnsi="Times New Roman"/>
                      <w:b/>
                      <w:bCs/>
                      <w:color w:val="auto"/>
                      <w:sz w:val="21"/>
                      <w:szCs w:val="18"/>
                    </w:rPr>
                    <w:t>Ⅰ</w:t>
                  </w:r>
                </w:p>
              </w:tc>
            </w:tr>
            <w:tr w14:paraId="2EF4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62" w:type="pct"/>
                  <w:tcBorders>
                    <w:tl2br w:val="nil"/>
                    <w:tr2bl w:val="nil"/>
                  </w:tcBorders>
                  <w:vAlign w:val="center"/>
                </w:tcPr>
                <w:p w14:paraId="1F71DDE0">
                  <w:pPr>
                    <w:pStyle w:val="167"/>
                    <w:rPr>
                      <w:rFonts w:hAnsi="Times New Roman"/>
                      <w:color w:val="auto"/>
                      <w:sz w:val="21"/>
                      <w:szCs w:val="18"/>
                    </w:rPr>
                  </w:pPr>
                  <w:r>
                    <w:rPr>
                      <w:rFonts w:hAnsi="Times New Roman"/>
                      <w:color w:val="auto"/>
                      <w:sz w:val="21"/>
                      <w:szCs w:val="18"/>
                    </w:rPr>
                    <w:t>评价工作等级</w:t>
                  </w:r>
                </w:p>
              </w:tc>
              <w:tc>
                <w:tcPr>
                  <w:tcW w:w="976" w:type="pct"/>
                  <w:tcBorders>
                    <w:tl2br w:val="nil"/>
                    <w:tr2bl w:val="nil"/>
                  </w:tcBorders>
                  <w:vAlign w:val="center"/>
                </w:tcPr>
                <w:p w14:paraId="6E59AEAB">
                  <w:pPr>
                    <w:pStyle w:val="167"/>
                    <w:rPr>
                      <w:rFonts w:hAnsi="Times New Roman"/>
                      <w:color w:val="auto"/>
                      <w:sz w:val="21"/>
                      <w:szCs w:val="18"/>
                    </w:rPr>
                  </w:pPr>
                  <w:r>
                    <w:rPr>
                      <w:rFonts w:hAnsi="Times New Roman"/>
                      <w:color w:val="auto"/>
                      <w:sz w:val="21"/>
                      <w:szCs w:val="18"/>
                    </w:rPr>
                    <w:t>一</w:t>
                  </w:r>
                </w:p>
              </w:tc>
              <w:tc>
                <w:tcPr>
                  <w:tcW w:w="738" w:type="pct"/>
                  <w:tcBorders>
                    <w:tl2br w:val="nil"/>
                    <w:tr2bl w:val="nil"/>
                  </w:tcBorders>
                  <w:vAlign w:val="center"/>
                </w:tcPr>
                <w:p w14:paraId="018EBD3A">
                  <w:pPr>
                    <w:pStyle w:val="167"/>
                    <w:rPr>
                      <w:rFonts w:hAnsi="Times New Roman"/>
                      <w:color w:val="auto"/>
                      <w:sz w:val="21"/>
                      <w:szCs w:val="18"/>
                    </w:rPr>
                  </w:pPr>
                  <w:r>
                    <w:rPr>
                      <w:rFonts w:hAnsi="Times New Roman"/>
                      <w:color w:val="auto"/>
                      <w:sz w:val="21"/>
                      <w:szCs w:val="18"/>
                    </w:rPr>
                    <w:t>二</w:t>
                  </w:r>
                </w:p>
              </w:tc>
              <w:tc>
                <w:tcPr>
                  <w:tcW w:w="882" w:type="pct"/>
                  <w:tcBorders>
                    <w:tl2br w:val="nil"/>
                    <w:tr2bl w:val="nil"/>
                  </w:tcBorders>
                  <w:vAlign w:val="center"/>
                </w:tcPr>
                <w:p w14:paraId="5BFE0B26">
                  <w:pPr>
                    <w:pStyle w:val="167"/>
                    <w:rPr>
                      <w:rFonts w:hAnsi="Times New Roman"/>
                      <w:color w:val="auto"/>
                      <w:sz w:val="21"/>
                      <w:szCs w:val="18"/>
                    </w:rPr>
                  </w:pPr>
                  <w:r>
                    <w:rPr>
                      <w:rFonts w:hAnsi="Times New Roman"/>
                      <w:color w:val="auto"/>
                      <w:sz w:val="21"/>
                      <w:szCs w:val="18"/>
                    </w:rPr>
                    <w:t>三</w:t>
                  </w:r>
                </w:p>
              </w:tc>
              <w:tc>
                <w:tcPr>
                  <w:tcW w:w="942" w:type="pct"/>
                  <w:tcBorders>
                    <w:tl2br w:val="nil"/>
                    <w:tr2bl w:val="nil"/>
                  </w:tcBorders>
                  <w:vAlign w:val="center"/>
                </w:tcPr>
                <w:p w14:paraId="3BFE89AC">
                  <w:pPr>
                    <w:pStyle w:val="167"/>
                    <w:rPr>
                      <w:rFonts w:hAnsi="Times New Roman"/>
                      <w:color w:val="auto"/>
                      <w:sz w:val="21"/>
                      <w:szCs w:val="18"/>
                    </w:rPr>
                  </w:pPr>
                  <w:r>
                    <w:rPr>
                      <w:rFonts w:hAnsi="Times New Roman"/>
                      <w:color w:val="auto"/>
                      <w:sz w:val="21"/>
                      <w:szCs w:val="18"/>
                    </w:rPr>
                    <w:t>简单分析</w:t>
                  </w:r>
                </w:p>
              </w:tc>
            </w:tr>
          </w:tbl>
          <w:p w14:paraId="6F4AA50E">
            <w:pPr>
              <w:pStyle w:val="4"/>
              <w:spacing w:before="48" w:after="48"/>
              <w:rPr>
                <w:color w:val="auto"/>
              </w:rPr>
            </w:pPr>
            <w:r>
              <w:rPr>
                <w:color w:val="auto"/>
              </w:rPr>
              <w:t>建设项目环境风险简单分析</w:t>
            </w:r>
          </w:p>
          <w:p w14:paraId="1DAB0F76">
            <w:pPr>
              <w:ind w:firstLine="480"/>
              <w:rPr>
                <w:color w:val="auto"/>
                <w:szCs w:val="21"/>
              </w:rPr>
            </w:pPr>
            <w:r>
              <w:rPr>
                <w:color w:val="auto"/>
                <w:szCs w:val="21"/>
              </w:rPr>
              <w:t>本项目环境风险简单分析内容见下表。</w:t>
            </w:r>
          </w:p>
          <w:p w14:paraId="467CE1A2">
            <w:pPr>
              <w:ind w:firstLine="0" w:firstLineChars="0"/>
              <w:jc w:val="center"/>
              <w:rPr>
                <w:b/>
                <w:color w:val="auto"/>
                <w:szCs w:val="21"/>
              </w:rPr>
            </w:pPr>
            <w:r>
              <w:rPr>
                <w:b/>
                <w:bCs/>
                <w:color w:val="auto"/>
                <w:szCs w:val="24"/>
              </w:rPr>
              <w:t xml:space="preserve">表 </w:t>
            </w:r>
            <w:r>
              <w:rPr>
                <w:b/>
                <w:bCs/>
                <w:color w:val="auto"/>
                <w:szCs w:val="24"/>
              </w:rPr>
              <w:fldChar w:fldCharType="begin"/>
            </w:r>
            <w:r>
              <w:rPr>
                <w:b/>
                <w:bCs/>
                <w:color w:val="auto"/>
                <w:szCs w:val="24"/>
              </w:rPr>
              <w:instrText xml:space="preserve"> STYLEREF 2 \s </w:instrText>
            </w:r>
            <w:r>
              <w:rPr>
                <w:b/>
                <w:bCs/>
                <w:color w:val="auto"/>
                <w:szCs w:val="24"/>
              </w:rPr>
              <w:fldChar w:fldCharType="separate"/>
            </w:r>
            <w:r>
              <w:rPr>
                <w:b/>
                <w:bCs/>
                <w:color w:val="auto"/>
                <w:szCs w:val="24"/>
              </w:rPr>
              <w:t>4.9</w:t>
            </w:r>
            <w:r>
              <w:rPr>
                <w:b/>
                <w:bCs/>
                <w:color w:val="auto"/>
                <w:szCs w:val="24"/>
              </w:rPr>
              <w:fldChar w:fldCharType="end"/>
            </w:r>
            <w:r>
              <w:rPr>
                <w:b/>
                <w:bCs/>
                <w:color w:val="auto"/>
                <w:szCs w:val="24"/>
              </w:rPr>
              <w:noBreakHyphen/>
            </w:r>
            <w:r>
              <w:rPr>
                <w:b/>
                <w:bCs/>
                <w:color w:val="auto"/>
                <w:szCs w:val="24"/>
              </w:rPr>
              <w:fldChar w:fldCharType="begin"/>
            </w:r>
            <w:r>
              <w:rPr>
                <w:b/>
                <w:bCs/>
                <w:color w:val="auto"/>
                <w:szCs w:val="24"/>
              </w:rPr>
              <w:instrText xml:space="preserve"> SEQ 表 \* ARABIC \s 2 </w:instrText>
            </w:r>
            <w:r>
              <w:rPr>
                <w:b/>
                <w:bCs/>
                <w:color w:val="auto"/>
                <w:szCs w:val="24"/>
              </w:rPr>
              <w:fldChar w:fldCharType="separate"/>
            </w:r>
            <w:r>
              <w:rPr>
                <w:b/>
                <w:bCs/>
                <w:color w:val="auto"/>
                <w:szCs w:val="24"/>
              </w:rPr>
              <w:t>4</w:t>
            </w:r>
            <w:r>
              <w:rPr>
                <w:b/>
                <w:bCs/>
                <w:color w:val="auto"/>
                <w:szCs w:val="24"/>
              </w:rPr>
              <w:fldChar w:fldCharType="end"/>
            </w:r>
            <w:r>
              <w:rPr>
                <w:b/>
                <w:bCs/>
                <w:color w:val="auto"/>
                <w:szCs w:val="24"/>
              </w:rPr>
              <w:t xml:space="preserve">  </w:t>
            </w:r>
            <w:r>
              <w:rPr>
                <w:b/>
                <w:color w:val="auto"/>
                <w:szCs w:val="21"/>
              </w:rPr>
              <w:t>建设项目环境风险简单分析内容表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6577"/>
            </w:tblGrid>
            <w:tr w14:paraId="51B5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3" w:type="pct"/>
                  <w:tcBorders>
                    <w:tl2br w:val="nil"/>
                    <w:tr2bl w:val="nil"/>
                  </w:tcBorders>
                  <w:vAlign w:val="center"/>
                </w:tcPr>
                <w:p w14:paraId="3FE8CD6E">
                  <w:pPr>
                    <w:pStyle w:val="167"/>
                    <w:rPr>
                      <w:rFonts w:hAnsi="Times New Roman"/>
                      <w:b/>
                      <w:bCs/>
                      <w:color w:val="auto"/>
                      <w:sz w:val="21"/>
                      <w:szCs w:val="18"/>
                    </w:rPr>
                  </w:pPr>
                  <w:r>
                    <w:rPr>
                      <w:rFonts w:hAnsi="Times New Roman"/>
                      <w:color w:val="auto"/>
                      <w:sz w:val="21"/>
                      <w:szCs w:val="18"/>
                    </w:rPr>
                    <w:t>建设项目名称</w:t>
                  </w:r>
                </w:p>
              </w:tc>
              <w:tc>
                <w:tcPr>
                  <w:tcW w:w="4237" w:type="pct"/>
                  <w:tcBorders>
                    <w:tl2br w:val="nil"/>
                    <w:tr2bl w:val="nil"/>
                  </w:tcBorders>
                  <w:vAlign w:val="center"/>
                </w:tcPr>
                <w:p w14:paraId="611DDD09">
                  <w:pPr>
                    <w:pStyle w:val="167"/>
                    <w:rPr>
                      <w:rFonts w:hAnsi="Times New Roman"/>
                      <w:color w:val="auto"/>
                      <w:sz w:val="21"/>
                      <w:szCs w:val="18"/>
                    </w:rPr>
                  </w:pPr>
                  <w:r>
                    <w:rPr>
                      <w:rFonts w:hint="eastAsia" w:hAnsi="Times New Roman"/>
                      <w:color w:val="auto"/>
                      <w:sz w:val="21"/>
                      <w:szCs w:val="18"/>
                    </w:rPr>
                    <w:t>沙乐光伏发电项目</w:t>
                  </w:r>
                </w:p>
              </w:tc>
            </w:tr>
            <w:tr w14:paraId="4B5E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3" w:type="pct"/>
                  <w:tcBorders>
                    <w:tl2br w:val="nil"/>
                    <w:tr2bl w:val="nil"/>
                  </w:tcBorders>
                  <w:vAlign w:val="center"/>
                </w:tcPr>
                <w:p w14:paraId="3C1EDC0F">
                  <w:pPr>
                    <w:pStyle w:val="167"/>
                    <w:rPr>
                      <w:rFonts w:hAnsi="Times New Roman"/>
                      <w:color w:val="auto"/>
                      <w:sz w:val="21"/>
                      <w:szCs w:val="18"/>
                    </w:rPr>
                  </w:pPr>
                  <w:r>
                    <w:rPr>
                      <w:rFonts w:hAnsi="Times New Roman"/>
                      <w:color w:val="auto"/>
                      <w:sz w:val="21"/>
                      <w:szCs w:val="18"/>
                    </w:rPr>
                    <w:t>建设地点</w:t>
                  </w:r>
                </w:p>
              </w:tc>
              <w:tc>
                <w:tcPr>
                  <w:tcW w:w="4237" w:type="pct"/>
                  <w:tcBorders>
                    <w:tl2br w:val="nil"/>
                    <w:tr2bl w:val="nil"/>
                  </w:tcBorders>
                  <w:vAlign w:val="center"/>
                </w:tcPr>
                <w:p w14:paraId="06ECF422">
                  <w:pPr>
                    <w:pStyle w:val="167"/>
                    <w:rPr>
                      <w:rFonts w:hAnsi="Times New Roman"/>
                      <w:color w:val="auto"/>
                      <w:sz w:val="21"/>
                      <w:szCs w:val="18"/>
                    </w:rPr>
                  </w:pPr>
                  <w:r>
                    <w:rPr>
                      <w:rFonts w:hint="eastAsia" w:hAnsi="Times New Roman"/>
                      <w:color w:val="auto"/>
                      <w:sz w:val="21"/>
                      <w:szCs w:val="18"/>
                    </w:rPr>
                    <w:t>云南省大理州南涧县公郎镇旧村、蚂蝗箐、大平掌、包茂村、大歇场、下朵么、安召附近山坡地带附近</w:t>
                  </w:r>
                </w:p>
              </w:tc>
            </w:tr>
            <w:tr w14:paraId="7555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3" w:type="pct"/>
                  <w:tcBorders>
                    <w:tl2br w:val="nil"/>
                    <w:tr2bl w:val="nil"/>
                  </w:tcBorders>
                  <w:vAlign w:val="center"/>
                </w:tcPr>
                <w:p w14:paraId="020E9D05">
                  <w:pPr>
                    <w:pStyle w:val="167"/>
                    <w:rPr>
                      <w:rFonts w:hAnsi="Times New Roman"/>
                      <w:color w:val="auto"/>
                      <w:sz w:val="21"/>
                      <w:szCs w:val="18"/>
                    </w:rPr>
                  </w:pPr>
                  <w:r>
                    <w:rPr>
                      <w:rFonts w:hAnsi="Times New Roman"/>
                      <w:color w:val="auto"/>
                      <w:sz w:val="21"/>
                      <w:szCs w:val="18"/>
                    </w:rPr>
                    <w:t>主要危险物质及分布</w:t>
                  </w:r>
                </w:p>
              </w:tc>
              <w:tc>
                <w:tcPr>
                  <w:tcW w:w="4237" w:type="pct"/>
                  <w:tcBorders>
                    <w:tl2br w:val="nil"/>
                    <w:tr2bl w:val="nil"/>
                  </w:tcBorders>
                  <w:vAlign w:val="center"/>
                </w:tcPr>
                <w:p w14:paraId="05AA679E">
                  <w:pPr>
                    <w:pStyle w:val="167"/>
                    <w:rPr>
                      <w:rFonts w:hAnsi="Times New Roman"/>
                      <w:color w:val="auto"/>
                      <w:sz w:val="21"/>
                      <w:szCs w:val="18"/>
                    </w:rPr>
                  </w:pPr>
                  <w:r>
                    <w:rPr>
                      <w:rFonts w:hAnsi="Times New Roman"/>
                      <w:color w:val="auto"/>
                      <w:sz w:val="21"/>
                      <w:szCs w:val="18"/>
                    </w:rPr>
                    <w:t>本项目主要危险物质为废矿物油，主要分布于</w:t>
                  </w:r>
                  <w:r>
                    <w:rPr>
                      <w:rFonts w:hint="eastAsia" w:hAnsi="Times New Roman"/>
                      <w:color w:val="auto"/>
                      <w:sz w:val="21"/>
                      <w:szCs w:val="18"/>
                    </w:rPr>
                    <w:t>箱变附近</w:t>
                  </w:r>
                </w:p>
              </w:tc>
            </w:tr>
            <w:tr w14:paraId="1E81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3" w:type="pct"/>
                  <w:tcBorders>
                    <w:tl2br w:val="nil"/>
                    <w:tr2bl w:val="nil"/>
                  </w:tcBorders>
                  <w:vAlign w:val="center"/>
                </w:tcPr>
                <w:p w14:paraId="757E6FEE">
                  <w:pPr>
                    <w:pStyle w:val="167"/>
                    <w:rPr>
                      <w:rFonts w:hAnsi="Times New Roman"/>
                      <w:color w:val="auto"/>
                      <w:sz w:val="21"/>
                      <w:szCs w:val="18"/>
                    </w:rPr>
                  </w:pPr>
                  <w:r>
                    <w:rPr>
                      <w:rFonts w:hAnsi="Times New Roman"/>
                      <w:color w:val="auto"/>
                      <w:sz w:val="21"/>
                      <w:szCs w:val="18"/>
                    </w:rPr>
                    <w:t>环境影响途径及危害后果</w:t>
                  </w:r>
                </w:p>
              </w:tc>
              <w:tc>
                <w:tcPr>
                  <w:tcW w:w="4237" w:type="pct"/>
                  <w:tcBorders>
                    <w:tl2br w:val="nil"/>
                    <w:tr2bl w:val="nil"/>
                  </w:tcBorders>
                  <w:vAlign w:val="center"/>
                </w:tcPr>
                <w:p w14:paraId="0E98E58A">
                  <w:pPr>
                    <w:pStyle w:val="167"/>
                    <w:jc w:val="left"/>
                    <w:rPr>
                      <w:rFonts w:hAnsi="Times New Roman"/>
                      <w:color w:val="auto"/>
                      <w:sz w:val="21"/>
                      <w:szCs w:val="18"/>
                    </w:rPr>
                  </w:pPr>
                  <w:r>
                    <w:rPr>
                      <w:rFonts w:hAnsi="Times New Roman"/>
                      <w:b/>
                      <w:bCs/>
                      <w:color w:val="auto"/>
                      <w:sz w:val="21"/>
                      <w:szCs w:val="18"/>
                    </w:rPr>
                    <w:t>环境影响途径：</w:t>
                  </w:r>
                  <w:r>
                    <w:rPr>
                      <w:rFonts w:hAnsi="Times New Roman"/>
                      <w:color w:val="auto"/>
                      <w:sz w:val="21"/>
                      <w:szCs w:val="18"/>
                    </w:rPr>
                    <w:t>主要风险为变压器油泄漏和火灾爆炸及火灾爆炸引起的次生废气和事故废水。</w:t>
                  </w:r>
                </w:p>
                <w:p w14:paraId="1AAA9E26">
                  <w:pPr>
                    <w:pStyle w:val="167"/>
                    <w:jc w:val="left"/>
                    <w:rPr>
                      <w:rFonts w:hAnsi="Times New Roman"/>
                      <w:color w:val="auto"/>
                      <w:sz w:val="21"/>
                      <w:szCs w:val="18"/>
                    </w:rPr>
                  </w:pPr>
                  <w:r>
                    <w:rPr>
                      <w:rFonts w:hAnsi="Times New Roman"/>
                      <w:b/>
                      <w:bCs/>
                      <w:color w:val="auto"/>
                      <w:sz w:val="21"/>
                      <w:szCs w:val="18"/>
                    </w:rPr>
                    <w:t>危害后果：</w:t>
                  </w:r>
                  <w:r>
                    <w:rPr>
                      <w:rFonts w:hAnsi="Times New Roman"/>
                      <w:color w:val="auto"/>
                      <w:sz w:val="21"/>
                      <w:szCs w:val="18"/>
                    </w:rPr>
                    <w:t>变压器油泄漏会对当地地下水、地表水及土壤造成一定程度的污染</w:t>
                  </w:r>
                </w:p>
              </w:tc>
            </w:tr>
            <w:tr w14:paraId="5755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3" w:type="pct"/>
                  <w:tcBorders>
                    <w:tl2br w:val="nil"/>
                    <w:tr2bl w:val="nil"/>
                  </w:tcBorders>
                  <w:vAlign w:val="center"/>
                </w:tcPr>
                <w:p w14:paraId="78BE8884">
                  <w:pPr>
                    <w:pStyle w:val="167"/>
                    <w:rPr>
                      <w:rFonts w:hAnsi="Times New Roman"/>
                      <w:color w:val="auto"/>
                      <w:sz w:val="21"/>
                      <w:szCs w:val="18"/>
                    </w:rPr>
                  </w:pPr>
                  <w:r>
                    <w:rPr>
                      <w:rFonts w:hint="eastAsia" w:hAnsi="Times New Roman"/>
                      <w:color w:val="auto"/>
                      <w:sz w:val="21"/>
                      <w:szCs w:val="18"/>
                    </w:rPr>
                    <w:t>风险防范措施</w:t>
                  </w:r>
                </w:p>
              </w:tc>
              <w:tc>
                <w:tcPr>
                  <w:tcW w:w="4237" w:type="pct"/>
                  <w:tcBorders>
                    <w:tl2br w:val="nil"/>
                    <w:tr2bl w:val="nil"/>
                  </w:tcBorders>
                  <w:vAlign w:val="center"/>
                </w:tcPr>
                <w:p w14:paraId="6B2091A1">
                  <w:pPr>
                    <w:pStyle w:val="167"/>
                    <w:jc w:val="both"/>
                    <w:rPr>
                      <w:rFonts w:hint="eastAsia"/>
                      <w:color w:val="auto"/>
                      <w:sz w:val="21"/>
                      <w:szCs w:val="18"/>
                    </w:rPr>
                  </w:pPr>
                  <w:r>
                    <w:rPr>
                      <w:rFonts w:hint="eastAsia"/>
                      <w:color w:val="auto"/>
                      <w:sz w:val="21"/>
                      <w:szCs w:val="18"/>
                    </w:rPr>
                    <w:t>（1）</w:t>
                  </w:r>
                  <w:r>
                    <w:rPr>
                      <w:color w:val="auto"/>
                      <w:sz w:val="21"/>
                      <w:szCs w:val="18"/>
                    </w:rPr>
                    <w:t>根据设计单位提供资料，本项目光伏区箱式变压器油箱存油量为</w:t>
                  </w:r>
                  <w:r>
                    <w:rPr>
                      <w:rFonts w:hint="eastAsia"/>
                      <w:color w:val="auto"/>
                      <w:sz w:val="21"/>
                      <w:szCs w:val="18"/>
                    </w:rPr>
                    <w:t>2</w:t>
                  </w:r>
                  <w:r>
                    <w:rPr>
                      <w:color w:val="auto"/>
                      <w:sz w:val="21"/>
                      <w:szCs w:val="18"/>
                    </w:rPr>
                    <w:t>t，变压器油密度为</w:t>
                  </w:r>
                  <w:r>
                    <w:rPr>
                      <w:color w:val="auto"/>
                      <w:sz w:val="21"/>
                      <w:szCs w:val="18"/>
                      <w:lang w:bidi="en-US"/>
                    </w:rPr>
                    <w:t>0.</w:t>
                  </w:r>
                  <w:r>
                    <w:rPr>
                      <w:rFonts w:hint="eastAsia"/>
                      <w:color w:val="auto"/>
                      <w:sz w:val="21"/>
                      <w:szCs w:val="18"/>
                      <w:lang w:bidi="en-US"/>
                    </w:rPr>
                    <w:t>895</w:t>
                  </w:r>
                  <w:r>
                    <w:rPr>
                      <w:color w:val="auto"/>
                      <w:sz w:val="21"/>
                      <w:szCs w:val="18"/>
                      <w:lang w:bidi="en-US"/>
                    </w:rPr>
                    <w:t>×10</w:t>
                  </w:r>
                  <w:r>
                    <w:rPr>
                      <w:color w:val="auto"/>
                      <w:sz w:val="21"/>
                      <w:szCs w:val="18"/>
                      <w:vertAlign w:val="superscript"/>
                      <w:lang w:bidi="en-US"/>
                    </w:rPr>
                    <w:t>3</w:t>
                  </w:r>
                  <w:r>
                    <w:rPr>
                      <w:color w:val="auto"/>
                      <w:sz w:val="21"/>
                      <w:szCs w:val="18"/>
                    </w:rPr>
                    <w:t>kg/m</w:t>
                  </w:r>
                  <w:r>
                    <w:rPr>
                      <w:color w:val="auto"/>
                      <w:sz w:val="21"/>
                      <w:szCs w:val="18"/>
                      <w:vertAlign w:val="superscript"/>
                    </w:rPr>
                    <w:t>3</w:t>
                  </w:r>
                  <w:r>
                    <w:rPr>
                      <w:color w:val="auto"/>
                      <w:sz w:val="21"/>
                      <w:szCs w:val="18"/>
                    </w:rPr>
                    <w:t>，即箱式变压器最大油量为</w:t>
                  </w:r>
                  <w:r>
                    <w:rPr>
                      <w:rFonts w:hint="eastAsia"/>
                      <w:color w:val="auto"/>
                      <w:sz w:val="21"/>
                      <w:szCs w:val="18"/>
                    </w:rPr>
                    <w:t>2.24</w:t>
                  </w:r>
                  <w:r>
                    <w:rPr>
                      <w:color w:val="auto"/>
                      <w:sz w:val="21"/>
                      <w:szCs w:val="18"/>
                    </w:rPr>
                    <w:t>m</w:t>
                  </w:r>
                  <w:r>
                    <w:rPr>
                      <w:color w:val="auto"/>
                      <w:sz w:val="21"/>
                      <w:szCs w:val="18"/>
                      <w:vertAlign w:val="superscript"/>
                    </w:rPr>
                    <w:t>3</w:t>
                  </w:r>
                  <w:r>
                    <w:rPr>
                      <w:color w:val="auto"/>
                      <w:sz w:val="21"/>
                      <w:szCs w:val="18"/>
                    </w:rPr>
                    <w:t>。光伏区鉴于箱式变压器布置较为分散，各箱式变压器之间距离较远，因此项目应在每个箱式变压器下方分别设置1座</w:t>
                  </w:r>
                  <w:r>
                    <w:rPr>
                      <w:rFonts w:hint="eastAsia"/>
                      <w:color w:val="auto"/>
                      <w:sz w:val="21"/>
                      <w:szCs w:val="18"/>
                    </w:rPr>
                    <w:t>3</w:t>
                  </w:r>
                  <w:r>
                    <w:rPr>
                      <w:color w:val="auto"/>
                      <w:sz w:val="21"/>
                      <w:szCs w:val="18"/>
                    </w:rPr>
                    <w:t>m</w:t>
                  </w:r>
                  <w:r>
                    <w:rPr>
                      <w:color w:val="auto"/>
                      <w:sz w:val="21"/>
                      <w:szCs w:val="18"/>
                      <w:vertAlign w:val="superscript"/>
                    </w:rPr>
                    <w:t>3</w:t>
                  </w:r>
                  <w:r>
                    <w:rPr>
                      <w:color w:val="auto"/>
                      <w:sz w:val="21"/>
                      <w:szCs w:val="18"/>
                    </w:rPr>
                    <w:t>的事故油池，</w:t>
                  </w:r>
                  <w:r>
                    <w:rPr>
                      <w:rFonts w:hint="eastAsia"/>
                      <w:color w:val="auto"/>
                      <w:sz w:val="21"/>
                      <w:szCs w:val="18"/>
                    </w:rPr>
                    <w:t>箱变事故油池采用钢制成品油池，通过焊接连接到钢平台下方钢梁之上，</w:t>
                  </w:r>
                  <w:r>
                    <w:rPr>
                      <w:color w:val="auto"/>
                      <w:sz w:val="21"/>
                      <w:szCs w:val="18"/>
                    </w:rPr>
                    <w:t>用于贮存事故油。采取分区防渗措施，项目风险单元（事故油池）为重点防渗区，事故油池基础防渗工程严格按照《危险废物贮存污染控制标准》（GB18597-2023）设计建设：防渗层为至少1m厚黏土层（渗透系数不大于10</w:t>
                  </w:r>
                  <w:r>
                    <w:rPr>
                      <w:color w:val="auto"/>
                      <w:sz w:val="21"/>
                      <w:szCs w:val="18"/>
                      <w:vertAlign w:val="superscript"/>
                    </w:rPr>
                    <w:t>-7</w:t>
                  </w:r>
                  <w:r>
                    <w:rPr>
                      <w:color w:val="auto"/>
                      <w:sz w:val="21"/>
                      <w:szCs w:val="18"/>
                    </w:rPr>
                    <w:t>cm/s），或至少2mm厚高密度聚乙烯膜等人工防渗材料（渗透系数不大于10</w:t>
                  </w:r>
                  <w:r>
                    <w:rPr>
                      <w:color w:val="auto"/>
                      <w:sz w:val="21"/>
                      <w:szCs w:val="18"/>
                      <w:vertAlign w:val="superscript"/>
                    </w:rPr>
                    <w:t>-10</w:t>
                  </w:r>
                  <w:r>
                    <w:rPr>
                      <w:color w:val="auto"/>
                      <w:sz w:val="21"/>
                      <w:szCs w:val="18"/>
                    </w:rPr>
                    <w:t>cm/s），或其他防渗性能等效的材料。事故状态下，变压器油进入事故油池，</w:t>
                  </w:r>
                  <w:r>
                    <w:rPr>
                      <w:rFonts w:hint="eastAsia"/>
                      <w:color w:val="auto"/>
                      <w:sz w:val="21"/>
                      <w:szCs w:val="18"/>
                    </w:rPr>
                    <w:t>后</w:t>
                  </w:r>
                  <w:r>
                    <w:rPr>
                      <w:color w:val="auto"/>
                      <w:sz w:val="21"/>
                      <w:szCs w:val="18"/>
                    </w:rPr>
                    <w:t>收集于</w:t>
                  </w:r>
                  <w:r>
                    <w:rPr>
                      <w:rFonts w:hint="eastAsia"/>
                      <w:color w:val="auto"/>
                      <w:sz w:val="21"/>
                      <w:szCs w:val="18"/>
                    </w:rPr>
                    <w:t>德安</w:t>
                  </w:r>
                  <w:r>
                    <w:rPr>
                      <w:color w:val="auto"/>
                      <w:sz w:val="21"/>
                      <w:szCs w:val="18"/>
                    </w:rPr>
                    <w:t>升压站设置的危险废物贮存库贮存，定期委托有资质单位处置。</w:t>
                  </w:r>
                </w:p>
                <w:p w14:paraId="5B7FCFA3">
                  <w:pPr>
                    <w:pStyle w:val="167"/>
                    <w:jc w:val="both"/>
                    <w:rPr>
                      <w:rFonts w:hint="eastAsia"/>
                      <w:color w:val="auto"/>
                      <w:sz w:val="21"/>
                      <w:szCs w:val="18"/>
                    </w:rPr>
                  </w:pPr>
                  <w:r>
                    <w:rPr>
                      <w:rFonts w:hint="eastAsia"/>
                      <w:color w:val="auto"/>
                      <w:sz w:val="21"/>
                      <w:szCs w:val="18"/>
                    </w:rPr>
                    <w:t>（2）</w:t>
                  </w:r>
                  <w:r>
                    <w:rPr>
                      <w:color w:val="auto"/>
                      <w:sz w:val="21"/>
                      <w:szCs w:val="18"/>
                    </w:rPr>
                    <w:t>在项目内设置醒目的杜绝明火、禁止吸烟等标志、标语，禁止火源进入项目内。</w:t>
                  </w:r>
                </w:p>
                <w:p w14:paraId="514D8DAF">
                  <w:pPr>
                    <w:pStyle w:val="167"/>
                    <w:jc w:val="both"/>
                    <w:rPr>
                      <w:rFonts w:hint="eastAsia"/>
                      <w:color w:val="auto"/>
                      <w:sz w:val="21"/>
                      <w:szCs w:val="18"/>
                    </w:rPr>
                  </w:pPr>
                  <w:r>
                    <w:rPr>
                      <w:rFonts w:hint="eastAsia"/>
                      <w:color w:val="auto"/>
                      <w:sz w:val="21"/>
                      <w:szCs w:val="18"/>
                    </w:rPr>
                    <w:t>（3）</w:t>
                  </w:r>
                  <w:r>
                    <w:rPr>
                      <w:color w:val="auto"/>
                      <w:sz w:val="21"/>
                      <w:szCs w:val="18"/>
                    </w:rPr>
                    <w:t>产生的废变压器油应委托有资质单位进行合法处置，严禁私自处置，做好危险废物转移的申请、检查和档案管理工作。</w:t>
                  </w:r>
                </w:p>
                <w:p w14:paraId="27415AE0">
                  <w:pPr>
                    <w:pStyle w:val="167"/>
                    <w:jc w:val="both"/>
                    <w:rPr>
                      <w:rFonts w:hint="eastAsia"/>
                      <w:color w:val="auto"/>
                      <w:sz w:val="21"/>
                      <w:szCs w:val="18"/>
                    </w:rPr>
                  </w:pPr>
                  <w:r>
                    <w:rPr>
                      <w:rFonts w:hint="eastAsia"/>
                      <w:color w:val="auto"/>
                      <w:sz w:val="21"/>
                      <w:szCs w:val="18"/>
                    </w:rPr>
                    <w:t>（4）加强光伏阵列区巡查运维工作，确保箱式变压器不出现变压油跑、冒、滴、漏现象。</w:t>
                  </w:r>
                </w:p>
                <w:p w14:paraId="11481739">
                  <w:pPr>
                    <w:pStyle w:val="167"/>
                    <w:jc w:val="both"/>
                    <w:rPr>
                      <w:rFonts w:hint="eastAsia"/>
                      <w:color w:val="auto"/>
                      <w:sz w:val="21"/>
                      <w:szCs w:val="18"/>
                    </w:rPr>
                  </w:pPr>
                  <w:r>
                    <w:rPr>
                      <w:rFonts w:hint="eastAsia"/>
                      <w:color w:val="auto"/>
                      <w:sz w:val="21"/>
                      <w:szCs w:val="18"/>
                    </w:rPr>
                    <w:t>（5）制定严格的操作规程，加强设备维护，建立风险防范机制，加强风险管理，编制突发环境事件应急预案并报当地生态环境部门备案。</w:t>
                  </w:r>
                </w:p>
                <w:p w14:paraId="15AFA300">
                  <w:pPr>
                    <w:pStyle w:val="167"/>
                    <w:jc w:val="both"/>
                    <w:rPr>
                      <w:rFonts w:hint="eastAsia"/>
                      <w:color w:val="auto"/>
                      <w:sz w:val="21"/>
                      <w:szCs w:val="18"/>
                    </w:rPr>
                  </w:pPr>
                  <w:r>
                    <w:rPr>
                      <w:rFonts w:hint="eastAsia"/>
                      <w:color w:val="auto"/>
                      <w:sz w:val="21"/>
                      <w:szCs w:val="18"/>
                    </w:rPr>
                    <w:t>（6）</w:t>
                  </w:r>
                  <w:r>
                    <w:rPr>
                      <w:color w:val="auto"/>
                      <w:sz w:val="21"/>
                      <w:szCs w:val="18"/>
                    </w:rPr>
                    <w:t>环境风险分析结论</w:t>
                  </w:r>
                </w:p>
                <w:p w14:paraId="4316A8C5">
                  <w:pPr>
                    <w:pStyle w:val="167"/>
                    <w:jc w:val="both"/>
                    <w:rPr>
                      <w:rFonts w:hAnsi="Times New Roman"/>
                      <w:color w:val="auto"/>
                      <w:sz w:val="21"/>
                      <w:szCs w:val="18"/>
                    </w:rPr>
                  </w:pPr>
                  <w:r>
                    <w:rPr>
                      <w:color w:val="auto"/>
                      <w:sz w:val="21"/>
                      <w:szCs w:val="18"/>
                    </w:rPr>
                    <w:t>项目环境风险主要为变压器油的泄漏和燃烧爆炸等情况产生的次生污染物对环境的影响，只要建设单位按照本报告提出的环境管理措施实施，项目环境风险影响范围较小，环境风险可接受</w:t>
                  </w:r>
                  <w:r>
                    <w:rPr>
                      <w:rFonts w:hint="eastAsia"/>
                      <w:color w:val="auto"/>
                      <w:sz w:val="21"/>
                      <w:szCs w:val="18"/>
                    </w:rPr>
                    <w:t>。</w:t>
                  </w:r>
                </w:p>
              </w:tc>
            </w:tr>
          </w:tbl>
          <w:p w14:paraId="2593ACB7">
            <w:pPr>
              <w:pStyle w:val="4"/>
              <w:spacing w:before="48" w:after="48"/>
              <w:rPr>
                <w:snapToGrid w:val="0"/>
                <w:color w:val="auto"/>
                <w:lang w:bidi="ar"/>
              </w:rPr>
            </w:pPr>
            <w:r>
              <w:rPr>
                <w:rFonts w:hint="eastAsia"/>
                <w:snapToGrid w:val="0"/>
                <w:color w:val="auto"/>
                <w:lang w:bidi="ar"/>
              </w:rPr>
              <w:t xml:space="preserve">环境影响分析 </w:t>
            </w:r>
          </w:p>
          <w:p w14:paraId="07B1956D">
            <w:pPr>
              <w:ind w:firstLine="480"/>
              <w:rPr>
                <w:color w:val="auto"/>
              </w:rPr>
            </w:pPr>
            <w:r>
              <w:rPr>
                <w:rFonts w:hint="eastAsia"/>
                <w:color w:val="auto"/>
              </w:rPr>
              <w:t xml:space="preserve">（1）大气环境风险分析 </w:t>
            </w:r>
          </w:p>
          <w:p w14:paraId="42BE2042">
            <w:pPr>
              <w:ind w:firstLine="480"/>
              <w:rPr>
                <w:color w:val="auto"/>
              </w:rPr>
            </w:pPr>
            <w:r>
              <w:rPr>
                <w:rFonts w:hint="eastAsia"/>
                <w:color w:val="auto"/>
              </w:rPr>
              <w:t>变压器油、废矿物油在使用、储运过程中若操作不当或设备损坏造成物质泄漏，泄漏后遇火源或在高温（高于闪点）等特殊情况下，将引发火灾爆炸风险，将对周边大气产生较为严重的环境污染。由于主变中变压器油泄漏后直接进入事故油池存放，暴露在空气中的量较小。废矿物油贮存在容器中，放置在室内，通过加强巡检等措施后，可以及时发生泄漏，切断泄漏源，并采用合适的材料收容泄漏物，在采取以上应急措施后，引起火灾爆炸的可能性较小。建设单位需强化禁火区域安全管理，严禁烟火，将生产、储存装置区域列为禁火区，区内加强火源管理，严禁吸烟。宿舍、办公室、休息室内严禁存放易燃易爆物品。在变压器、危险废物暂存间附近，配置推车式泡沫灭火器及砂箱等灭火器材，设置室外消火栓。建设单位应认真落实风险防范措施，大气环境风险可控，对周边环境影响较小。</w:t>
            </w:r>
          </w:p>
          <w:p w14:paraId="12E85D85">
            <w:pPr>
              <w:ind w:firstLine="480"/>
              <w:rPr>
                <w:color w:val="auto"/>
              </w:rPr>
            </w:pPr>
            <w:r>
              <w:rPr>
                <w:rFonts w:hint="eastAsia"/>
                <w:color w:val="auto"/>
              </w:rPr>
              <w:t>2、地表水环境风险分析</w:t>
            </w:r>
          </w:p>
          <w:p w14:paraId="77586D1D">
            <w:pPr>
              <w:ind w:firstLine="480"/>
              <w:rPr>
                <w:color w:val="auto"/>
              </w:rPr>
            </w:pPr>
            <w:r>
              <w:rPr>
                <w:rFonts w:hint="eastAsia"/>
                <w:color w:val="auto"/>
              </w:rPr>
              <w:t>若因管理不当或设备损坏导致变压器油、废矿物油发生泄漏，在雨天时可能随地表径流一起进入地表水，对地表水造成污染。由于项目箱式变压器附近设有事故油池，若变压器发生泄漏后，事故变压油将全部进入事故油池，事故油池已按要求采取了重点防渗措施，经事故油池收集的变压油最终交有资质的单位处理。危废暂存间设置有导流沟和收集池，若确实发生了泄漏事故，及时切断泄漏源，封闭现场，采用合适的材料收容泄漏物。通过及时采取应急措施处理后，变压器油、废矿物油不会随地表径流一起进入地表水，对地表水影响不大，地表水环境风险可控。</w:t>
            </w:r>
          </w:p>
          <w:p w14:paraId="165EDB69">
            <w:pPr>
              <w:ind w:firstLine="480"/>
              <w:rPr>
                <w:color w:val="auto"/>
              </w:rPr>
            </w:pPr>
            <w:r>
              <w:rPr>
                <w:rFonts w:hint="eastAsia"/>
                <w:color w:val="auto"/>
              </w:rPr>
              <w:t>3、地下水、土壤环境风险分析</w:t>
            </w:r>
          </w:p>
          <w:p w14:paraId="501417F2">
            <w:pPr>
              <w:ind w:firstLine="480"/>
              <w:rPr>
                <w:color w:val="auto"/>
              </w:rPr>
            </w:pPr>
            <w:r>
              <w:rPr>
                <w:rFonts w:hint="eastAsia"/>
                <w:color w:val="auto"/>
              </w:rPr>
              <w:t>若事故油池及危废暂存间设置的防渗层破裂或失效，变压器油、废矿物油下渗后可能对地下水及土壤造成污染，导致泄漏主要原因为：衬垫材料不良或施工不当引起衬垫失效；基础不均匀沉降引起的衬垫破裂；人为破坏引起衬垫失效。项目在基建期根据环评要求及设计规范的要求严格做好分区防渗工程，且提高工程质量，运营期加强监管的基础上，则地下水及土壤环境风险可控。</w:t>
            </w:r>
          </w:p>
          <w:p w14:paraId="2DE77FB9">
            <w:pPr>
              <w:ind w:firstLine="480"/>
              <w:rPr>
                <w:color w:val="auto"/>
              </w:rPr>
            </w:pPr>
            <w:r>
              <w:rPr>
                <w:rFonts w:hint="eastAsia"/>
                <w:color w:val="auto"/>
              </w:rPr>
              <w:t>4、火灾环境风险分析</w:t>
            </w:r>
          </w:p>
          <w:p w14:paraId="251BA9C3">
            <w:pPr>
              <w:ind w:firstLine="480"/>
              <w:rPr>
                <w:color w:val="auto"/>
              </w:rPr>
            </w:pPr>
            <w:r>
              <w:rPr>
                <w:rFonts w:hint="eastAsia"/>
                <w:color w:val="auto"/>
              </w:rPr>
              <w:t>箱式变压器等各种电气设备，在外部火源移近、过负荷、短路、过电压、绝缘层严重过热、老化、损坏等情况下，均可能引发电气火灾。</w:t>
            </w:r>
          </w:p>
          <w:p w14:paraId="314C513E">
            <w:pPr>
              <w:ind w:firstLine="480"/>
              <w:rPr>
                <w:color w:val="auto"/>
              </w:rPr>
            </w:pPr>
            <w:r>
              <w:rPr>
                <w:rFonts w:hint="eastAsia"/>
                <w:color w:val="auto"/>
              </w:rPr>
              <w:t>电缆自身故障、机械损伤造成电缆短路或其他高温物体与电缆接触时，可能引起电缆着火，且电缆着火后蔓延速度很快，因而使之相连的电气仪表、控制系统、设备烧毁、酿成重大火灾，甚至造成光伏电场停产。</w:t>
            </w:r>
          </w:p>
          <w:p w14:paraId="0573C930">
            <w:pPr>
              <w:ind w:firstLine="480"/>
              <w:rPr>
                <w:color w:val="auto"/>
              </w:rPr>
            </w:pPr>
            <w:r>
              <w:rPr>
                <w:rFonts w:hint="eastAsia"/>
                <w:color w:val="auto"/>
              </w:rPr>
              <w:t>光伏电场发生的火灾可能对工作人员和仪器设备造成危害，如火灾蔓延到周边环境，对耕地植被和生态系统造成严重破坏，同时会对当地村民造成一定的经济损失。</w:t>
            </w:r>
          </w:p>
          <w:p w14:paraId="53B17501">
            <w:pPr>
              <w:pStyle w:val="3"/>
              <w:spacing w:before="72" w:after="72"/>
              <w:rPr>
                <w:color w:val="auto"/>
              </w:rPr>
            </w:pPr>
            <w:r>
              <w:rPr>
                <w:rFonts w:hint="eastAsia"/>
                <w:color w:val="auto"/>
              </w:rPr>
              <w:t>土壤、</w:t>
            </w:r>
            <w:r>
              <w:rPr>
                <w:color w:val="auto"/>
              </w:rPr>
              <w:t>地下水环境影响分析</w:t>
            </w:r>
          </w:p>
          <w:p w14:paraId="59E285B2">
            <w:pPr>
              <w:adjustRightInd w:val="0"/>
              <w:snapToGrid w:val="0"/>
              <w:ind w:firstLine="470" w:firstLineChars="196"/>
              <w:rPr>
                <w:color w:val="auto"/>
                <w:kern w:val="28"/>
                <w:szCs w:val="21"/>
              </w:rPr>
            </w:pPr>
            <w:r>
              <w:rPr>
                <w:color w:val="auto"/>
                <w:kern w:val="28"/>
                <w:szCs w:val="21"/>
              </w:rPr>
              <w:t>项目属于《环境影响评价技术导则 地下水环境》（HJ610-2016）附录A的Ⅳ类项目、《环境影响评价技术导则 土壤环境（试行）》（HJ964-2018）附录A的Ⅳ类项目，可不开展地下水、土壤环境影响评价，未进行地下水、土壤环境现状调查。</w:t>
            </w:r>
          </w:p>
          <w:p w14:paraId="622FF1CD">
            <w:pPr>
              <w:autoSpaceDE w:val="0"/>
              <w:autoSpaceDN w:val="0"/>
              <w:adjustRightInd w:val="0"/>
              <w:ind w:firstLine="480"/>
              <w:rPr>
                <w:color w:val="auto"/>
                <w:kern w:val="0"/>
                <w:szCs w:val="21"/>
              </w:rPr>
            </w:pPr>
            <w:r>
              <w:rPr>
                <w:color w:val="auto"/>
                <w:kern w:val="0"/>
                <w:szCs w:val="21"/>
              </w:rPr>
              <w:t>为防止污染物渗入土壤，项目采取分区防渗措施，箱变事故油池为重点防渗区，按照《危险废物贮存污染控制标准》（GB18597-2023）进行防渗，防渗能力满足“防渗层为至少1m厚黏土层（渗透系数不大于10</w:t>
            </w:r>
            <w:r>
              <w:rPr>
                <w:color w:val="auto"/>
                <w:kern w:val="0"/>
                <w:szCs w:val="21"/>
                <w:vertAlign w:val="superscript"/>
              </w:rPr>
              <w:t>-7</w:t>
            </w:r>
            <w:r>
              <w:rPr>
                <w:color w:val="auto"/>
                <w:kern w:val="0"/>
                <w:szCs w:val="21"/>
              </w:rPr>
              <w:t>cm/s），或至少2mm厚高密度聚乙烯膜等人工防渗材料（渗透系数不大于10</w:t>
            </w:r>
            <w:r>
              <w:rPr>
                <w:color w:val="auto"/>
                <w:kern w:val="0"/>
                <w:szCs w:val="21"/>
                <w:vertAlign w:val="superscript"/>
              </w:rPr>
              <w:t>-10</w:t>
            </w:r>
            <w:r>
              <w:rPr>
                <w:color w:val="auto"/>
                <w:kern w:val="0"/>
                <w:szCs w:val="21"/>
              </w:rPr>
              <w:t>cm/s），或其他防渗性能等效的材料”的要求。加强管理，防止跑冒滴漏。在采取上述措施后可有效防止有毒有害物质渗透到地下污染地下水和土壤，项目对地下水和土壤环境的影响可控。</w:t>
            </w:r>
          </w:p>
          <w:p w14:paraId="2630F318">
            <w:pPr>
              <w:pStyle w:val="3"/>
              <w:spacing w:before="72" w:after="72"/>
              <w:rPr>
                <w:color w:val="auto"/>
              </w:rPr>
            </w:pPr>
            <w:r>
              <w:rPr>
                <w:color w:val="auto"/>
              </w:rPr>
              <w:t>服务期满后环境影响分析</w:t>
            </w:r>
          </w:p>
          <w:p w14:paraId="3EEA9A77">
            <w:pPr>
              <w:pStyle w:val="4"/>
              <w:spacing w:before="48" w:after="48"/>
              <w:rPr>
                <w:color w:val="auto"/>
              </w:rPr>
            </w:pPr>
            <w:r>
              <w:rPr>
                <w:color w:val="auto"/>
              </w:rPr>
              <w:t>固体废物</w:t>
            </w:r>
          </w:p>
          <w:p w14:paraId="49348A4B">
            <w:pPr>
              <w:ind w:firstLine="480"/>
              <w:jc w:val="left"/>
              <w:rPr>
                <w:color w:val="auto"/>
                <w:szCs w:val="21"/>
              </w:rPr>
            </w:pPr>
            <w:r>
              <w:rPr>
                <w:color w:val="auto"/>
                <w:szCs w:val="21"/>
              </w:rPr>
              <w:t>服务期满后（营运期限25年）主要产生拆除的电气设备、建构筑物组构件、建筑垃圾等固体废物。</w:t>
            </w:r>
          </w:p>
          <w:p w14:paraId="7FAA2886">
            <w:pPr>
              <w:ind w:firstLine="482"/>
              <w:rPr>
                <w:b/>
                <w:bCs/>
                <w:color w:val="auto"/>
                <w:szCs w:val="21"/>
              </w:rPr>
            </w:pPr>
            <w:r>
              <w:rPr>
                <w:b/>
                <w:bCs/>
                <w:color w:val="auto"/>
                <w:szCs w:val="21"/>
              </w:rPr>
              <w:t>1）光伏组件</w:t>
            </w:r>
          </w:p>
          <w:p w14:paraId="3DE18F3F">
            <w:pPr>
              <w:ind w:firstLine="480"/>
              <w:rPr>
                <w:color w:val="auto"/>
                <w:szCs w:val="21"/>
              </w:rPr>
            </w:pPr>
            <w:r>
              <w:rPr>
                <w:color w:val="auto"/>
                <w:szCs w:val="21"/>
              </w:rPr>
              <w:t>（1）服务期满后，拆除的全部光伏组件以及支架，运输到指定地点，作残值处理。</w:t>
            </w:r>
          </w:p>
          <w:p w14:paraId="11413364">
            <w:pPr>
              <w:ind w:firstLine="480"/>
              <w:rPr>
                <w:color w:val="auto"/>
                <w:szCs w:val="21"/>
              </w:rPr>
            </w:pPr>
            <w:r>
              <w:rPr>
                <w:color w:val="auto"/>
                <w:szCs w:val="21"/>
              </w:rPr>
              <w:t>（2）设备、器材、配件、材料等有使用价值的货物可做拍卖处理。</w:t>
            </w:r>
          </w:p>
          <w:p w14:paraId="0D5D2C18">
            <w:pPr>
              <w:ind w:firstLine="480"/>
              <w:rPr>
                <w:color w:val="auto"/>
                <w:szCs w:val="21"/>
              </w:rPr>
            </w:pPr>
            <w:r>
              <w:rPr>
                <w:color w:val="auto"/>
                <w:szCs w:val="21"/>
              </w:rPr>
              <w:t>（3）拆除后的废钢铁进行回收，残渣运输到指定地点废弃。</w:t>
            </w:r>
          </w:p>
          <w:p w14:paraId="4A714100">
            <w:pPr>
              <w:ind w:firstLine="480"/>
              <w:rPr>
                <w:color w:val="auto"/>
                <w:szCs w:val="21"/>
              </w:rPr>
            </w:pPr>
            <w:r>
              <w:rPr>
                <w:color w:val="auto"/>
                <w:szCs w:val="21"/>
              </w:rPr>
              <w:t>（4）埋设的电缆、光缆采用开挖拆除，并回收残值。</w:t>
            </w:r>
          </w:p>
          <w:p w14:paraId="75D78440">
            <w:pPr>
              <w:ind w:firstLine="482"/>
              <w:rPr>
                <w:b/>
                <w:bCs/>
                <w:color w:val="auto"/>
                <w:szCs w:val="21"/>
              </w:rPr>
            </w:pPr>
            <w:r>
              <w:rPr>
                <w:b/>
                <w:bCs/>
                <w:color w:val="auto"/>
                <w:szCs w:val="21"/>
              </w:rPr>
              <w:t>2）电气设备</w:t>
            </w:r>
          </w:p>
          <w:p w14:paraId="67F970A0">
            <w:pPr>
              <w:ind w:firstLine="480"/>
              <w:rPr>
                <w:color w:val="auto"/>
                <w:szCs w:val="21"/>
              </w:rPr>
            </w:pPr>
            <w:r>
              <w:rPr>
                <w:color w:val="auto"/>
                <w:szCs w:val="21"/>
              </w:rPr>
              <w:t>（1）光伏场区内拆除的电气设备包括：35kV配电装置、厂用变、0.4kV低压配电柜、通讯、远动、直流电源柜、及中控室的计算机系统。设备、器材、配件、材料等有使用价值的东西可作拍卖处理。</w:t>
            </w:r>
          </w:p>
          <w:p w14:paraId="6762A12F">
            <w:pPr>
              <w:ind w:firstLine="480"/>
              <w:rPr>
                <w:color w:val="auto"/>
                <w:szCs w:val="21"/>
              </w:rPr>
            </w:pPr>
            <w:r>
              <w:rPr>
                <w:color w:val="auto"/>
                <w:szCs w:val="21"/>
              </w:rPr>
              <w:t>（2）厂房、场内输变电线路、电缆、围墙、以及运营期间改扩建的设施，混凝土建筑、基础在有条件的区域采用爆破方法进行拆除，拆除后的废钢铁进行回收，残渣运输到指定地点废弃。</w:t>
            </w:r>
          </w:p>
          <w:p w14:paraId="4DCE79F7">
            <w:pPr>
              <w:pStyle w:val="4"/>
              <w:spacing w:before="48" w:after="48"/>
              <w:rPr>
                <w:color w:val="auto"/>
              </w:rPr>
            </w:pPr>
            <w:r>
              <w:rPr>
                <w:color w:val="auto"/>
              </w:rPr>
              <w:t>生态植被恢复</w:t>
            </w:r>
          </w:p>
          <w:p w14:paraId="0529D62C">
            <w:pPr>
              <w:ind w:firstLine="480"/>
              <w:rPr>
                <w:color w:val="auto"/>
                <w:szCs w:val="21"/>
              </w:rPr>
            </w:pPr>
            <w:r>
              <w:rPr>
                <w:color w:val="auto"/>
                <w:szCs w:val="21"/>
              </w:rPr>
              <w:t>本</w:t>
            </w:r>
            <w:r>
              <w:rPr>
                <w:rFonts w:hint="eastAsia"/>
                <w:color w:val="auto"/>
                <w:szCs w:val="21"/>
              </w:rPr>
              <w:t>项目</w:t>
            </w:r>
            <w:r>
              <w:rPr>
                <w:color w:val="auto"/>
                <w:szCs w:val="21"/>
              </w:rPr>
              <w:t>占地</w:t>
            </w:r>
            <w:r>
              <w:rPr>
                <w:rFonts w:hint="eastAsia"/>
                <w:color w:val="auto"/>
                <w:szCs w:val="21"/>
              </w:rPr>
              <w:t>总</w:t>
            </w:r>
            <w:r>
              <w:rPr>
                <w:color w:val="auto"/>
                <w:szCs w:val="21"/>
              </w:rPr>
              <w:t>面积为117.06hm</w:t>
            </w:r>
            <w:r>
              <w:rPr>
                <w:color w:val="auto"/>
                <w:szCs w:val="21"/>
                <w:vertAlign w:val="superscript"/>
              </w:rPr>
              <w:t>2</w:t>
            </w:r>
            <w:r>
              <w:rPr>
                <w:color w:val="auto"/>
                <w:szCs w:val="21"/>
              </w:rPr>
              <w:t>，光伏发电区占地109.94hm</w:t>
            </w:r>
            <w:r>
              <w:rPr>
                <w:color w:val="auto"/>
                <w:szCs w:val="21"/>
                <w:vertAlign w:val="superscript"/>
              </w:rPr>
              <w:t>2</w:t>
            </w:r>
            <w:r>
              <w:rPr>
                <w:color w:val="auto"/>
                <w:szCs w:val="21"/>
              </w:rPr>
              <w:t>，待服务期满后，光伏组件设备拆除完毕后，应做好植被恢复措施，植被恢复禁止选用外来物种。</w:t>
            </w:r>
          </w:p>
        </w:tc>
      </w:tr>
      <w:tr w14:paraId="5880C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273" w:type="pct"/>
            <w:vAlign w:val="center"/>
          </w:tcPr>
          <w:p w14:paraId="66428642">
            <w:pPr>
              <w:pStyle w:val="36"/>
              <w:adjustRightInd w:val="0"/>
              <w:snapToGrid w:val="0"/>
              <w:spacing w:line="240" w:lineRule="auto"/>
              <w:ind w:firstLine="0" w:firstLineChars="0"/>
              <w:jc w:val="center"/>
              <w:rPr>
                <w:bCs/>
                <w:color w:val="auto"/>
                <w:szCs w:val="21"/>
              </w:rPr>
            </w:pPr>
            <w:r>
              <w:rPr>
                <w:bCs/>
                <w:color w:val="auto"/>
                <w:szCs w:val="21"/>
              </w:rPr>
              <w:t>选址选线环境合理性分析</w:t>
            </w:r>
          </w:p>
        </w:tc>
        <w:tc>
          <w:tcPr>
            <w:tcW w:w="4727" w:type="pct"/>
          </w:tcPr>
          <w:p w14:paraId="21257230">
            <w:pPr>
              <w:pStyle w:val="3"/>
              <w:spacing w:before="72" w:after="72"/>
              <w:rPr>
                <w:color w:val="auto"/>
              </w:rPr>
            </w:pPr>
            <w:bookmarkStart w:id="1294" w:name="_Toc136794234"/>
            <w:bookmarkStart w:id="1295" w:name="_Toc136794359"/>
            <w:bookmarkStart w:id="1296" w:name="_Toc2527"/>
            <w:bookmarkStart w:id="1297" w:name="_Toc112165675"/>
            <w:bookmarkStart w:id="1298" w:name="_Toc156144197"/>
            <w:bookmarkStart w:id="1299" w:name="_Toc7093"/>
            <w:bookmarkStart w:id="1300" w:name="_Toc112173970"/>
            <w:bookmarkStart w:id="1301" w:name="_Toc156137883"/>
            <w:bookmarkStart w:id="1302" w:name="_Toc112424312"/>
            <w:bookmarkStart w:id="1303" w:name="_Toc158491304"/>
            <w:bookmarkStart w:id="1304" w:name="_Toc177482925"/>
            <w:bookmarkStart w:id="1305" w:name="_Toc181293562"/>
            <w:bookmarkStart w:id="1306" w:name="_Toc159349072"/>
            <w:bookmarkStart w:id="1307" w:name="_Toc160730919"/>
            <w:bookmarkStart w:id="1308" w:name="_Toc160473843"/>
            <w:bookmarkStart w:id="1309" w:name="_Toc161415597"/>
            <w:bookmarkStart w:id="1310" w:name="_Toc177072425"/>
            <w:bookmarkStart w:id="1311" w:name="_Toc177072853"/>
            <w:bookmarkStart w:id="1312" w:name="_Toc177488237"/>
            <w:bookmarkStart w:id="1313" w:name="_Toc181732840"/>
            <w:bookmarkStart w:id="1314" w:name="_Toc181738247"/>
            <w:r>
              <w:rPr>
                <w:color w:val="auto"/>
              </w:rPr>
              <w:t>选址选线环境合理性分析</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349A579B">
            <w:pPr>
              <w:pStyle w:val="4"/>
              <w:spacing w:before="48" w:after="48"/>
              <w:rPr>
                <w:color w:val="auto"/>
              </w:rPr>
            </w:pPr>
            <w:bookmarkStart w:id="1315" w:name="_Toc156144198"/>
            <w:bookmarkStart w:id="1316" w:name="_Toc161415598"/>
            <w:bookmarkStart w:id="1317" w:name="_Toc177072426"/>
            <w:bookmarkStart w:id="1318" w:name="_Toc177488238"/>
            <w:bookmarkStart w:id="1319" w:name="_Toc181293563"/>
            <w:bookmarkStart w:id="1320" w:name="_Toc181732841"/>
            <w:bookmarkStart w:id="1321" w:name="_Toc112424313"/>
            <w:bookmarkStart w:id="1322" w:name="_Toc181738248"/>
            <w:bookmarkStart w:id="1323" w:name="_Toc177072854"/>
            <w:bookmarkStart w:id="1324" w:name="_Toc136794360"/>
            <w:bookmarkStart w:id="1325" w:name="_Toc136794235"/>
            <w:bookmarkStart w:id="1326" w:name="_Toc156137884"/>
            <w:bookmarkStart w:id="1327" w:name="_Toc159349073"/>
            <w:bookmarkStart w:id="1328" w:name="_Toc160473844"/>
            <w:bookmarkStart w:id="1329" w:name="_Toc13202"/>
            <w:bookmarkStart w:id="1330" w:name="_Toc27127"/>
            <w:bookmarkStart w:id="1331" w:name="_Toc160730920"/>
            <w:bookmarkStart w:id="1332" w:name="_Toc177482926"/>
            <w:bookmarkStart w:id="1333" w:name="_Toc158491305"/>
            <w:bookmarkStart w:id="1334" w:name="_Toc112165676"/>
            <w:bookmarkStart w:id="1335" w:name="_Toc112173971"/>
            <w:r>
              <w:rPr>
                <w:color w:val="auto"/>
              </w:rPr>
              <w:t>选址合理性分析</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073BB9B4">
            <w:pPr>
              <w:ind w:firstLine="480"/>
              <w:rPr>
                <w:color w:val="auto"/>
              </w:rPr>
            </w:pPr>
            <w:r>
              <w:rPr>
                <w:rFonts w:hint="eastAsia"/>
                <w:color w:val="auto"/>
              </w:rPr>
              <w:t>根据《云南省大理州南涧县沙乐光伏发电项目可行性研究报告》，本项目场址中心距南涧县中心直线距离约30km。海拔高程在1760m～2323m之间，场址区域地面作物以台地茶为主，</w:t>
            </w:r>
            <w:r>
              <w:rPr>
                <w:color w:val="auto"/>
              </w:rPr>
              <w:t>零散分布种植有少量作物（豌豆和小麦）</w:t>
            </w:r>
            <w:r>
              <w:rPr>
                <w:rFonts w:hint="eastAsia"/>
                <w:color w:val="auto"/>
              </w:rPr>
              <w:t>。本项目场址年太阳总辐射为5718MJ/（m</w:t>
            </w:r>
            <w:r>
              <w:rPr>
                <w:rFonts w:hint="eastAsia"/>
                <w:color w:val="auto"/>
                <w:vertAlign w:val="superscript"/>
              </w:rPr>
              <w:t>2</w:t>
            </w:r>
            <w:r>
              <w:rPr>
                <w:rFonts w:hint="eastAsia"/>
                <w:color w:val="auto"/>
              </w:rPr>
              <w:t>.a），根据《太阳能资源评估方法》（GB/T37526-2019），判定其太阳能资源属于很丰富区，等级为B级，其资源具备开发条件。本项目所在区域代表年各月平均日水平面总辐照量最小值与最大值之比为0.66，根据《太阳能资源评估方法》（GB/T37526-2019）可判定本项目太阳能资源稳定度等级为A级，其太阳能资源稳定度属于很稳定级别，有利于太阳能能源的稳定输出。</w:t>
            </w:r>
          </w:p>
          <w:p w14:paraId="76601B7C">
            <w:pPr>
              <w:pStyle w:val="234"/>
              <w:adjustRightInd w:val="0"/>
              <w:snapToGrid w:val="0"/>
              <w:jc w:val="both"/>
              <w:rPr>
                <w:rFonts w:hint="eastAsia" w:eastAsia="宋体"/>
                <w:color w:val="auto"/>
                <w:kern w:val="0"/>
                <w:szCs w:val="24"/>
              </w:rPr>
            </w:pPr>
            <w:r>
              <w:rPr>
                <w:rFonts w:hint="eastAsia" w:ascii="Times New Roman" w:hAnsi="Times New Roman" w:eastAsia="宋体" w:cs="Times New Roman"/>
                <w:color w:val="auto"/>
                <w:kern w:val="0"/>
                <w:szCs w:val="24"/>
              </w:rPr>
              <w:t>本项目是太阳能光伏发电项目，属清洁能源，主要污染为施工期生态影响、噪声影响、扬尘影响，在采取相应的措施后均能达到相应质量标准，对周围环境的影响是短暂的，随着施工的结束而消失。运营期主要影响来为废水影响、固体废物影响、生态环境影响、环境风险等，本项目在采取本评价提出的各项污染防治对策措施和生态保护措施后，项目产生的环境影响均可得到有效控制，能够满足当地环境保护的要求，且不会改变当地的环境功能。</w:t>
            </w:r>
          </w:p>
          <w:p w14:paraId="51098C81">
            <w:pPr>
              <w:ind w:firstLine="480"/>
              <w:rPr>
                <w:rFonts w:cs="Times New Roman"/>
                <w:color w:val="auto"/>
                <w:kern w:val="0"/>
                <w:szCs w:val="24"/>
              </w:rPr>
            </w:pPr>
            <w:r>
              <w:rPr>
                <w:rFonts w:hint="eastAsia" w:cs="Times New Roman"/>
                <w:color w:val="auto"/>
                <w:kern w:val="0"/>
                <w:szCs w:val="24"/>
              </w:rPr>
              <w:t>综上所述，本项目选址环境合理。</w:t>
            </w:r>
          </w:p>
          <w:p w14:paraId="43EB9EAF">
            <w:pPr>
              <w:pStyle w:val="4"/>
              <w:spacing w:before="48" w:after="48"/>
              <w:rPr>
                <w:color w:val="auto"/>
              </w:rPr>
            </w:pPr>
            <w:r>
              <w:rPr>
                <w:rFonts w:hint="eastAsia"/>
                <w:color w:val="auto"/>
              </w:rPr>
              <w:t>项目选址环境合理性分析</w:t>
            </w:r>
          </w:p>
          <w:p w14:paraId="41337C43">
            <w:pPr>
              <w:pStyle w:val="5"/>
              <w:rPr>
                <w:color w:val="auto"/>
              </w:rPr>
            </w:pPr>
            <w:r>
              <w:rPr>
                <w:rFonts w:hint="eastAsia"/>
                <w:color w:val="auto"/>
              </w:rPr>
              <w:t>政府部门主管意见</w:t>
            </w:r>
          </w:p>
          <w:p w14:paraId="79BD3FEA">
            <w:pPr>
              <w:ind w:firstLine="480"/>
              <w:rPr>
                <w:color w:val="auto"/>
                <w:szCs w:val="21"/>
              </w:rPr>
            </w:pPr>
            <w:r>
              <w:rPr>
                <w:color w:val="auto"/>
                <w:szCs w:val="21"/>
              </w:rPr>
              <w:t>本项目为新建光伏电站项目，场址位于</w:t>
            </w:r>
            <w:r>
              <w:rPr>
                <w:rFonts w:hint="eastAsia"/>
                <w:color w:val="auto"/>
                <w:szCs w:val="21"/>
              </w:rPr>
              <w:t>大理州南涧县公郎镇</w:t>
            </w:r>
            <w:r>
              <w:rPr>
                <w:color w:val="auto"/>
                <w:szCs w:val="21"/>
              </w:rPr>
              <w:t>。</w:t>
            </w:r>
            <w:r>
              <w:rPr>
                <w:rFonts w:hint="eastAsia"/>
                <w:color w:val="auto"/>
                <w:szCs w:val="21"/>
              </w:rPr>
              <w:t>项目已经取得南涧县林业和草原局、自然资源局、水务局和</w:t>
            </w:r>
            <w:r>
              <w:rPr>
                <w:color w:val="auto"/>
                <w:szCs w:val="21"/>
              </w:rPr>
              <w:t>大理州生态环境局南涧分局选址意见。</w:t>
            </w:r>
          </w:p>
          <w:p w14:paraId="6C49EDB0">
            <w:pPr>
              <w:ind w:firstLine="480"/>
              <w:rPr>
                <w:color w:val="auto"/>
                <w:szCs w:val="21"/>
              </w:rPr>
            </w:pPr>
            <w:r>
              <w:rPr>
                <w:rFonts w:hint="eastAsia"/>
                <w:color w:val="auto"/>
                <w:szCs w:val="21"/>
              </w:rPr>
              <w:t>根据《</w:t>
            </w:r>
            <w:r>
              <w:rPr>
                <w:color w:val="auto"/>
                <w:szCs w:val="21"/>
              </w:rPr>
              <w:fldChar w:fldCharType="begin"/>
            </w:r>
            <w:r>
              <w:rPr>
                <w:color w:val="auto"/>
                <w:szCs w:val="21"/>
              </w:rPr>
              <w:instrText xml:space="preserve"> </w:instrText>
            </w:r>
            <w:r>
              <w:rPr>
                <w:rFonts w:hint="eastAsia"/>
                <w:color w:val="auto"/>
                <w:szCs w:val="21"/>
              </w:rPr>
              <w:instrText xml:space="preserve">REF _Ref218625276 \h</w:instrText>
            </w:r>
            <w:r>
              <w:rPr>
                <w:color w:val="auto"/>
                <w:szCs w:val="21"/>
              </w:rPr>
              <w:instrText xml:space="preserve"> </w:instrText>
            </w:r>
            <w:r>
              <w:rPr>
                <w:color w:val="auto"/>
                <w:szCs w:val="21"/>
              </w:rPr>
              <w:fldChar w:fldCharType="separate"/>
            </w:r>
            <w:r>
              <w:rPr>
                <w:rFonts w:hint="eastAsia"/>
                <w:color w:val="auto"/>
              </w:rPr>
              <w:t>南涧彝族自治县林业和草原局关于沙乐光伏发电项目选址意见</w:t>
            </w:r>
            <w:r>
              <w:rPr>
                <w:color w:val="auto"/>
                <w:szCs w:val="21"/>
              </w:rPr>
              <w:fldChar w:fldCharType="end"/>
            </w:r>
            <w:r>
              <w:rPr>
                <w:rFonts w:hint="eastAsia"/>
                <w:color w:val="auto"/>
                <w:szCs w:val="21"/>
              </w:rPr>
              <w:t>》：“该项目建设不涉及占用湿地、各级自然保护区及其他类型自然保护地，世界自然遗产地，野生动物重要栖息地，珍稀濒危和极小种群野生植物重要原生境和天然林保护重点区域。”本项目用地范围不涉及林地、草地、公益林、自然保护区以及风景名胜区，</w:t>
            </w:r>
            <w:r>
              <w:rPr>
                <w:color w:val="auto"/>
                <w:szCs w:val="21"/>
              </w:rPr>
              <w:t>项目施工期临时设置的施工临时设施区、临时施工道路等，禁止使用乔木林地；电池组件阵列禁止使用有林地、疏林地、未成林造林地、采伐迹地、火烧迹地。</w:t>
            </w:r>
          </w:p>
          <w:p w14:paraId="6B30788A">
            <w:pPr>
              <w:ind w:firstLine="480"/>
              <w:rPr>
                <w:color w:val="auto"/>
                <w:szCs w:val="21"/>
              </w:rPr>
            </w:pPr>
            <w:r>
              <w:rPr>
                <w:rFonts w:hint="eastAsia"/>
                <w:color w:val="auto"/>
                <w:szCs w:val="21"/>
              </w:rPr>
              <w:t>根据《</w:t>
            </w:r>
            <w:r>
              <w:rPr>
                <w:color w:val="auto"/>
                <w:szCs w:val="21"/>
              </w:rPr>
              <w:fldChar w:fldCharType="begin"/>
            </w:r>
            <w:r>
              <w:rPr>
                <w:color w:val="auto"/>
                <w:szCs w:val="21"/>
              </w:rPr>
              <w:instrText xml:space="preserve"> </w:instrText>
            </w:r>
            <w:r>
              <w:rPr>
                <w:rFonts w:hint="eastAsia"/>
                <w:color w:val="auto"/>
                <w:szCs w:val="21"/>
              </w:rPr>
              <w:instrText xml:space="preserve">REF _Ref218539235 \h</w:instrText>
            </w:r>
            <w:r>
              <w:rPr>
                <w:color w:val="auto"/>
                <w:szCs w:val="21"/>
              </w:rPr>
              <w:instrText xml:space="preserve"> </w:instrText>
            </w:r>
            <w:r>
              <w:rPr>
                <w:color w:val="auto"/>
                <w:szCs w:val="21"/>
              </w:rPr>
              <w:fldChar w:fldCharType="separate"/>
            </w:r>
            <w:r>
              <w:rPr>
                <w:rFonts w:hint="eastAsia"/>
                <w:color w:val="auto"/>
                <w:szCs w:val="28"/>
              </w:rPr>
              <w:t>南涧彝族自治县自然资源局关于沙乐光伏发电项目用地审查意见</w:t>
            </w:r>
            <w:r>
              <w:rPr>
                <w:color w:val="auto"/>
                <w:szCs w:val="21"/>
              </w:rPr>
              <w:fldChar w:fldCharType="end"/>
            </w:r>
            <w:r>
              <w:rPr>
                <w:rFonts w:hint="eastAsia"/>
                <w:color w:val="auto"/>
                <w:szCs w:val="21"/>
              </w:rPr>
              <w:t>》：“未占用南涧县永久基本农田核实处置成果，未占用南涧县生态保护红线，未占用城镇开发边界线，未占用南涧县2024年国土变更调查现状耕地，未占用南涧县耕地后备资源，未占用南涧县耕地后备资源补充空间。”本项目选址不占用生态保护红线、永久基本农田、城镇开发边界以及耕地，与各类管控红线不交叉重叠，符合光伏项目建设用地要求。</w:t>
            </w:r>
          </w:p>
          <w:p w14:paraId="3D8D2CDC">
            <w:pPr>
              <w:ind w:firstLine="480"/>
              <w:rPr>
                <w:color w:val="auto"/>
                <w:szCs w:val="21"/>
              </w:rPr>
            </w:pPr>
            <w:r>
              <w:rPr>
                <w:rFonts w:hint="eastAsia"/>
                <w:color w:val="auto"/>
                <w:szCs w:val="21"/>
              </w:rPr>
              <w:t>根据《</w:t>
            </w:r>
            <w:r>
              <w:rPr>
                <w:color w:val="auto"/>
                <w:szCs w:val="21"/>
              </w:rPr>
              <w:fldChar w:fldCharType="begin"/>
            </w:r>
            <w:r>
              <w:rPr>
                <w:color w:val="auto"/>
                <w:szCs w:val="21"/>
              </w:rPr>
              <w:instrText xml:space="preserve"> </w:instrText>
            </w:r>
            <w:r>
              <w:rPr>
                <w:rFonts w:hint="eastAsia"/>
                <w:color w:val="auto"/>
                <w:szCs w:val="21"/>
              </w:rPr>
              <w:instrText xml:space="preserve">REF _Ref218542484 \h</w:instrText>
            </w:r>
            <w:r>
              <w:rPr>
                <w:color w:val="auto"/>
                <w:szCs w:val="21"/>
              </w:rPr>
              <w:instrText xml:space="preserve"> </w:instrText>
            </w:r>
            <w:r>
              <w:rPr>
                <w:color w:val="auto"/>
                <w:szCs w:val="21"/>
              </w:rPr>
              <w:fldChar w:fldCharType="separate"/>
            </w:r>
            <w:r>
              <w:rPr>
                <w:rFonts w:hint="eastAsia"/>
                <w:color w:val="auto"/>
              </w:rPr>
              <w:t>大理白族自治州生态环境局南涧分局关于沙乐光伏发电项目二次选址的意见</w:t>
            </w:r>
            <w:r>
              <w:rPr>
                <w:color w:val="auto"/>
                <w:szCs w:val="21"/>
              </w:rPr>
              <w:fldChar w:fldCharType="end"/>
            </w:r>
            <w:r>
              <w:rPr>
                <w:rFonts w:hint="eastAsia"/>
                <w:color w:val="auto"/>
                <w:szCs w:val="21"/>
              </w:rPr>
              <w:t>》：“沙乐光伏发电项目初步选址不涉及划定的饮用水水源保护区范围，我局原则同意该项目初步选址。”</w:t>
            </w:r>
            <w:r>
              <w:rPr>
                <w:color w:val="auto"/>
                <w:szCs w:val="21"/>
              </w:rPr>
              <w:t>根据《饮用水源保护条例》，项目区内不涉及划定的饮用水源保护区。另外，项目施工期生产废水由施工机械的冲洗、混凝土养护产生，经过临时沉砂池沉淀处理后</w:t>
            </w:r>
            <w:r>
              <w:rPr>
                <w:rFonts w:hint="eastAsia"/>
                <w:color w:val="auto"/>
                <w:szCs w:val="21"/>
              </w:rPr>
              <w:t>回用</w:t>
            </w:r>
            <w:r>
              <w:rPr>
                <w:color w:val="auto"/>
                <w:szCs w:val="21"/>
              </w:rPr>
              <w:t>，不外排；运营期生活污水可以全部用于绿化，不外排，对周围水体影响较小。</w:t>
            </w:r>
          </w:p>
          <w:p w14:paraId="6BFECEF5">
            <w:pPr>
              <w:ind w:firstLine="480"/>
              <w:rPr>
                <w:color w:val="auto"/>
                <w:szCs w:val="21"/>
              </w:rPr>
            </w:pPr>
            <w:r>
              <w:rPr>
                <w:rFonts w:hint="eastAsia"/>
                <w:color w:val="auto"/>
                <w:szCs w:val="21"/>
              </w:rPr>
              <w:t>根据《</w:t>
            </w:r>
            <w:r>
              <w:rPr>
                <w:color w:val="auto"/>
                <w:szCs w:val="21"/>
              </w:rPr>
              <w:fldChar w:fldCharType="begin"/>
            </w:r>
            <w:r>
              <w:rPr>
                <w:color w:val="auto"/>
                <w:szCs w:val="21"/>
              </w:rPr>
              <w:instrText xml:space="preserve"> </w:instrText>
            </w:r>
            <w:r>
              <w:rPr>
                <w:rFonts w:hint="eastAsia"/>
                <w:color w:val="auto"/>
                <w:szCs w:val="21"/>
              </w:rPr>
              <w:instrText xml:space="preserve">REF _Ref218696542 \h</w:instrText>
            </w:r>
            <w:r>
              <w:rPr>
                <w:color w:val="auto"/>
                <w:szCs w:val="21"/>
              </w:rPr>
              <w:instrText xml:space="preserve"> </w:instrText>
            </w:r>
            <w:r>
              <w:rPr>
                <w:color w:val="auto"/>
                <w:szCs w:val="21"/>
              </w:rPr>
              <w:fldChar w:fldCharType="separate"/>
            </w:r>
            <w:r>
              <w:rPr>
                <w:rFonts w:hint="eastAsia"/>
                <w:color w:val="auto"/>
                <w:szCs w:val="28"/>
              </w:rPr>
              <w:t>南涧彝族自治县水务局关于对沙乐光伏发电项目二次选址意见的复函</w:t>
            </w:r>
            <w:r>
              <w:rPr>
                <w:color w:val="auto"/>
                <w:szCs w:val="21"/>
              </w:rPr>
              <w:fldChar w:fldCharType="end"/>
            </w:r>
            <w:r>
              <w:rPr>
                <w:rFonts w:hint="eastAsia"/>
                <w:color w:val="auto"/>
                <w:szCs w:val="21"/>
              </w:rPr>
              <w:t>》：“原则同意选址意见，请项目开工建设前，依法完善报批水土保持方案手续。”本项目水土保持报告批复已经取得</w:t>
            </w:r>
            <w:r>
              <w:rPr>
                <w:color w:val="auto"/>
                <w:szCs w:val="21"/>
              </w:rPr>
              <w:t>。</w:t>
            </w:r>
          </w:p>
          <w:p w14:paraId="29568172">
            <w:pPr>
              <w:ind w:firstLine="480"/>
              <w:rPr>
                <w:color w:val="auto"/>
              </w:rPr>
            </w:pPr>
            <w:r>
              <w:rPr>
                <w:rFonts w:hint="eastAsia"/>
                <w:color w:val="auto"/>
              </w:rPr>
              <w:t>根据《</w:t>
            </w:r>
            <w:r>
              <w:rPr>
                <w:color w:val="auto"/>
              </w:rPr>
              <w:fldChar w:fldCharType="begin"/>
            </w:r>
            <w:r>
              <w:rPr>
                <w:color w:val="auto"/>
              </w:rPr>
              <w:instrText xml:space="preserve"> </w:instrText>
            </w:r>
            <w:r>
              <w:rPr>
                <w:rFonts w:hint="eastAsia"/>
                <w:color w:val="auto"/>
              </w:rPr>
              <w:instrText xml:space="preserve">REF _Ref218624242 \h</w:instrText>
            </w:r>
            <w:r>
              <w:rPr>
                <w:color w:val="auto"/>
              </w:rPr>
              <w:instrText xml:space="preserve"> </w:instrText>
            </w:r>
            <w:r>
              <w:rPr>
                <w:color w:val="auto"/>
              </w:rPr>
              <w:fldChar w:fldCharType="separate"/>
            </w:r>
            <w:r>
              <w:rPr>
                <w:rFonts w:hint="eastAsia"/>
                <w:color w:val="auto"/>
              </w:rPr>
              <w:t>云南无量山国家级自然保护区南涧管护局关于沙乐光伏发电项目二次选址意见的复函</w:t>
            </w:r>
            <w:r>
              <w:rPr>
                <w:color w:val="auto"/>
              </w:rPr>
              <w:fldChar w:fldCharType="end"/>
            </w:r>
            <w:r>
              <w:rPr>
                <w:rFonts w:hint="eastAsia"/>
                <w:color w:val="auto"/>
              </w:rPr>
              <w:t>》：“该光伏发电项目二次选址建设范围不涉及云南无量山国家级自然保护区南涧辖区原法定界线（国家已批复）和整合优化调整后的界线范围（国家未批复），距离无量山保护区原法定界线300米外。”项目用地影响范围不涉及云南无量山国家级自然保护区。</w:t>
            </w:r>
          </w:p>
          <w:p w14:paraId="76B0B060">
            <w:pPr>
              <w:ind w:firstLine="480"/>
              <w:rPr>
                <w:color w:val="auto"/>
                <w:szCs w:val="21"/>
              </w:rPr>
            </w:pPr>
            <w:r>
              <w:rPr>
                <w:color w:val="auto"/>
                <w:szCs w:val="21"/>
              </w:rPr>
              <w:t>综上所述，本项目已落实工程区周边国家级公益林、省级公益林、基本草原、基本农田、生态红线、有林地等限制开发区域，本次选址场址范围均不涉及上述区域，工程选址与当地的土地利用规划不冲突。</w:t>
            </w:r>
          </w:p>
          <w:p w14:paraId="736B5B64">
            <w:pPr>
              <w:pStyle w:val="5"/>
              <w:rPr>
                <w:color w:val="auto"/>
              </w:rPr>
            </w:pPr>
            <w:r>
              <w:rPr>
                <w:color w:val="auto"/>
              </w:rPr>
              <w:t>环境制约因素分析</w:t>
            </w:r>
          </w:p>
          <w:p w14:paraId="789E09BB">
            <w:pPr>
              <w:ind w:firstLine="480"/>
              <w:rPr>
                <w:color w:val="auto"/>
                <w:szCs w:val="21"/>
              </w:rPr>
            </w:pPr>
            <w:r>
              <w:rPr>
                <w:color w:val="auto"/>
                <w:szCs w:val="21"/>
              </w:rPr>
              <w:t>本项目评价范围内没有国家公园、自然保护区、风景名胜区、世界文化和自然遗产地、海洋特别保护区、饮用水水源保护区、文物保护单位、具有特殊历史、文化、科学、民族意义的保护地、学校、医院、工厂等。</w:t>
            </w:r>
          </w:p>
          <w:p w14:paraId="61E83541">
            <w:pPr>
              <w:ind w:firstLine="480"/>
              <w:rPr>
                <w:color w:val="auto"/>
                <w:szCs w:val="21"/>
              </w:rPr>
            </w:pPr>
            <w:r>
              <w:rPr>
                <w:color w:val="auto"/>
                <w:szCs w:val="21"/>
              </w:rPr>
              <w:t>根据环境质量现状分析，项目拟建区环境空气和水环境质量现状满足相应的环境功能区标准要求；经监测，项目升压站区及周边环境噪声、电磁环境现状监测值均满足相应标准的要求。</w:t>
            </w:r>
          </w:p>
          <w:p w14:paraId="244FF53A">
            <w:pPr>
              <w:ind w:firstLine="480"/>
              <w:rPr>
                <w:color w:val="auto"/>
                <w:szCs w:val="21"/>
              </w:rPr>
            </w:pPr>
            <w:r>
              <w:rPr>
                <w:color w:val="auto"/>
                <w:szCs w:val="21"/>
              </w:rPr>
              <w:t>因此，本项目的建设不存在环境制约因素。</w:t>
            </w:r>
          </w:p>
          <w:p w14:paraId="2A7F7A27">
            <w:pPr>
              <w:pStyle w:val="5"/>
              <w:rPr>
                <w:color w:val="auto"/>
              </w:rPr>
            </w:pPr>
            <w:r>
              <w:rPr>
                <w:rFonts w:hint="eastAsia"/>
                <w:color w:val="auto"/>
              </w:rPr>
              <w:t>项目选址环境合理性分析</w:t>
            </w:r>
          </w:p>
          <w:p w14:paraId="777DF9F7">
            <w:pPr>
              <w:ind w:firstLine="480"/>
              <w:rPr>
                <w:color w:val="auto"/>
                <w:szCs w:val="21"/>
              </w:rPr>
            </w:pPr>
            <w:r>
              <w:rPr>
                <w:rFonts w:hint="eastAsia"/>
                <w:color w:val="auto"/>
                <w:szCs w:val="21"/>
              </w:rPr>
              <w:t>本项目是太阳能光伏发电项目，属清洁能源，主要污染为施工期生态影响、噪声影响、扬尘影响，在采取相应的措施后均能达到相应质量标准，对周围环境的影响是短暂的，随着施工的结束而消失。运营期主要影响来为废水影响、固体废物影响、生态环境影响、环境风险等，本项目在采取本评价提出的各项污染防治对策措施和生态保护措施后，项目产生的环境影响均可得到有效控制，能够满足当地环境保护的要求，且不会改变当地的环境功能</w:t>
            </w:r>
            <w:r>
              <w:rPr>
                <w:color w:val="auto"/>
                <w:szCs w:val="21"/>
              </w:rPr>
              <w:t>。</w:t>
            </w:r>
          </w:p>
          <w:p w14:paraId="36EB63BB">
            <w:pPr>
              <w:ind w:firstLine="480"/>
              <w:rPr>
                <w:color w:val="auto"/>
                <w:szCs w:val="21"/>
              </w:rPr>
            </w:pPr>
            <w:r>
              <w:rPr>
                <w:color w:val="auto"/>
                <w:szCs w:val="21"/>
              </w:rPr>
              <w:t>综上所述，本项目不存在环境制约因素，污染物均能达标排放。从环保角度分析，本项目的选址是合理的。</w:t>
            </w:r>
          </w:p>
          <w:p w14:paraId="7F5DBF17">
            <w:pPr>
              <w:pStyle w:val="4"/>
              <w:spacing w:before="48" w:after="48"/>
              <w:rPr>
                <w:color w:val="auto"/>
              </w:rPr>
            </w:pPr>
            <w:bookmarkStart w:id="1336" w:name="_Toc136794236"/>
            <w:bookmarkStart w:id="1337" w:name="_Toc16563"/>
            <w:bookmarkStart w:id="1338" w:name="_Toc112424314"/>
            <w:bookmarkStart w:id="1339" w:name="_Toc112173972"/>
            <w:bookmarkStart w:id="1340" w:name="_Toc156137885"/>
            <w:bookmarkStart w:id="1341" w:name="_Toc156144199"/>
            <w:bookmarkStart w:id="1342" w:name="_Toc112165677"/>
            <w:bookmarkStart w:id="1343" w:name="_Toc136794361"/>
            <w:bookmarkStart w:id="1344" w:name="_Toc25792"/>
            <w:bookmarkStart w:id="1345" w:name="_Toc181293564"/>
            <w:bookmarkStart w:id="1346" w:name="_Toc158491306"/>
            <w:bookmarkStart w:id="1347" w:name="_Toc181738249"/>
            <w:bookmarkStart w:id="1348" w:name="_Toc161415599"/>
            <w:bookmarkStart w:id="1349" w:name="_Toc181732842"/>
            <w:bookmarkStart w:id="1350" w:name="_Toc160730921"/>
            <w:bookmarkStart w:id="1351" w:name="_Toc177482927"/>
            <w:bookmarkStart w:id="1352" w:name="_Toc159349074"/>
            <w:bookmarkStart w:id="1353" w:name="_Toc177072427"/>
            <w:bookmarkStart w:id="1354" w:name="_Toc177488239"/>
            <w:bookmarkStart w:id="1355" w:name="_Toc160473845"/>
            <w:bookmarkStart w:id="1356" w:name="_Toc177072855"/>
            <w:r>
              <w:rPr>
                <w:color w:val="auto"/>
              </w:rPr>
              <w:t>项目总平面布置合理性分析</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4A78E478">
            <w:pPr>
              <w:ind w:firstLine="480"/>
              <w:rPr>
                <w:color w:val="auto"/>
                <w:szCs w:val="21"/>
              </w:rPr>
            </w:pPr>
            <w:r>
              <w:rPr>
                <w:color w:val="auto"/>
                <w:szCs w:val="21"/>
              </w:rPr>
              <w:t>根据场址总体布局规划，场址位于</w:t>
            </w:r>
            <w:r>
              <w:rPr>
                <w:rFonts w:hint="eastAsia"/>
                <w:color w:val="auto"/>
                <w:szCs w:val="21"/>
              </w:rPr>
              <w:t>南涧县公郎镇</w:t>
            </w:r>
            <w:r>
              <w:rPr>
                <w:color w:val="auto"/>
                <w:szCs w:val="21"/>
              </w:rPr>
              <w:t>，主要布置</w:t>
            </w:r>
            <w:r>
              <w:rPr>
                <w:rFonts w:hint="eastAsia"/>
                <w:color w:val="auto"/>
                <w:szCs w:val="21"/>
              </w:rPr>
              <w:t>光伏</w:t>
            </w:r>
            <w:r>
              <w:rPr>
                <w:color w:val="auto"/>
                <w:szCs w:val="21"/>
              </w:rPr>
              <w:t>方阵、逆变器室、35kV箱式变、场内道路、</w:t>
            </w:r>
            <w:r>
              <w:rPr>
                <w:rFonts w:hint="eastAsia"/>
                <w:color w:val="auto"/>
                <w:szCs w:val="21"/>
              </w:rPr>
              <w:t>集电线路、施工生产区</w:t>
            </w:r>
            <w:r>
              <w:rPr>
                <w:color w:val="auto"/>
                <w:szCs w:val="21"/>
              </w:rPr>
              <w:t>等。项目功能分区明显、生产生活隔开，避免了相互干扰。发电单元间有场内道路，生活楼设置较为合理，交通便利。总体来说，项目平面布局合理。</w:t>
            </w:r>
          </w:p>
          <w:p w14:paraId="1AE1A70A">
            <w:pPr>
              <w:ind w:firstLine="480"/>
              <w:rPr>
                <w:color w:val="auto"/>
                <w:szCs w:val="21"/>
              </w:rPr>
            </w:pPr>
            <w:r>
              <w:rPr>
                <w:rFonts w:hint="eastAsia"/>
                <w:color w:val="auto"/>
                <w:szCs w:val="21"/>
              </w:rPr>
              <w:t>①本项目场址占地范围无居民分布，不涉及民房拆迁，对周围居民影响较小；本项目声环境评价范围内分布有11处声敏感目标，根据预测分析，本项目投运后产生的噪声能满足相应评价标准要求。</w:t>
            </w:r>
          </w:p>
          <w:p w14:paraId="5DD1DD22">
            <w:pPr>
              <w:ind w:firstLine="480"/>
              <w:rPr>
                <w:color w:val="auto"/>
                <w:szCs w:val="21"/>
              </w:rPr>
            </w:pPr>
            <w:r>
              <w:rPr>
                <w:rFonts w:hint="eastAsia"/>
                <w:color w:val="auto"/>
                <w:szCs w:val="21"/>
              </w:rPr>
              <w:t>②本项目为新建光伏发电系统，升压站依托德安22</w:t>
            </w:r>
            <w:r>
              <w:rPr>
                <w:color w:val="auto"/>
                <w:szCs w:val="21"/>
              </w:rPr>
              <w:t>0kV</w:t>
            </w:r>
            <w:r>
              <w:rPr>
                <w:rFonts w:hint="eastAsia"/>
                <w:color w:val="auto"/>
                <w:szCs w:val="21"/>
              </w:rPr>
              <w:t>升压站，其主变容量已考虑本期容量，升压站内设生活区、危废贮存库等，已统筹考虑本项目运营期产生的生活污水、固废等，项目运营期依托升压站已建环保设施处理方案可行。</w:t>
            </w:r>
          </w:p>
          <w:p w14:paraId="571D4B86">
            <w:pPr>
              <w:ind w:firstLine="480"/>
              <w:rPr>
                <w:color w:val="auto"/>
                <w:szCs w:val="21"/>
              </w:rPr>
            </w:pPr>
            <w:r>
              <w:rPr>
                <w:rFonts w:hint="eastAsia"/>
                <w:color w:val="auto"/>
                <w:szCs w:val="21"/>
              </w:rPr>
              <w:t>③本项目运营期产生的生活污水、固体废物等，经依托升压站内环保设施处理后及时处置，能够做到达标排放，不会对周边产生不良影响。</w:t>
            </w:r>
          </w:p>
          <w:p w14:paraId="19E73C48">
            <w:pPr>
              <w:ind w:firstLine="480"/>
              <w:rPr>
                <w:color w:val="auto"/>
                <w:szCs w:val="21"/>
              </w:rPr>
            </w:pPr>
            <w:r>
              <w:rPr>
                <w:rFonts w:hint="eastAsia"/>
                <w:color w:val="auto"/>
                <w:szCs w:val="21"/>
              </w:rPr>
              <w:t>④项目所在地环境质量现状良好，无重大环境制约因素，本项目主要污染为施工期生态影响、噪声影响、扬尘影响，在采取相应的措施后均能达到相应质量标准，对周围环境的影响是短暂的，随着施工的结束而消失。运营期主要影响来为废水影响、固体废物影响、生态环境影响、环境风险等，本项目在采取本评价提出的各项污染防治对策措施和生态保护措施后，项目产生的环境影响均可得到有效控制，能够满足当地环境保护的要求，且不会改变当地的环境功能。</w:t>
            </w:r>
          </w:p>
          <w:p w14:paraId="57005F83">
            <w:pPr>
              <w:ind w:firstLine="480"/>
              <w:rPr>
                <w:color w:val="auto"/>
                <w:szCs w:val="21"/>
              </w:rPr>
            </w:pPr>
            <w:r>
              <w:rPr>
                <w:rFonts w:hint="eastAsia"/>
                <w:color w:val="auto"/>
                <w:szCs w:val="21"/>
              </w:rPr>
              <w:t>⑤本项目按照云自然资〔</w:t>
            </w:r>
            <w:r>
              <w:rPr>
                <w:color w:val="auto"/>
                <w:szCs w:val="21"/>
              </w:rPr>
              <w:t>2019</w:t>
            </w:r>
            <w:r>
              <w:rPr>
                <w:rFonts w:hint="eastAsia"/>
                <w:color w:val="auto"/>
                <w:szCs w:val="21"/>
              </w:rPr>
              <w:t>〕</w:t>
            </w:r>
            <w:r>
              <w:rPr>
                <w:color w:val="auto"/>
                <w:szCs w:val="21"/>
              </w:rPr>
              <w:t xml:space="preserve">196 </w:t>
            </w:r>
            <w:r>
              <w:rPr>
                <w:rFonts w:hint="eastAsia"/>
                <w:color w:val="auto"/>
                <w:szCs w:val="21"/>
              </w:rPr>
              <w:t>号文的要求，严格执行最低沿高于地面</w:t>
            </w:r>
            <w:r>
              <w:rPr>
                <w:color w:val="auto"/>
                <w:szCs w:val="21"/>
              </w:rPr>
              <w:t>2.5m</w:t>
            </w:r>
            <w:r>
              <w:rPr>
                <w:rFonts w:hint="eastAsia"/>
                <w:color w:val="auto"/>
                <w:szCs w:val="21"/>
              </w:rPr>
              <w:t>、桩基间列间距大于</w:t>
            </w:r>
            <w:r>
              <w:rPr>
                <w:color w:val="auto"/>
                <w:szCs w:val="21"/>
              </w:rPr>
              <w:t>4m</w:t>
            </w:r>
            <w:r>
              <w:rPr>
                <w:rFonts w:hint="eastAsia"/>
                <w:color w:val="auto"/>
                <w:szCs w:val="21"/>
              </w:rPr>
              <w:t>、行间距大于</w:t>
            </w:r>
            <w:r>
              <w:rPr>
                <w:color w:val="auto"/>
                <w:szCs w:val="21"/>
              </w:rPr>
              <w:t xml:space="preserve">6.5m </w:t>
            </w:r>
            <w:r>
              <w:rPr>
                <w:rFonts w:hint="eastAsia"/>
                <w:color w:val="auto"/>
                <w:szCs w:val="21"/>
              </w:rPr>
              <w:t>的架设要求，能最大限度地保存作物生长条件，降低对光伏面板下作物生长的影响。</w:t>
            </w:r>
          </w:p>
          <w:p w14:paraId="445CF7C3">
            <w:pPr>
              <w:ind w:firstLine="480"/>
              <w:rPr>
                <w:color w:val="auto"/>
                <w:szCs w:val="21"/>
              </w:rPr>
            </w:pPr>
            <w:r>
              <w:rPr>
                <w:rFonts w:hint="eastAsia"/>
                <w:color w:val="auto"/>
                <w:szCs w:val="21"/>
              </w:rPr>
              <w:t>⑥本项目采用</w:t>
            </w:r>
            <w:r>
              <w:rPr>
                <w:color w:val="auto"/>
                <w:szCs w:val="21"/>
              </w:rPr>
              <w:t>“</w:t>
            </w:r>
            <w:r>
              <w:rPr>
                <w:rFonts w:hint="eastAsia"/>
                <w:color w:val="auto"/>
                <w:szCs w:val="21"/>
              </w:rPr>
              <w:t>农业种植</w:t>
            </w:r>
            <w:r>
              <w:rPr>
                <w:color w:val="auto"/>
                <w:szCs w:val="21"/>
              </w:rPr>
              <w:t>+</w:t>
            </w:r>
            <w:r>
              <w:rPr>
                <w:rFonts w:hint="eastAsia"/>
                <w:color w:val="auto"/>
                <w:szCs w:val="21"/>
              </w:rPr>
              <w:t>光伏发电</w:t>
            </w:r>
            <w:r>
              <w:rPr>
                <w:color w:val="auto"/>
                <w:szCs w:val="21"/>
              </w:rPr>
              <w:t>”</w:t>
            </w:r>
            <w:r>
              <w:rPr>
                <w:rFonts w:hint="eastAsia"/>
                <w:color w:val="auto"/>
                <w:szCs w:val="21"/>
              </w:rPr>
              <w:t>建设方案，光伏组件支架较高，环境敏感目标均不在光伏面板的反射光影响范围内，光伏面板反射光对环境敏感目标无影响。</w:t>
            </w:r>
          </w:p>
          <w:p w14:paraId="3D99BF25">
            <w:pPr>
              <w:ind w:firstLine="480"/>
              <w:rPr>
                <w:color w:val="auto"/>
                <w:szCs w:val="21"/>
              </w:rPr>
            </w:pPr>
            <w:r>
              <w:rPr>
                <w:rFonts w:hint="eastAsia"/>
                <w:color w:val="auto"/>
                <w:szCs w:val="21"/>
              </w:rPr>
              <w:t>综上所述，本项目选址选择及运行期产生的环境影响均符合相应的法律法规、导则标准相关要求，从环境制约因素和环境影响程度分析，本项目光伏电站场址选择合理。</w:t>
            </w:r>
          </w:p>
          <w:p w14:paraId="4E46B6F9">
            <w:pPr>
              <w:pStyle w:val="4"/>
              <w:spacing w:before="48" w:after="48"/>
              <w:rPr>
                <w:color w:val="auto"/>
              </w:rPr>
            </w:pPr>
            <w:bookmarkStart w:id="1357" w:name="_Toc136794362"/>
            <w:bookmarkStart w:id="1358" w:name="_Toc25879"/>
            <w:bookmarkStart w:id="1359" w:name="_Toc156137886"/>
            <w:bookmarkStart w:id="1360" w:name="_Toc158491307"/>
            <w:bookmarkStart w:id="1361" w:name="_Toc156144200"/>
            <w:bookmarkStart w:id="1362" w:name="_Toc160730922"/>
            <w:bookmarkStart w:id="1363" w:name="_Toc177072856"/>
            <w:bookmarkStart w:id="1364" w:name="_Toc136794237"/>
            <w:bookmarkStart w:id="1365" w:name="_Toc177482928"/>
            <w:bookmarkStart w:id="1366" w:name="_Toc181738250"/>
            <w:bookmarkStart w:id="1367" w:name="_Toc159349075"/>
            <w:bookmarkStart w:id="1368" w:name="_Toc177072428"/>
            <w:bookmarkStart w:id="1369" w:name="_Toc16998"/>
            <w:bookmarkStart w:id="1370" w:name="_Toc161415600"/>
            <w:bookmarkStart w:id="1371" w:name="_Toc177488240"/>
            <w:bookmarkStart w:id="1372" w:name="_Toc181293565"/>
            <w:bookmarkStart w:id="1373" w:name="_Toc181732843"/>
            <w:bookmarkStart w:id="1374" w:name="_Toc160473846"/>
            <w:r>
              <w:rPr>
                <w:color w:val="auto"/>
              </w:rPr>
              <w:t>施工布置合理性分析</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09E641B5">
            <w:pPr>
              <w:ind w:firstLine="482"/>
              <w:rPr>
                <w:b/>
                <w:bCs/>
                <w:color w:val="auto"/>
                <w:szCs w:val="21"/>
              </w:rPr>
            </w:pPr>
            <w:r>
              <w:rPr>
                <w:b/>
                <w:bCs/>
                <w:color w:val="auto"/>
                <w:szCs w:val="21"/>
              </w:rPr>
              <w:t>1）</w:t>
            </w:r>
            <w:r>
              <w:rPr>
                <w:rFonts w:hint="eastAsia"/>
                <w:b/>
                <w:bCs/>
                <w:color w:val="auto"/>
                <w:szCs w:val="21"/>
              </w:rPr>
              <w:t>“</w:t>
            </w:r>
            <w:r>
              <w:rPr>
                <w:b/>
                <w:bCs/>
                <w:color w:val="auto"/>
                <w:szCs w:val="21"/>
              </w:rPr>
              <w:t>施工三场</w:t>
            </w:r>
            <w:r>
              <w:rPr>
                <w:rFonts w:hint="eastAsia"/>
                <w:b/>
                <w:bCs/>
                <w:color w:val="auto"/>
                <w:szCs w:val="21"/>
              </w:rPr>
              <w:t>”</w:t>
            </w:r>
            <w:r>
              <w:rPr>
                <w:b/>
                <w:bCs/>
                <w:color w:val="auto"/>
                <w:szCs w:val="21"/>
              </w:rPr>
              <w:t>选址的环境合理性</w:t>
            </w:r>
          </w:p>
          <w:p w14:paraId="617368A9">
            <w:pPr>
              <w:ind w:firstLine="480"/>
              <w:rPr>
                <w:color w:val="auto"/>
                <w:szCs w:val="21"/>
              </w:rPr>
            </w:pPr>
            <w:r>
              <w:rPr>
                <w:rFonts w:hint="eastAsia"/>
                <w:color w:val="auto"/>
                <w:szCs w:val="21"/>
              </w:rPr>
              <w:t>本项目所需砂石料、水泥、钢材、木材、油料和火工材料等建筑材料可就近从南涧县及附近乡镇采购，无需设置专门的采石场、料场。</w:t>
            </w:r>
          </w:p>
          <w:p w14:paraId="2383062B">
            <w:pPr>
              <w:ind w:firstLine="480"/>
              <w:rPr>
                <w:color w:val="auto"/>
                <w:szCs w:val="21"/>
              </w:rPr>
            </w:pPr>
            <w:r>
              <w:rPr>
                <w:rFonts w:hint="eastAsia"/>
                <w:color w:val="auto"/>
                <w:szCs w:val="21"/>
              </w:rPr>
              <w:t>根据项目水保方案，项目剥离表土1.43万m</w:t>
            </w:r>
            <w:r>
              <w:rPr>
                <w:rFonts w:hint="eastAsia"/>
                <w:color w:val="auto"/>
                <w:szCs w:val="21"/>
                <w:vertAlign w:val="superscript"/>
              </w:rPr>
              <w:t>3</w:t>
            </w:r>
            <w:r>
              <w:rPr>
                <w:rFonts w:hint="eastAsia"/>
                <w:color w:val="auto"/>
                <w:szCs w:val="21"/>
              </w:rPr>
              <w:t>，集电线路直埋电缆沟表土堆放在管沟一侧，架空线路剥离表土临时堆放于各塔基用地一角，场内道路区收集表土主要用于道路填方边坡植被恢复，光伏方阵区的施工营场地区剥离的表土临时堆放于各场地一角，并采取临时防护措施。本项目场内道路区表土即挖即用，剩余表土临时堆放至弯道加宽处，施工营场地表堆放在各场地一角，直埋电缆沟表土堆放在电缆沟一侧，架空线路表土堆放在各塔基占地范围内，均不布置集中堆放场地，方案设计的临时堆土场均位于项目红线内，不新增临时占地，周边不涉及沟箐河流，对周边环境产生的影响较小。</w:t>
            </w:r>
          </w:p>
          <w:p w14:paraId="7490733D">
            <w:pPr>
              <w:ind w:firstLine="480"/>
              <w:rPr>
                <w:color w:val="auto"/>
                <w:szCs w:val="21"/>
              </w:rPr>
            </w:pPr>
            <w:r>
              <w:rPr>
                <w:rFonts w:hint="eastAsia"/>
                <w:color w:val="auto"/>
                <w:szCs w:val="21"/>
              </w:rPr>
              <w:t>本项目回填表土源自前期表土剥离收集，不进行外购，故不涉及取土场。本项目无永久弃方产生，故不涉及弃渣场。</w:t>
            </w:r>
          </w:p>
          <w:p w14:paraId="64A1E045">
            <w:pPr>
              <w:ind w:firstLine="480"/>
              <w:rPr>
                <w:color w:val="auto"/>
                <w:szCs w:val="21"/>
              </w:rPr>
            </w:pPr>
            <w:r>
              <w:rPr>
                <w:color w:val="auto"/>
                <w:szCs w:val="21"/>
              </w:rPr>
              <w:t>综上，本</w:t>
            </w:r>
            <w:r>
              <w:rPr>
                <w:rFonts w:hint="eastAsia"/>
                <w:color w:val="auto"/>
                <w:szCs w:val="21"/>
              </w:rPr>
              <w:t>项目</w:t>
            </w:r>
            <w:r>
              <w:rPr>
                <w:color w:val="auto"/>
                <w:szCs w:val="21"/>
              </w:rPr>
              <w:t>施工三场设置</w:t>
            </w:r>
            <w:r>
              <w:rPr>
                <w:rFonts w:hint="eastAsia"/>
                <w:color w:val="auto"/>
                <w:szCs w:val="21"/>
              </w:rPr>
              <w:t>选址是</w:t>
            </w:r>
            <w:r>
              <w:rPr>
                <w:color w:val="auto"/>
                <w:szCs w:val="21"/>
              </w:rPr>
              <w:t>合理的。</w:t>
            </w:r>
          </w:p>
          <w:p w14:paraId="3125B3AC">
            <w:pPr>
              <w:ind w:firstLine="482"/>
              <w:rPr>
                <w:b/>
                <w:bCs/>
                <w:color w:val="auto"/>
                <w:szCs w:val="21"/>
              </w:rPr>
            </w:pPr>
            <w:r>
              <w:rPr>
                <w:b/>
                <w:bCs/>
                <w:color w:val="auto"/>
                <w:szCs w:val="21"/>
              </w:rPr>
              <w:t>2）施工场地选址合理性分析</w:t>
            </w:r>
          </w:p>
          <w:p w14:paraId="0E6AA9F3">
            <w:pPr>
              <w:ind w:firstLine="480"/>
              <w:rPr>
                <w:color w:val="auto"/>
                <w:szCs w:val="21"/>
              </w:rPr>
            </w:pPr>
            <w:r>
              <w:rPr>
                <w:rFonts w:hint="eastAsia"/>
                <w:color w:val="auto"/>
                <w:szCs w:val="21"/>
              </w:rPr>
              <w:t>根据主体设计，结合项目实际施工情况，本项目业主、承包商及施工人员临时居住、办公等场地均采用租用民房解决，</w:t>
            </w:r>
            <w:r>
              <w:rPr>
                <w:color w:val="auto"/>
                <w:szCs w:val="21"/>
              </w:rPr>
              <w:t>在施工现场主要设置的临建设施有：施工生活区、综合加工厂、综合仓库，从安全及环保角度出发，在与光伏电池组件相邻的地势较平坦区域设置，同时生活区靠近仓库。型钢、钢筋等可露天堆放，电池板组件、缆线、主要发电和电气设备等需仓库存放。并通过提高对外运输效率以减少现场库存量，考虑现场零星的机械修配。</w:t>
            </w:r>
          </w:p>
          <w:p w14:paraId="2D06884D">
            <w:pPr>
              <w:ind w:firstLine="480"/>
              <w:rPr>
                <w:color w:val="auto"/>
                <w:szCs w:val="21"/>
              </w:rPr>
            </w:pPr>
            <w:r>
              <w:rPr>
                <w:rFonts w:hint="eastAsia"/>
                <w:color w:val="auto"/>
              </w:rPr>
              <w:t>规划布置施工场地4处，布置于场内道路一侧光伏方阵区平坦位置，以满足材料设备一次运输到位，其中1#施工营地位于S10地块内西南侧、2#施工营地位于S20地块内西侧、3#施工营地位于S17地块内东侧和4#施工营地位于S02地块内东南侧，场地内布置综合加工厂、综合仓库等，占地</w:t>
            </w:r>
            <w:r>
              <w:rPr>
                <w:rFonts w:cs="Times New Roman"/>
                <w:color w:val="auto"/>
              </w:rPr>
              <w:t>0.45hm</w:t>
            </w:r>
            <w:r>
              <w:rPr>
                <w:rFonts w:cs="Times New Roman"/>
                <w:color w:val="auto"/>
                <w:vertAlign w:val="superscript"/>
              </w:rPr>
              <w:t>2</w:t>
            </w:r>
            <w:r>
              <w:rPr>
                <w:rFonts w:hint="eastAsia"/>
                <w:color w:val="auto"/>
              </w:rPr>
              <w:t>，占地类型为园地</w:t>
            </w:r>
            <w:r>
              <w:rPr>
                <w:rFonts w:hint="eastAsia"/>
                <w:color w:val="auto"/>
                <w:szCs w:val="21"/>
              </w:rPr>
              <w:t>。施工临时生产设施占地类型主要为园地，占地面积为</w:t>
            </w:r>
            <w:r>
              <w:rPr>
                <w:color w:val="auto"/>
                <w:szCs w:val="21"/>
              </w:rPr>
              <w:t>0.</w:t>
            </w:r>
            <w:r>
              <w:rPr>
                <w:rFonts w:hint="eastAsia"/>
                <w:color w:val="auto"/>
                <w:szCs w:val="21"/>
              </w:rPr>
              <w:t>45</w:t>
            </w:r>
            <w:r>
              <w:rPr>
                <w:color w:val="auto"/>
                <w:szCs w:val="21"/>
              </w:rPr>
              <w:t>hm</w:t>
            </w:r>
            <w:r>
              <w:rPr>
                <w:color w:val="auto"/>
                <w:szCs w:val="21"/>
                <w:vertAlign w:val="superscript"/>
              </w:rPr>
              <w:t>2</w:t>
            </w:r>
            <w:r>
              <w:rPr>
                <w:rFonts w:hint="eastAsia"/>
                <w:color w:val="auto"/>
                <w:szCs w:val="21"/>
              </w:rPr>
              <w:t>，占地面积小，不涉及占用原生植被。同时施工临建场地不涉及自然保护区、风景名胜区、饮用水水源保护区等需要特殊保护的区域，不占用生态保护红线、生态公益林、基本农田。</w:t>
            </w:r>
          </w:p>
          <w:p w14:paraId="6EA7AE36">
            <w:pPr>
              <w:ind w:firstLine="480"/>
              <w:rPr>
                <w:color w:val="auto"/>
                <w:szCs w:val="21"/>
              </w:rPr>
            </w:pPr>
            <w:r>
              <w:rPr>
                <w:rFonts w:hint="eastAsia"/>
                <w:color w:val="auto"/>
                <w:szCs w:val="21"/>
              </w:rPr>
              <w:t>从安全及环保角度出发，施工临建设施场地位于光伏电池组件相邻的地势较平坦区域。生产设施布置时充分考虑了项目的实际特点，最大限度地减小了临时设施的新占用土地，减少了地表扰动面积，降低了施工造成的水土流失。混凝土构件预制场和钢筋加工场地的布置远离了周边村庄居民点布置，产生的噪声、扬尘等对村庄居民点的影响较小。</w:t>
            </w:r>
          </w:p>
          <w:p w14:paraId="31D34F52">
            <w:pPr>
              <w:ind w:firstLine="480"/>
              <w:rPr>
                <w:color w:val="auto"/>
                <w:szCs w:val="21"/>
              </w:rPr>
            </w:pPr>
            <w:r>
              <w:rPr>
                <w:rFonts w:hint="eastAsia"/>
                <w:color w:val="auto"/>
                <w:szCs w:val="21"/>
              </w:rPr>
              <w:t>因此，项目施工临建设施场地选址合理。</w:t>
            </w:r>
          </w:p>
          <w:p w14:paraId="1296C074">
            <w:pPr>
              <w:pStyle w:val="4"/>
              <w:spacing w:before="48" w:after="48"/>
              <w:rPr>
                <w:color w:val="auto"/>
              </w:rPr>
            </w:pPr>
            <w:r>
              <w:rPr>
                <w:color w:val="auto"/>
              </w:rPr>
              <w:t>施工道路和集电线路选线环境合理性</w:t>
            </w:r>
          </w:p>
          <w:p w14:paraId="3C61D671">
            <w:pPr>
              <w:ind w:firstLine="480"/>
              <w:rPr>
                <w:color w:val="auto"/>
                <w:szCs w:val="21"/>
              </w:rPr>
            </w:pPr>
            <w:r>
              <w:rPr>
                <w:color w:val="auto"/>
                <w:szCs w:val="21"/>
              </w:rPr>
              <w:t>（1）</w:t>
            </w:r>
            <w:r>
              <w:rPr>
                <w:rFonts w:hint="eastAsia"/>
                <w:color w:val="auto"/>
                <w:szCs w:val="21"/>
              </w:rPr>
              <w:t>施工</w:t>
            </w:r>
            <w:r>
              <w:rPr>
                <w:color w:val="auto"/>
                <w:szCs w:val="21"/>
              </w:rPr>
              <w:t>道路</w:t>
            </w:r>
          </w:p>
          <w:p w14:paraId="106C7EA7">
            <w:pPr>
              <w:ind w:firstLine="480"/>
              <w:rPr>
                <w:color w:val="auto"/>
                <w:szCs w:val="21"/>
              </w:rPr>
            </w:pPr>
            <w:r>
              <w:rPr>
                <w:rFonts w:hint="eastAsia"/>
                <w:color w:val="auto"/>
                <w:szCs w:val="21"/>
              </w:rPr>
              <w:t>本工程改扩建场内改扩建道路4.73km，新建场内道路7.04km，最大坡度不大于16%，平均坡度为8%～10%，道路路基宽度为4.0m，路面宽度为3.5m，转弯半径为12m，路面采用20cm山皮石面层。在较长施工道路末端设置16m×16m的调车平台，在较长且没有支线的路段设置错车道。箱变布置在场内检修道路两侧，满足检修需求。</w:t>
            </w:r>
          </w:p>
          <w:p w14:paraId="2D4378BA">
            <w:pPr>
              <w:ind w:firstLine="480"/>
              <w:rPr>
                <w:color w:val="auto"/>
                <w:szCs w:val="21"/>
              </w:rPr>
            </w:pPr>
            <w:r>
              <w:rPr>
                <w:rFonts w:hint="eastAsia"/>
                <w:color w:val="auto"/>
                <w:szCs w:val="21"/>
              </w:rPr>
              <w:t>根据主体设计资料，</w:t>
            </w:r>
            <w:r>
              <w:rPr>
                <w:color w:val="auto"/>
                <w:szCs w:val="21"/>
              </w:rPr>
              <w:t>项目施工道路从场区中间的现有乡道引接，规划时充分利用场内现有道路。</w:t>
            </w:r>
            <w:r>
              <w:rPr>
                <w:rFonts w:hint="eastAsia"/>
                <w:color w:val="auto"/>
                <w:szCs w:val="21"/>
              </w:rPr>
              <w:t>光伏场区内部检修道路在设计时考虑永临结合，施工时先进行场内检修道路的改造及新建，满足施工及设备运输要求；施工结束后即作为运行期检修道路，满足检修维护的需要。</w:t>
            </w:r>
          </w:p>
          <w:p w14:paraId="107B49EB">
            <w:pPr>
              <w:ind w:firstLine="480"/>
              <w:rPr>
                <w:color w:val="auto"/>
                <w:szCs w:val="21"/>
              </w:rPr>
            </w:pPr>
            <w:r>
              <w:rPr>
                <w:rFonts w:hint="eastAsia"/>
                <w:color w:val="auto"/>
                <w:szCs w:val="21"/>
              </w:rPr>
              <w:t>因此，工程施工期依托现有公路、已硬化乡村道路进场；光伏场区内施工道路结合运行期检修道路建设，尽量减小道路工程的环境影响，对于生态保护红线内已有道路直接进行使用，新建、改扩建道路及新建道路不占用生态保护红线、自然保护区、国家公园、森林公园、湿地公园、地质公园、风景名胜区、世界自然遗产地、县城集中式饮用水水源地、水产种质资源保护区等生态环境敏感区，不占用国家、省级公益林，不占用天然林。因此，项目施工道路选址合理。</w:t>
            </w:r>
          </w:p>
          <w:p w14:paraId="64CF87BF">
            <w:pPr>
              <w:ind w:firstLine="480"/>
              <w:rPr>
                <w:color w:val="auto"/>
                <w:szCs w:val="21"/>
              </w:rPr>
            </w:pPr>
            <w:r>
              <w:rPr>
                <w:rFonts w:hint="eastAsia"/>
                <w:color w:val="auto"/>
                <w:szCs w:val="21"/>
              </w:rPr>
              <w:t>（</w:t>
            </w:r>
            <w:r>
              <w:rPr>
                <w:color w:val="auto"/>
                <w:szCs w:val="21"/>
              </w:rPr>
              <w:t>2</w:t>
            </w:r>
            <w:r>
              <w:rPr>
                <w:rFonts w:hint="eastAsia"/>
                <w:color w:val="auto"/>
                <w:szCs w:val="21"/>
              </w:rPr>
              <w:t>）集电线路</w:t>
            </w:r>
          </w:p>
          <w:p w14:paraId="0897A041">
            <w:pPr>
              <w:ind w:firstLine="480"/>
              <w:rPr>
                <w:color w:val="auto"/>
              </w:rPr>
            </w:pPr>
            <w:r>
              <w:rPr>
                <w:rFonts w:hint="eastAsia"/>
                <w:color w:val="auto"/>
              </w:rPr>
              <w:t>本次</w:t>
            </w:r>
            <w:r>
              <w:rPr>
                <w:color w:val="auto"/>
              </w:rPr>
              <w:t>建设</w:t>
            </w:r>
            <w:r>
              <w:rPr>
                <w:rFonts w:hint="eastAsia"/>
                <w:color w:val="auto"/>
              </w:rPr>
              <w:t>集电线路路径总长为22.03km，其中，架空集电线路路径总长约为14.06km（单回线路路径长度3.2km，双回线路路径长度10.86km，立塔44</w:t>
            </w:r>
            <w:r>
              <w:rPr>
                <w:color w:val="auto"/>
              </w:rPr>
              <w:t>基，</w:t>
            </w:r>
            <w:r>
              <w:rPr>
                <w:rFonts w:hint="eastAsia"/>
                <w:color w:val="auto"/>
              </w:rPr>
              <w:t>塔基占地0.22hm</w:t>
            </w:r>
            <w:r>
              <w:rPr>
                <w:rFonts w:hint="eastAsia"/>
                <w:color w:val="auto"/>
                <w:vertAlign w:val="superscript"/>
              </w:rPr>
              <w:t>2</w:t>
            </w:r>
            <w:r>
              <w:rPr>
                <w:rFonts w:hint="eastAsia"/>
                <w:color w:val="auto"/>
              </w:rPr>
              <w:t>），直埋电缆沟全长约7.97km。</w:t>
            </w:r>
          </w:p>
          <w:p w14:paraId="65BB4C91">
            <w:pPr>
              <w:ind w:firstLine="480"/>
              <w:rPr>
                <w:color w:val="auto"/>
                <w:szCs w:val="21"/>
              </w:rPr>
            </w:pPr>
            <w:r>
              <w:rPr>
                <w:rFonts w:hint="eastAsia"/>
                <w:color w:val="auto"/>
                <w:szCs w:val="21"/>
              </w:rPr>
              <w:t>各集电线路电缆采用直埋敷设、桥架敷设相结合方式，开挖电缆沟区域主要是在原有进场道路的路边挖巢填埋，且在地埋电缆后也将进行原地貌恢复治理，桥架段的桥架均选择道边边坡，占地主要为原有的交通运输用地和园地，充分避让了集电线路沿线的乔木林地等围栏内埋设，出围栏后沿既有道路、本项目场内道路一侧埋设。施工完毕恢复植被，</w:t>
            </w:r>
            <w:r>
              <w:rPr>
                <w:color w:val="auto"/>
                <w:szCs w:val="21"/>
              </w:rPr>
              <w:t>主要选用</w:t>
            </w:r>
            <w:r>
              <w:rPr>
                <w:rFonts w:hint="eastAsia"/>
                <w:color w:val="auto"/>
                <w:szCs w:val="21"/>
              </w:rPr>
              <w:t>茶树、黑麦草和狗牙根</w:t>
            </w:r>
            <w:r>
              <w:rPr>
                <w:color w:val="auto"/>
                <w:szCs w:val="21"/>
              </w:rPr>
              <w:t>，</w:t>
            </w:r>
            <w:r>
              <w:rPr>
                <w:rFonts w:hint="eastAsia"/>
                <w:color w:val="auto"/>
                <w:szCs w:val="21"/>
              </w:rPr>
              <w:t>按1:1的比例进行混合后撒播。穿越路基段施工完毕恢复路面硬化。架空线路沿线地形高低起伏较大，为保护自然环境，减小植被受损和水土流失，本工程所有山丘区塔型均设计了全方位长短腿，可减少大量土石方开挖和水土流失，使送电线路铁塔施工对塔位附近植被的损坏程度降到最低。</w:t>
            </w:r>
          </w:p>
          <w:p w14:paraId="5D753C0D">
            <w:pPr>
              <w:ind w:firstLine="480"/>
              <w:rPr>
                <w:color w:val="auto"/>
                <w:szCs w:val="21"/>
              </w:rPr>
            </w:pPr>
            <w:r>
              <w:rPr>
                <w:rFonts w:hint="eastAsia"/>
                <w:color w:val="auto"/>
                <w:szCs w:val="21"/>
              </w:rPr>
              <w:t>工程选址选线阶段已避让了自然遗产地、自然保护区、国家公园、森林公园、湿地、国家级公益林，本环评还提出了一系列针对森林生态系统的保护措施，不影响整体森林生态系统功能发挥。</w:t>
            </w:r>
          </w:p>
          <w:p w14:paraId="758DB5B5">
            <w:pPr>
              <w:ind w:firstLine="480"/>
              <w:rPr>
                <w:bCs/>
                <w:color w:val="auto"/>
                <w:szCs w:val="21"/>
              </w:rPr>
            </w:pPr>
            <w:r>
              <w:rPr>
                <w:color w:val="auto"/>
                <w:szCs w:val="21"/>
              </w:rPr>
              <w:t>综上所述，本项目选址选线环境合理。</w:t>
            </w:r>
          </w:p>
        </w:tc>
      </w:tr>
    </w:tbl>
    <w:p w14:paraId="2880AD8B">
      <w:pPr>
        <w:pStyle w:val="2"/>
        <w:spacing w:before="120" w:after="120"/>
        <w:ind w:firstLine="643"/>
        <w:rPr>
          <w:color w:val="auto"/>
        </w:rPr>
      </w:pPr>
      <w:bookmarkStart w:id="1375" w:name="_Toc212667811"/>
      <w:bookmarkStart w:id="1376" w:name="_Toc218698792"/>
      <w:r>
        <w:rPr>
          <w:rFonts w:hint="eastAsia"/>
          <w:color w:val="auto"/>
        </w:rPr>
        <w:t>、</w:t>
      </w:r>
      <w:bookmarkStart w:id="1377" w:name="_Toc161415601"/>
      <w:bookmarkStart w:id="1378" w:name="_Toc181738251"/>
      <w:r>
        <w:rPr>
          <w:rFonts w:hint="eastAsia"/>
          <w:color w:val="auto"/>
        </w:rPr>
        <w:t>主要生态环境保护措施</w:t>
      </w:r>
      <w:bookmarkEnd w:id="1375"/>
      <w:bookmarkEnd w:id="1376"/>
      <w:bookmarkEnd w:id="1377"/>
      <w:bookmarkEnd w:id="1378"/>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7757"/>
      </w:tblGrid>
      <w:tr w14:paraId="06D66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09" w:type="pct"/>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14:paraId="6B8E82E9">
            <w:pPr>
              <w:ind w:firstLine="0" w:firstLineChars="0"/>
              <w:rPr>
                <w:bCs/>
                <w:color w:val="auto"/>
              </w:rPr>
            </w:pPr>
            <w:r>
              <w:rPr>
                <w:rFonts w:hint="eastAsia"/>
                <w:bCs/>
                <w:color w:val="auto"/>
              </w:rPr>
              <w:t>施工期生态环境保护措施</w:t>
            </w:r>
          </w:p>
        </w:tc>
        <w:tc>
          <w:tcPr>
            <w:tcW w:w="4591" w:type="pct"/>
            <w:tcBorders>
              <w:top w:val="single" w:color="auto" w:sz="8" w:space="0"/>
              <w:left w:val="single" w:color="auto" w:sz="4" w:space="0"/>
              <w:bottom w:val="single" w:color="auto" w:sz="4" w:space="0"/>
              <w:right w:val="single" w:color="auto" w:sz="8" w:space="0"/>
            </w:tcBorders>
          </w:tcPr>
          <w:p w14:paraId="5541278B">
            <w:pPr>
              <w:pStyle w:val="3"/>
              <w:spacing w:before="72" w:after="72"/>
              <w:rPr>
                <w:color w:val="auto"/>
              </w:rPr>
            </w:pPr>
            <w:bookmarkStart w:id="1379" w:name="_Toc181738252"/>
            <w:bookmarkStart w:id="1380" w:name="_Toc160473848"/>
            <w:bookmarkStart w:id="1381" w:name="_Toc161415602"/>
            <w:bookmarkStart w:id="1382" w:name="_Toc159349077"/>
            <w:bookmarkStart w:id="1383" w:name="_Toc156144202"/>
            <w:bookmarkStart w:id="1384" w:name="_Toc156137888"/>
            <w:bookmarkStart w:id="1385" w:name="_Toc158491309"/>
            <w:bookmarkStart w:id="1386" w:name="_Toc136794364"/>
            <w:bookmarkStart w:id="1387" w:name="_Toc9935"/>
            <w:bookmarkStart w:id="1388" w:name="_Toc181293567"/>
            <w:bookmarkStart w:id="1389" w:name="_Toc177482930"/>
            <w:bookmarkStart w:id="1390" w:name="_Toc112165679"/>
            <w:bookmarkStart w:id="1391" w:name="_Toc112173974"/>
            <w:bookmarkStart w:id="1392" w:name="_Toc27306"/>
            <w:bookmarkStart w:id="1393" w:name="_Toc112424316"/>
            <w:bookmarkStart w:id="1394" w:name="_Toc177072858"/>
            <w:bookmarkStart w:id="1395" w:name="_Toc181732845"/>
            <w:bookmarkStart w:id="1396" w:name="_Toc177488242"/>
            <w:bookmarkStart w:id="1397" w:name="_Toc177072430"/>
            <w:bookmarkStart w:id="1398" w:name="_Toc160730924"/>
            <w:bookmarkStart w:id="1399" w:name="_Toc136794239"/>
            <w:r>
              <w:rPr>
                <w:rFonts w:hint="eastAsia"/>
                <w:color w:val="auto"/>
              </w:rPr>
              <w:t>施工期生态环境保护措施</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3F96E5EC">
            <w:pPr>
              <w:ind w:firstLine="480"/>
              <w:rPr>
                <w:color w:val="auto"/>
              </w:rPr>
            </w:pPr>
            <w:r>
              <w:rPr>
                <w:rFonts w:hint="eastAsia" w:cs="Times New Roman"/>
                <w:color w:val="auto"/>
              </w:rPr>
              <w:t>本项目的实施必将对项目建设区域的生态环境产生一定的影响，对于可能出现的生态问题，应该采取积极的避让、减缓、补偿和重建措施。按照生态恢复的原则其优先次序应遵循“避让→减缓→补偿和重建”的顺序，能避让的尽量避让，对不能避让的情况则采取措施减缓，减缓不能生效的，就应有必要的补偿和重建方案，尽可能在最大程度上减缓潜在的不利生态影响。</w:t>
            </w:r>
          </w:p>
          <w:p w14:paraId="1AFF7431">
            <w:pPr>
              <w:pStyle w:val="4"/>
              <w:spacing w:before="48" w:after="48"/>
              <w:rPr>
                <w:color w:val="auto"/>
              </w:rPr>
            </w:pPr>
            <w:bookmarkStart w:id="1400" w:name="_Toc177488243"/>
            <w:bookmarkStart w:id="1401" w:name="_Toc177482931"/>
            <w:bookmarkStart w:id="1402" w:name="_Toc177072859"/>
            <w:bookmarkStart w:id="1403" w:name="_Toc177072431"/>
            <w:bookmarkStart w:id="1404" w:name="_Toc161415603"/>
            <w:bookmarkStart w:id="1405" w:name="_Toc181738253"/>
            <w:bookmarkStart w:id="1406" w:name="_Toc159349078"/>
            <w:bookmarkStart w:id="1407" w:name="_Toc160473849"/>
            <w:bookmarkStart w:id="1408" w:name="_Toc181293568"/>
            <w:bookmarkStart w:id="1409" w:name="_Toc160730925"/>
            <w:bookmarkStart w:id="1410" w:name="_Toc181732846"/>
            <w:bookmarkStart w:id="1411" w:name="_Toc158491310"/>
            <w:bookmarkStart w:id="1412" w:name="_Toc156144203"/>
            <w:bookmarkStart w:id="1413" w:name="_Toc16096"/>
            <w:bookmarkStart w:id="1414" w:name="_Toc136794365"/>
            <w:bookmarkStart w:id="1415" w:name="_Toc112173975"/>
            <w:bookmarkStart w:id="1416" w:name="_Toc136794240"/>
            <w:bookmarkStart w:id="1417" w:name="_Toc27860"/>
            <w:bookmarkStart w:id="1418" w:name="_Toc156137889"/>
            <w:bookmarkStart w:id="1419" w:name="_Toc112165680"/>
            <w:bookmarkStart w:id="1420" w:name="_Toc112424317"/>
            <w:r>
              <w:rPr>
                <w:rFonts w:hint="eastAsia"/>
                <w:color w:val="auto"/>
              </w:rPr>
              <w:t>施工期植被及植物保护措施</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55192D07">
            <w:pPr>
              <w:ind w:firstLine="480"/>
              <w:rPr>
                <w:color w:val="auto"/>
              </w:rPr>
            </w:pPr>
            <w:r>
              <w:rPr>
                <w:rFonts w:hint="eastAsia"/>
                <w:color w:val="auto"/>
                <w:szCs w:val="21"/>
              </w:rPr>
              <w:t>（1）避让：</w:t>
            </w:r>
          </w:p>
          <w:p w14:paraId="41E14C58">
            <w:pPr>
              <w:ind w:firstLine="480"/>
              <w:rPr>
                <w:color w:val="auto"/>
              </w:rPr>
            </w:pPr>
            <w:r>
              <w:rPr>
                <w:rFonts w:hint="eastAsia"/>
                <w:color w:val="auto"/>
              </w:rPr>
              <w:t>1）按照《云南省林业和草原局 云南省能源局关于进一步规范光伏复合项目使用林草地有关事项的通知》（云林规〔2021〕5号）的规定，合理规划项目选址和用地要求，项目的生产区、生活区禁止使用天然乔木林地；施工期临时设施禁止使用乔木林地；电池组件阵列禁止使用有林地、疏林地、未成林造林地、采伐迹地、火烧迹地等，临时工程应尽可能利用永久占地。减少临时占地对植物的影响。项目临时占地需办理相关用地手续。严格控制施工活动区域，必须在规定的作业范围内活动。</w:t>
            </w:r>
          </w:p>
          <w:p w14:paraId="7B3AADE6">
            <w:pPr>
              <w:ind w:firstLine="480"/>
              <w:rPr>
                <w:color w:val="auto"/>
              </w:rPr>
            </w:pPr>
            <w:r>
              <w:rPr>
                <w:rFonts w:hint="eastAsia"/>
                <w:color w:val="auto"/>
              </w:rPr>
              <w:t>2）进一步优化施工布局及合理施工道路布线，尽量缩短改扩建道路长度，减少临时用地面积；征地范围内地被植物清理时，请林业部门参与，若发现珍稀植物、古树名木、特有种等应采取避让措施；临时施工便道严格沿用现有道路，禁止新建便道穿越原生灌木丛</w:t>
            </w:r>
            <w:r>
              <w:rPr>
                <w:color w:val="auto"/>
              </w:rPr>
              <w:t>。</w:t>
            </w:r>
          </w:p>
          <w:p w14:paraId="152E39E8">
            <w:pPr>
              <w:ind w:firstLine="480"/>
              <w:rPr>
                <w:color w:val="auto"/>
              </w:rPr>
            </w:pPr>
            <w:r>
              <w:rPr>
                <w:rFonts w:hint="eastAsia"/>
                <w:color w:val="auto"/>
              </w:rPr>
              <w:t>3）依法依规办理用地手续，施工活动严格控制在征地范围内，划定最小施工范围，尽可能减少对周围土地的破坏，减小植被受影响面积。</w:t>
            </w:r>
          </w:p>
          <w:p w14:paraId="29703BBF">
            <w:pPr>
              <w:ind w:firstLine="480"/>
              <w:rPr>
                <w:color w:val="auto"/>
              </w:rPr>
            </w:pPr>
            <w:r>
              <w:rPr>
                <w:rFonts w:hint="eastAsia"/>
                <w:color w:val="auto"/>
              </w:rPr>
              <w:t>4）严格控制施工范围，应避让天然林地（暖温性针叶林），最大程度降低对植被的破坏；合理规划施工便道、材料堆放处等临时场地，合理划定施工范围和人员、车辆的行走路线，避免对施工范围之外区域的植被造成碾压和破坏。</w:t>
            </w:r>
          </w:p>
          <w:p w14:paraId="51B0C648">
            <w:pPr>
              <w:ind w:firstLine="480"/>
              <w:rPr>
                <w:color w:val="auto"/>
              </w:rPr>
            </w:pPr>
            <w:r>
              <w:rPr>
                <w:rFonts w:hint="eastAsia"/>
                <w:color w:val="auto"/>
              </w:rPr>
              <w:t>5）避让散生乔木，茶园内散生乔木主要为核桃、樱花、松树等，这些乔木树种零散分布于茶园内，在项目建设过程中应主动进行避让，减小影响。</w:t>
            </w:r>
          </w:p>
          <w:p w14:paraId="05B3A555">
            <w:pPr>
              <w:ind w:firstLine="480"/>
              <w:rPr>
                <w:color w:val="auto"/>
              </w:rPr>
            </w:pPr>
            <w:r>
              <w:rPr>
                <w:rFonts w:hint="eastAsia"/>
                <w:color w:val="auto"/>
              </w:rPr>
              <w:t>6）坚持</w:t>
            </w:r>
            <w:r>
              <w:rPr>
                <w:color w:val="auto"/>
              </w:rPr>
              <w:t>“</w:t>
            </w:r>
            <w:r>
              <w:rPr>
                <w:rFonts w:hint="eastAsia"/>
                <w:color w:val="auto"/>
              </w:rPr>
              <w:t>先防护，后施工</w:t>
            </w:r>
            <w:r>
              <w:rPr>
                <w:color w:val="auto"/>
              </w:rPr>
              <w:t>”</w:t>
            </w:r>
            <w:r>
              <w:rPr>
                <w:rFonts w:hint="eastAsia"/>
                <w:color w:val="auto"/>
              </w:rPr>
              <w:t>的原则，严格控制施工场地范围，禁止废土方进入周边耕地、道路以及林区。</w:t>
            </w:r>
          </w:p>
          <w:p w14:paraId="57DA53F1">
            <w:pPr>
              <w:ind w:firstLine="480"/>
              <w:rPr>
                <w:color w:val="auto"/>
              </w:rPr>
            </w:pPr>
            <w:r>
              <w:rPr>
                <w:rFonts w:hint="eastAsia"/>
                <w:color w:val="auto"/>
              </w:rPr>
              <w:t>7）电池组件及电气设备必须严格按设计规划指定位置来放置，各施工机械和设备不得随意堆放，光伏方阵除桩基用地外，严禁硬化地面、破坏植被层，以便能有效地控制占地面积，更好地保护原地貌。</w:t>
            </w:r>
          </w:p>
          <w:p w14:paraId="6DD328E1">
            <w:pPr>
              <w:ind w:firstLine="480"/>
              <w:rPr>
                <w:color w:val="auto"/>
              </w:rPr>
            </w:pPr>
            <w:r>
              <w:rPr>
                <w:rFonts w:hint="eastAsia"/>
                <w:color w:val="auto"/>
              </w:rPr>
              <w:t>8）优化临时设施布局，尽量避开工程占用植被较好的森林、灌丛，减小对动物生境的扰动，场内道路及吊装平台不宜过宽，以保证运输车辆安全通过及施工即可。施工完成后应及时对运行期不再使用的施工迹地、临时道路进行植被恢复或复耕，减少施工对野生动物栖息地的破坏及分割影响。</w:t>
            </w:r>
          </w:p>
          <w:p w14:paraId="58D421E5">
            <w:pPr>
              <w:ind w:firstLine="480"/>
              <w:rPr>
                <w:color w:val="auto"/>
              </w:rPr>
            </w:pPr>
            <w:r>
              <w:rPr>
                <w:rFonts w:hint="eastAsia"/>
                <w:color w:val="auto"/>
              </w:rPr>
              <w:t>（2）减缓：</w:t>
            </w:r>
          </w:p>
          <w:p w14:paraId="5D25263B">
            <w:pPr>
              <w:ind w:firstLine="480"/>
              <w:rPr>
                <w:color w:val="auto"/>
              </w:rPr>
            </w:pPr>
            <w:r>
              <w:rPr>
                <w:rFonts w:hint="eastAsia"/>
                <w:color w:val="auto"/>
              </w:rPr>
              <w:t>1）在施工过程中，做好表土的集中堆存和保护，并要求完工后及时利用原表土对施工造成的裸露面进行覆土；</w:t>
            </w:r>
            <w:r>
              <w:rPr>
                <w:rFonts w:hint="eastAsia" w:cs="Times New Roman"/>
                <w:color w:val="auto"/>
              </w:rPr>
              <w:t>对施工表土进行集中堆存，施工完毕后用于场区绿化，宜就地采集当地植物的种子、幼苗进行种植，不能采用外来物种。</w:t>
            </w:r>
          </w:p>
          <w:p w14:paraId="75388FAE">
            <w:pPr>
              <w:ind w:firstLine="480"/>
              <w:rPr>
                <w:color w:val="auto"/>
              </w:rPr>
            </w:pPr>
            <w:r>
              <w:rPr>
                <w:rFonts w:hint="eastAsia"/>
                <w:color w:val="auto"/>
              </w:rPr>
              <w:t>2）</w:t>
            </w:r>
            <w:r>
              <w:rPr>
                <w:rFonts w:hint="eastAsia" w:cs="Times New Roman"/>
                <w:color w:val="auto"/>
              </w:rPr>
              <w:t>加强对施工人员的宣传教育，禁止砍伐占地以外的森林植被，还应在施工时采取宣传监管等保护措施。抓好临时用工人员的管理，不得随意使用当地活立木作为燃料，以防止发生乱砍滥伐。</w:t>
            </w:r>
          </w:p>
          <w:p w14:paraId="15ECF5C8">
            <w:pPr>
              <w:adjustRightInd w:val="0"/>
              <w:ind w:firstLine="480"/>
              <w:rPr>
                <w:color w:val="auto"/>
              </w:rPr>
            </w:pPr>
            <w:r>
              <w:rPr>
                <w:rFonts w:hint="eastAsia" w:cs="Times New Roman"/>
                <w:color w:val="auto"/>
              </w:rPr>
              <w:t>3）对光伏方阵空地和未利用地等不扰动区域加强管理，严格控制施工扰动范围，太阳能电池板等设备安装控制在扰动范围内，禁止对光伏方阵空地不扰动区域的植被造成破坏。</w:t>
            </w:r>
          </w:p>
          <w:p w14:paraId="3E9DBEF7">
            <w:pPr>
              <w:adjustRightInd w:val="0"/>
              <w:ind w:firstLine="480"/>
              <w:rPr>
                <w:color w:val="auto"/>
              </w:rPr>
            </w:pPr>
            <w:r>
              <w:rPr>
                <w:rFonts w:hint="eastAsia" w:cs="Times New Roman"/>
                <w:color w:val="auto"/>
              </w:rPr>
              <w:t>4）严格控制塔基施工占地，合理安排施工工序和施工场地，尽量将项目临时占地合理安排在征地范围内，优先利用荒地、劣地，减少植被破坏。线路根据地形条件采用全方位高低腿铁塔，基础开挖时选用影响较小的开挖方式，尽量少占土地，减少土石方开挖量及水土流失，保护生态环境；基础开挖临时堆土应采用临时拦挡措施，用苫布覆盖，回填多余土石方选择合适地点堆放，并采取措施进行防护。</w:t>
            </w:r>
          </w:p>
          <w:p w14:paraId="44B3E43E">
            <w:pPr>
              <w:adjustRightInd w:val="0"/>
              <w:ind w:firstLine="480"/>
              <w:rPr>
                <w:color w:val="auto"/>
              </w:rPr>
            </w:pPr>
            <w:r>
              <w:rPr>
                <w:rFonts w:hint="eastAsia" w:cs="Times New Roman"/>
                <w:color w:val="auto"/>
              </w:rPr>
              <w:t>5）塔基施工占用耕地、林地时，施工前应进行表土剥离，将表土单独堆存并做好覆盖、拦挡等防护措施，施工结束后用于项目区植被恢复或耕作区域表层覆土。</w:t>
            </w:r>
          </w:p>
          <w:p w14:paraId="4448088C">
            <w:pPr>
              <w:adjustRightInd w:val="0"/>
              <w:ind w:firstLine="480"/>
              <w:rPr>
                <w:color w:val="auto"/>
              </w:rPr>
            </w:pPr>
            <w:r>
              <w:rPr>
                <w:rFonts w:hint="eastAsia" w:cs="Times New Roman"/>
                <w:color w:val="auto"/>
              </w:rPr>
              <w:t>6）尽可能利用已建硬化道路、机耕路、林区小路等现有道路和人抬马驮相结合的方式进行材料运输。确需新建道路，应严格控制道路长度和宽度，同时避开植被密集区，并在施工结束后进行植被恢复。</w:t>
            </w:r>
          </w:p>
          <w:p w14:paraId="1A7CBD86">
            <w:pPr>
              <w:adjustRightInd w:val="0"/>
              <w:ind w:firstLine="480"/>
              <w:rPr>
                <w:rFonts w:cs="Times New Roman"/>
                <w:color w:val="auto"/>
              </w:rPr>
            </w:pPr>
            <w:r>
              <w:rPr>
                <w:rFonts w:hint="eastAsia" w:cs="Times New Roman"/>
                <w:color w:val="auto"/>
              </w:rPr>
              <w:t>7）施工中尽量控制声源，选取低噪声设备，并合理安排强噪声施工行为的时间，尽量减少施工噪声对野生动物的干扰。</w:t>
            </w:r>
          </w:p>
          <w:p w14:paraId="3E7F8F47">
            <w:pPr>
              <w:adjustRightInd w:val="0"/>
              <w:ind w:firstLine="480"/>
              <w:rPr>
                <w:color w:val="auto"/>
              </w:rPr>
            </w:pPr>
            <w:r>
              <w:rPr>
                <w:rFonts w:hint="eastAsia" w:cs="Times New Roman"/>
                <w:color w:val="auto"/>
              </w:rPr>
              <w:t>8）集电线路经过林区时，采用高跨设计，避免大范围砍伐林木现象，施工中通过采用无人机放线等先进施工架线工艺，减小放线通道的林木砍伐量。</w:t>
            </w:r>
          </w:p>
          <w:p w14:paraId="3EA86937">
            <w:pPr>
              <w:ind w:firstLine="480"/>
              <w:rPr>
                <w:color w:val="auto"/>
                <w:szCs w:val="21"/>
              </w:rPr>
            </w:pPr>
            <w:r>
              <w:rPr>
                <w:rFonts w:hint="eastAsia"/>
                <w:color w:val="auto"/>
              </w:rPr>
              <w:t>（3）</w:t>
            </w:r>
            <w:r>
              <w:rPr>
                <w:rFonts w:hint="eastAsia"/>
                <w:color w:val="auto"/>
                <w:szCs w:val="21"/>
              </w:rPr>
              <w:t>修复：</w:t>
            </w:r>
            <w:r>
              <w:rPr>
                <w:rFonts w:hint="eastAsia"/>
                <w:color w:val="auto"/>
              </w:rPr>
              <w:t>对施工营地（含环保工程及各类设施等）、临时表土堆放区域等占地类型为园地的临时工程，施工结束后恢复利用方向为耕地，将前期剥离的表土回覆，恢复耕种层；参照《环境影响评价技术导则</w:t>
            </w:r>
            <w:r>
              <w:rPr>
                <w:color w:val="auto"/>
              </w:rPr>
              <w:t xml:space="preserve"> </w:t>
            </w:r>
            <w:r>
              <w:rPr>
                <w:rFonts w:hint="eastAsia"/>
                <w:color w:val="auto"/>
              </w:rPr>
              <w:t>生态影响》（</w:t>
            </w:r>
            <w:r>
              <w:rPr>
                <w:color w:val="auto"/>
              </w:rPr>
              <w:t>HJ 19-2022</w:t>
            </w:r>
            <w:r>
              <w:rPr>
                <w:rFonts w:hint="eastAsia"/>
                <w:color w:val="auto"/>
              </w:rPr>
              <w:t>）中</w:t>
            </w:r>
            <w:r>
              <w:rPr>
                <w:color w:val="auto"/>
              </w:rPr>
              <w:t xml:space="preserve"> 9.2.2 </w:t>
            </w:r>
            <w:r>
              <w:rPr>
                <w:rFonts w:hint="eastAsia"/>
                <w:color w:val="auto"/>
              </w:rPr>
              <w:t>条，生态恢复优先选用原生表土和乡土物种，禁止选用外来物种，防止外来生物入侵，构建与周边生态环境相协调的植物群落，维护物种种类和组成，保护生物多样性；对于植物物种的选取，应以乡土树种为主，并且注意乔灌草的合理搭配；植被恢复主要从生态修复的角度出发，着重考虑植被的水土保持、涵养水源和保护生态环境的作用。</w:t>
            </w:r>
          </w:p>
          <w:p w14:paraId="5DD93553">
            <w:pPr>
              <w:ind w:firstLine="480"/>
              <w:rPr>
                <w:color w:val="auto"/>
                <w:szCs w:val="21"/>
              </w:rPr>
            </w:pPr>
            <w:r>
              <w:rPr>
                <w:rFonts w:hint="eastAsia"/>
                <w:color w:val="auto"/>
                <w:szCs w:val="21"/>
              </w:rPr>
              <w:t>（</w:t>
            </w:r>
            <w:r>
              <w:rPr>
                <w:color w:val="auto"/>
                <w:szCs w:val="21"/>
              </w:rPr>
              <w:t>4）</w:t>
            </w:r>
            <w:r>
              <w:rPr>
                <w:rFonts w:hint="eastAsia"/>
                <w:color w:val="auto"/>
                <w:szCs w:val="21"/>
              </w:rPr>
              <w:t>补偿：对施工占用的土地按规定办理手续并补偿</w:t>
            </w:r>
            <w:r>
              <w:rPr>
                <w:color w:val="auto"/>
                <w:szCs w:val="21"/>
              </w:rPr>
              <w:t>。</w:t>
            </w:r>
          </w:p>
          <w:p w14:paraId="70DFA2E4">
            <w:pPr>
              <w:ind w:firstLine="480"/>
              <w:rPr>
                <w:color w:val="auto"/>
                <w:szCs w:val="21"/>
              </w:rPr>
            </w:pPr>
            <w:r>
              <w:rPr>
                <w:rFonts w:hint="eastAsia"/>
                <w:color w:val="auto"/>
                <w:szCs w:val="21"/>
              </w:rPr>
              <w:t>（</w:t>
            </w:r>
            <w:r>
              <w:rPr>
                <w:color w:val="auto"/>
                <w:szCs w:val="21"/>
              </w:rPr>
              <w:t>5）</w:t>
            </w:r>
            <w:r>
              <w:rPr>
                <w:rFonts w:hint="eastAsia"/>
                <w:color w:val="auto"/>
                <w:szCs w:val="21"/>
              </w:rPr>
              <w:t>管理：制定生态环境管理制度，禁止砍伐树木和非施工区活动；将环保要求纳入工程招标，严格按设计施工；加强施工人员环保教育及法律法规培训；在场区设置环保宣传牌、动物保护警示牌</w:t>
            </w:r>
            <w:r>
              <w:rPr>
                <w:color w:val="auto"/>
                <w:szCs w:val="21"/>
              </w:rPr>
              <w:t>。</w:t>
            </w:r>
          </w:p>
          <w:p w14:paraId="4E78FAB1">
            <w:pPr>
              <w:ind w:firstLine="480"/>
              <w:rPr>
                <w:color w:val="auto"/>
                <w:szCs w:val="21"/>
              </w:rPr>
            </w:pPr>
            <w:r>
              <w:rPr>
                <w:rFonts w:hint="eastAsia"/>
                <w:color w:val="auto"/>
                <w:szCs w:val="21"/>
              </w:rPr>
              <w:t>（</w:t>
            </w:r>
            <w:r>
              <w:rPr>
                <w:color w:val="auto"/>
                <w:szCs w:val="21"/>
              </w:rPr>
              <w:t>6）</w:t>
            </w:r>
            <w:r>
              <w:rPr>
                <w:rFonts w:hint="eastAsia"/>
                <w:color w:val="auto"/>
                <w:szCs w:val="21"/>
              </w:rPr>
              <w:t>监测：使用无人机定期巡查场区植被状况，监督施工单位及时完成场地清理与植被恢复，最大程度保证植被完整性</w:t>
            </w:r>
            <w:r>
              <w:rPr>
                <w:color w:val="auto"/>
                <w:szCs w:val="21"/>
              </w:rPr>
              <w:t>。</w:t>
            </w:r>
          </w:p>
          <w:p w14:paraId="4296331D">
            <w:pPr>
              <w:pStyle w:val="4"/>
              <w:spacing w:before="48" w:after="48"/>
              <w:rPr>
                <w:color w:val="auto"/>
              </w:rPr>
            </w:pPr>
            <w:bookmarkStart w:id="1421" w:name="_Toc112165681"/>
            <w:bookmarkStart w:id="1422" w:name="_Toc181732847"/>
            <w:bookmarkStart w:id="1423" w:name="_Toc161415604"/>
            <w:bookmarkStart w:id="1424" w:name="_Toc136794366"/>
            <w:bookmarkStart w:id="1425" w:name="_Toc29289"/>
            <w:bookmarkStart w:id="1426" w:name="_Toc177072432"/>
            <w:bookmarkStart w:id="1427" w:name="_Toc181738254"/>
            <w:bookmarkStart w:id="1428" w:name="_Toc159349079"/>
            <w:bookmarkStart w:id="1429" w:name="_Toc160730926"/>
            <w:bookmarkStart w:id="1430" w:name="_Toc156137890"/>
            <w:bookmarkStart w:id="1431" w:name="_Toc158491311"/>
            <w:bookmarkStart w:id="1432" w:name="_Toc8089"/>
            <w:bookmarkStart w:id="1433" w:name="_Toc112173976"/>
            <w:bookmarkStart w:id="1434" w:name="_Toc177488244"/>
            <w:bookmarkStart w:id="1435" w:name="_Toc181293569"/>
            <w:bookmarkStart w:id="1436" w:name="_Toc156144204"/>
            <w:bookmarkStart w:id="1437" w:name="_Toc177072860"/>
            <w:bookmarkStart w:id="1438" w:name="_Toc112424318"/>
            <w:bookmarkStart w:id="1439" w:name="_Toc160473850"/>
            <w:bookmarkStart w:id="1440" w:name="_Toc136794241"/>
            <w:bookmarkStart w:id="1441" w:name="_Toc177482932"/>
            <w:r>
              <w:rPr>
                <w:rFonts w:hint="eastAsia"/>
                <w:color w:val="auto"/>
              </w:rPr>
              <w:t>施工期陆生脊椎动物保护措施</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14:paraId="1733C2AB">
            <w:pPr>
              <w:ind w:firstLine="480"/>
              <w:rPr>
                <w:color w:val="auto"/>
              </w:rPr>
            </w:pPr>
            <w:r>
              <w:rPr>
                <w:rFonts w:hint="eastAsia"/>
                <w:color w:val="auto"/>
              </w:rPr>
              <w:t>1）避让：在施工过程中尽量减少对动物栖息地生境的破坏，禁止超计划占用土地和破坏植被，禁止施工人员砍伐树木，禁止到非施工区活动，尽量减少对动物栖息地生境的破坏；动物繁殖季尽量避免在生态状况良好的植被附近开展钻孔等高噪声作业。</w:t>
            </w:r>
          </w:p>
          <w:p w14:paraId="37BFD983">
            <w:pPr>
              <w:ind w:firstLine="480"/>
              <w:rPr>
                <w:color w:val="auto"/>
              </w:rPr>
            </w:pPr>
            <w:r>
              <w:rPr>
                <w:rFonts w:hint="eastAsia"/>
                <w:color w:val="auto"/>
              </w:rPr>
              <w:t>2）减缓：采用合理的施工工艺，选用先进的施工机械设备，同时做好机械保养，避免施工噪声过大对区域动物的正常觅食、繁殖、活动造成大的影响。</w:t>
            </w:r>
          </w:p>
          <w:p w14:paraId="560843B1">
            <w:pPr>
              <w:ind w:firstLine="480"/>
              <w:rPr>
                <w:color w:val="auto"/>
              </w:rPr>
            </w:pPr>
            <w:r>
              <w:rPr>
                <w:rFonts w:hint="eastAsia"/>
                <w:color w:val="auto"/>
              </w:rPr>
              <w:t>3）修复：施工结束后清理场地障碍物，减少人为活动对动物的影响。</w:t>
            </w:r>
          </w:p>
          <w:p w14:paraId="1619B39F">
            <w:pPr>
              <w:ind w:firstLine="480"/>
              <w:rPr>
                <w:color w:val="auto"/>
              </w:rPr>
            </w:pPr>
            <w:r>
              <w:rPr>
                <w:rFonts w:hint="eastAsia"/>
                <w:color w:val="auto"/>
              </w:rPr>
              <w:t>4）补偿：通过植被恢复增强区域生态功能，保证动物的生境条件。</w:t>
            </w:r>
          </w:p>
          <w:p w14:paraId="730C97D3">
            <w:pPr>
              <w:ind w:firstLine="480"/>
              <w:rPr>
                <w:color w:val="auto"/>
              </w:rPr>
            </w:pPr>
            <w:r>
              <w:rPr>
                <w:color w:val="auto"/>
              </w:rPr>
              <w:t>5</w:t>
            </w:r>
            <w:r>
              <w:rPr>
                <w:rFonts w:hint="eastAsia"/>
                <w:color w:val="auto"/>
              </w:rPr>
              <w:t>）管理：通过标识标牌等措施进行宣传，尤其是对于调查区内可能分布的保护动物，可通过图片、手册等方式使施工人员加以认知了解，加强施工单位和施工人员对野生动物和生态环境保护意识的宣传教育，严禁捕杀和食用野生动物，严禁狩猎野生动物、取食鸟蛋、幼鸟等活动；在施工中遇到的幼兽，应上报移交林业部门，不得擅自处理；并在施工场地内设置动物保护警示牌。</w:t>
            </w:r>
          </w:p>
          <w:p w14:paraId="45297B47">
            <w:pPr>
              <w:ind w:firstLine="480"/>
              <w:rPr>
                <w:color w:val="auto"/>
              </w:rPr>
            </w:pPr>
            <w:r>
              <w:rPr>
                <w:rFonts w:hint="eastAsia"/>
                <w:color w:val="auto"/>
              </w:rPr>
              <w:t>6）监测：安排专人关注施工对动物觅食、繁殖活动的影响。</w:t>
            </w:r>
          </w:p>
          <w:p w14:paraId="636B35EC">
            <w:pPr>
              <w:pStyle w:val="4"/>
              <w:spacing w:before="48" w:after="48"/>
              <w:rPr>
                <w:color w:val="auto"/>
              </w:rPr>
            </w:pPr>
            <w:r>
              <w:rPr>
                <w:rFonts w:hint="eastAsia"/>
                <w:color w:val="auto"/>
              </w:rPr>
              <w:t>施工期生物多样性保护措施</w:t>
            </w:r>
          </w:p>
          <w:p w14:paraId="2300847D">
            <w:pPr>
              <w:ind w:firstLine="480"/>
              <w:rPr>
                <w:color w:val="auto"/>
              </w:rPr>
            </w:pPr>
            <w:r>
              <w:rPr>
                <w:rFonts w:hint="eastAsia"/>
                <w:color w:val="auto"/>
              </w:rPr>
              <w:t>（</w:t>
            </w:r>
            <w:r>
              <w:rPr>
                <w:color w:val="auto"/>
              </w:rPr>
              <w:t>1</w:t>
            </w:r>
            <w:r>
              <w:rPr>
                <w:rFonts w:hint="eastAsia"/>
                <w:color w:val="auto"/>
              </w:rPr>
              <w:t>）优化临时设施布局，</w:t>
            </w:r>
            <w:r>
              <w:rPr>
                <w:rFonts w:hint="eastAsia"/>
                <w:bCs/>
                <w:color w:val="auto"/>
              </w:rPr>
              <w:t>尽量避开工程占用植被较好的森林、灌丛，减小对动物生境的扰动，场内道路及吊装平台不宜过宽，以保证运输车辆安全通过及施工即可。施工完成后应及时对运行期不再使用的施工迹地、临时道路进行植被恢复或复耕，减少施工对野生动物栖息地的破坏及分割影响。</w:t>
            </w:r>
          </w:p>
          <w:p w14:paraId="65E77C82">
            <w:pPr>
              <w:ind w:firstLine="480"/>
              <w:rPr>
                <w:color w:val="auto"/>
              </w:rPr>
            </w:pPr>
            <w:r>
              <w:rPr>
                <w:rFonts w:hint="eastAsia"/>
                <w:color w:val="auto"/>
              </w:rPr>
              <w:t>（</w:t>
            </w:r>
            <w:r>
              <w:rPr>
                <w:color w:val="auto"/>
              </w:rPr>
              <w:t>2</w:t>
            </w:r>
            <w:r>
              <w:rPr>
                <w:rFonts w:hint="eastAsia"/>
                <w:color w:val="auto"/>
              </w:rPr>
              <w:t>）宣传教育，遵纪守法全面贯彻执行《中华人民共和国野生植物保护法》，对施工人员和移民进行环境教育、生物多样性保护教育及有关法律、法规的宣传教育。要让当地群众明确知道重点保护野生植物是受国家法律保护的，破坏生物多样性将要承担相应的法律责任。</w:t>
            </w:r>
          </w:p>
          <w:p w14:paraId="7CA083E7">
            <w:pPr>
              <w:ind w:firstLine="480"/>
              <w:rPr>
                <w:color w:val="auto"/>
              </w:rPr>
            </w:pPr>
            <w:r>
              <w:rPr>
                <w:rFonts w:hint="eastAsia"/>
                <w:color w:val="auto"/>
              </w:rPr>
              <w:t>（</w:t>
            </w:r>
            <w:r>
              <w:rPr>
                <w:color w:val="auto"/>
              </w:rPr>
              <w:t>3</w:t>
            </w:r>
            <w:r>
              <w:rPr>
                <w:rFonts w:hint="eastAsia"/>
                <w:color w:val="auto"/>
              </w:rPr>
              <w:t>）挂牌标记，明确告示</w:t>
            </w:r>
          </w:p>
          <w:p w14:paraId="34F13EB6">
            <w:pPr>
              <w:ind w:firstLine="480"/>
              <w:rPr>
                <w:color w:val="auto"/>
              </w:rPr>
            </w:pPr>
            <w:r>
              <w:rPr>
                <w:rFonts w:hint="eastAsia"/>
                <w:color w:val="auto"/>
              </w:rPr>
              <w:t>在人员活动较多和较集中的施工营地，以及植被较好的区域，设置生态保护警示牌，提醒人们依法保护生态环境和生物多样性。</w:t>
            </w:r>
          </w:p>
          <w:p w14:paraId="25FFA775">
            <w:pPr>
              <w:ind w:firstLine="480"/>
              <w:rPr>
                <w:color w:val="auto"/>
              </w:rPr>
            </w:pPr>
            <w:r>
              <w:rPr>
                <w:rFonts w:hint="eastAsia"/>
                <w:color w:val="auto"/>
              </w:rPr>
              <w:t>（</w:t>
            </w:r>
            <w:r>
              <w:rPr>
                <w:color w:val="auto"/>
              </w:rPr>
              <w:t>4</w:t>
            </w:r>
            <w:r>
              <w:rPr>
                <w:rFonts w:hint="eastAsia"/>
                <w:color w:val="auto"/>
              </w:rPr>
              <w:t>）加强施工管理</w:t>
            </w:r>
          </w:p>
          <w:p w14:paraId="5BC7F716">
            <w:pPr>
              <w:ind w:firstLine="480"/>
              <w:rPr>
                <w:color w:val="auto"/>
              </w:rPr>
            </w:pPr>
            <w:r>
              <w:rPr>
                <w:rFonts w:hint="eastAsia"/>
                <w:color w:val="auto"/>
              </w:rPr>
              <w:t>施工过程中，加强施工人员的管理，禁止施工人员对植被滥砍滥伐，严格限制人员的活动范围，破坏沿线的生态环境。</w:t>
            </w:r>
          </w:p>
          <w:p w14:paraId="215F010D">
            <w:pPr>
              <w:pStyle w:val="4"/>
              <w:spacing w:before="48" w:after="48"/>
              <w:rPr>
                <w:color w:val="auto"/>
              </w:rPr>
            </w:pPr>
            <w:r>
              <w:rPr>
                <w:rFonts w:hint="eastAsia"/>
                <w:color w:val="auto"/>
              </w:rPr>
              <w:t>生态景观保护措施</w:t>
            </w:r>
          </w:p>
          <w:p w14:paraId="54B82571">
            <w:pPr>
              <w:ind w:firstLine="480"/>
              <w:rPr>
                <w:color w:val="auto"/>
              </w:rPr>
            </w:pPr>
            <w:r>
              <w:rPr>
                <w:rFonts w:hint="eastAsia"/>
                <w:color w:val="auto"/>
              </w:rPr>
              <w:t>（</w:t>
            </w:r>
            <w:r>
              <w:rPr>
                <w:color w:val="auto"/>
              </w:rPr>
              <w:t>1</w:t>
            </w:r>
            <w:r>
              <w:rPr>
                <w:rFonts w:hint="eastAsia"/>
                <w:color w:val="auto"/>
              </w:rPr>
              <w:t>）加强新建建筑物、构筑物的景观美学设计，使新建建筑物、构筑物较好地融入当地景观环境中，增强与原有景观的相融性，营造新的特色景观。</w:t>
            </w:r>
          </w:p>
          <w:p w14:paraId="37813219">
            <w:pPr>
              <w:ind w:firstLine="480"/>
              <w:rPr>
                <w:color w:val="auto"/>
              </w:rPr>
            </w:pPr>
            <w:r>
              <w:rPr>
                <w:rFonts w:hint="eastAsia"/>
                <w:color w:val="auto"/>
              </w:rPr>
              <w:t>（</w:t>
            </w:r>
            <w:r>
              <w:rPr>
                <w:color w:val="auto"/>
              </w:rPr>
              <w:t>2</w:t>
            </w:r>
            <w:r>
              <w:rPr>
                <w:rFonts w:hint="eastAsia"/>
                <w:color w:val="auto"/>
              </w:rPr>
              <w:t>）植被恢复及绿化过程中，宜采用当地植物进行“恢复性”种植，然后采取“封育”手段，促进自然恢复。在植被恢复及绿化过程中，应选择乡土树种及适合当地环境的植物，并注意灌、草搭配的原则，同时要与周围的自然景观相协调统一。</w:t>
            </w:r>
          </w:p>
          <w:p w14:paraId="726BBEF2">
            <w:pPr>
              <w:pStyle w:val="4"/>
              <w:spacing w:before="48" w:after="48"/>
              <w:rPr>
                <w:color w:val="auto"/>
              </w:rPr>
            </w:pPr>
            <w:r>
              <w:rPr>
                <w:rFonts w:hint="eastAsia"/>
                <w:color w:val="auto"/>
              </w:rPr>
              <w:t>生态红线保护措施</w:t>
            </w:r>
          </w:p>
          <w:p w14:paraId="668F2B42">
            <w:pPr>
              <w:ind w:firstLine="480"/>
              <w:rPr>
                <w:color w:val="auto"/>
              </w:rPr>
            </w:pPr>
            <w:r>
              <w:rPr>
                <w:rFonts w:hint="eastAsia"/>
                <w:color w:val="auto"/>
              </w:rPr>
              <w:t>（</w:t>
            </w:r>
            <w:r>
              <w:rPr>
                <w:color w:val="auto"/>
              </w:rPr>
              <w:t>1</w:t>
            </w:r>
            <w:r>
              <w:rPr>
                <w:rFonts w:hint="eastAsia"/>
                <w:color w:val="auto"/>
              </w:rPr>
              <w:t>）施工期优化布置，项目施工场地、表土堆临时堆存区、弃渣场等临时工程选址禁止占用生态保护红线，并尽量远离生态保护红线，严禁在保护红线范围内设置施工场地、存放建筑垃圾和生活垃圾。</w:t>
            </w:r>
          </w:p>
          <w:p w14:paraId="1D7B5FBD">
            <w:pPr>
              <w:ind w:firstLine="480"/>
              <w:rPr>
                <w:color w:val="auto"/>
              </w:rPr>
            </w:pPr>
            <w:r>
              <w:rPr>
                <w:rFonts w:hint="eastAsia"/>
                <w:color w:val="auto"/>
              </w:rPr>
              <w:t>（</w:t>
            </w:r>
            <w:r>
              <w:rPr>
                <w:color w:val="auto"/>
              </w:rPr>
              <w:t>2</w:t>
            </w:r>
            <w:r>
              <w:rPr>
                <w:rFonts w:hint="eastAsia"/>
                <w:color w:val="auto"/>
              </w:rPr>
              <w:t>）为了防止在施工过程中超范围施工对生态保护红线产生污染或生态破坏，建议在靠近生态保护红线一侧设置施工围栏</w:t>
            </w:r>
            <w:r>
              <w:rPr>
                <w:color w:val="auto"/>
              </w:rPr>
              <w:t>，</w:t>
            </w:r>
            <w:r>
              <w:rPr>
                <w:rFonts w:hint="eastAsia"/>
                <w:color w:val="auto"/>
              </w:rPr>
              <w:t>并设置施工警示标牌，禁止越界施工，禁止进入生态保护红线范围。</w:t>
            </w:r>
          </w:p>
          <w:p w14:paraId="2114AA8E">
            <w:pPr>
              <w:ind w:firstLine="480"/>
              <w:rPr>
                <w:color w:val="auto"/>
              </w:rPr>
            </w:pPr>
            <w:r>
              <w:rPr>
                <w:rFonts w:hint="eastAsia"/>
                <w:color w:val="auto"/>
              </w:rPr>
              <w:t>（</w:t>
            </w:r>
            <w:r>
              <w:rPr>
                <w:color w:val="auto"/>
              </w:rPr>
              <w:t>3</w:t>
            </w:r>
            <w:r>
              <w:rPr>
                <w:rFonts w:hint="eastAsia"/>
                <w:color w:val="auto"/>
              </w:rPr>
              <w:t>）临近生态保护红线的施工材料堆放场地应设围挡措施，避免造成红线内的地表原始植被丧失和土壤结构的破坏。</w:t>
            </w:r>
          </w:p>
          <w:p w14:paraId="30DFDBB5">
            <w:pPr>
              <w:ind w:firstLine="480"/>
              <w:rPr>
                <w:color w:val="auto"/>
              </w:rPr>
            </w:pPr>
            <w:r>
              <w:rPr>
                <w:rFonts w:hint="eastAsia"/>
                <w:color w:val="auto"/>
              </w:rPr>
              <w:t>（</w:t>
            </w:r>
            <w:r>
              <w:rPr>
                <w:color w:val="auto"/>
              </w:rPr>
              <w:t>4</w:t>
            </w:r>
            <w:r>
              <w:rPr>
                <w:rFonts w:hint="eastAsia"/>
                <w:color w:val="auto"/>
              </w:rPr>
              <w:t>）要求施工时加强施工管理，严格按项目划定的红线范围施工，不得越界施工，严格限制施工机械和人员活动范围，必要时使用地表铺垫（草垫、钢板垫），减少生态影响。加强施工人员生态保护教育，严禁捕猎、捕食野生动物和随意砍伐、践踏植被。在紧邻生态保护红线的边界竖立施工警示标牌。</w:t>
            </w:r>
          </w:p>
          <w:p w14:paraId="5CCD2FA6">
            <w:pPr>
              <w:ind w:firstLine="480"/>
              <w:rPr>
                <w:color w:val="auto"/>
              </w:rPr>
            </w:pPr>
            <w:r>
              <w:rPr>
                <w:rFonts w:hint="eastAsia"/>
                <w:color w:val="auto"/>
              </w:rPr>
              <w:t>（</w:t>
            </w:r>
            <w:r>
              <w:rPr>
                <w:color w:val="auto"/>
              </w:rPr>
              <w:t>5</w:t>
            </w:r>
            <w:r>
              <w:rPr>
                <w:rFonts w:hint="eastAsia"/>
                <w:color w:val="auto"/>
              </w:rPr>
              <w:t>）进一步优化施工设备的布置，将高噪声设备布置在远离生态保护的区域，减轻施工噪声对红线内动物的影响。</w:t>
            </w:r>
          </w:p>
          <w:p w14:paraId="35154555">
            <w:pPr>
              <w:pStyle w:val="4"/>
              <w:spacing w:before="48" w:after="48"/>
              <w:rPr>
                <w:color w:val="auto"/>
              </w:rPr>
            </w:pPr>
            <w:bookmarkStart w:id="1442" w:name="_Toc177482933"/>
            <w:bookmarkStart w:id="1443" w:name="_Toc160730927"/>
            <w:bookmarkStart w:id="1444" w:name="_Toc177488245"/>
            <w:bookmarkStart w:id="1445" w:name="_Toc160473851"/>
            <w:bookmarkStart w:id="1446" w:name="_Toc158491312"/>
            <w:bookmarkStart w:id="1447" w:name="_Toc156144205"/>
            <w:bookmarkStart w:id="1448" w:name="_Toc181293570"/>
            <w:bookmarkStart w:id="1449" w:name="_Toc181738255"/>
            <w:bookmarkStart w:id="1450" w:name="_Toc181732848"/>
            <w:bookmarkStart w:id="1451" w:name="_Toc177072861"/>
            <w:bookmarkStart w:id="1452" w:name="_Toc177072433"/>
            <w:bookmarkStart w:id="1453" w:name="_Toc156137891"/>
            <w:bookmarkStart w:id="1454" w:name="_Toc161415605"/>
            <w:bookmarkStart w:id="1455" w:name="_Toc112424319"/>
            <w:bookmarkStart w:id="1456" w:name="_Toc112165682"/>
            <w:bookmarkStart w:id="1457" w:name="_Toc136794242"/>
            <w:bookmarkStart w:id="1458" w:name="_Toc159349080"/>
            <w:bookmarkStart w:id="1459" w:name="_Toc112173977"/>
            <w:bookmarkStart w:id="1460" w:name="_Toc32512"/>
            <w:bookmarkStart w:id="1461" w:name="_Toc136794367"/>
            <w:bookmarkStart w:id="1462" w:name="_Toc30657"/>
            <w:r>
              <w:rPr>
                <w:rFonts w:hint="eastAsia"/>
                <w:color w:val="auto"/>
              </w:rPr>
              <w:t>施工期大气污染防治措施</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0C119AC2">
            <w:pPr>
              <w:ind w:firstLine="480"/>
              <w:rPr>
                <w:color w:val="auto"/>
              </w:rPr>
            </w:pPr>
            <w:r>
              <w:rPr>
                <w:rFonts w:hint="eastAsia"/>
                <w:color w:val="auto"/>
              </w:rPr>
              <w:t>为有效减轻施工期大气环境污染的不利影响，根据《中华人民共和国大气污染防治法》、《云南省大气污染防治条例》相关法规，本工程施工期间应采取的治理措施如下：</w:t>
            </w:r>
          </w:p>
          <w:p w14:paraId="1A6AC5E4">
            <w:pPr>
              <w:ind w:firstLine="480"/>
              <w:rPr>
                <w:color w:val="auto"/>
              </w:rPr>
            </w:pPr>
            <w:r>
              <w:rPr>
                <w:rFonts w:hint="eastAsia"/>
                <w:color w:val="auto"/>
              </w:rPr>
              <w:t>（</w:t>
            </w:r>
            <w:r>
              <w:rPr>
                <w:color w:val="auto"/>
              </w:rPr>
              <w:t>1</w:t>
            </w:r>
            <w:r>
              <w:rPr>
                <w:rFonts w:hint="eastAsia"/>
                <w:color w:val="auto"/>
              </w:rPr>
              <w:t>）制定施工扬尘污染防治和文明施工方案，根据施工工序编制施工期内扬尘污染防治任务书，实施扬尘防治全过程管理，责任到每个施工工序。</w:t>
            </w:r>
          </w:p>
          <w:p w14:paraId="0D368543">
            <w:pPr>
              <w:ind w:firstLine="480"/>
              <w:rPr>
                <w:color w:val="auto"/>
              </w:rPr>
            </w:pPr>
            <w:r>
              <w:rPr>
                <w:rFonts w:hint="eastAsia"/>
                <w:color w:val="auto"/>
              </w:rPr>
              <w:t>（</w:t>
            </w:r>
            <w:r>
              <w:rPr>
                <w:color w:val="auto"/>
              </w:rPr>
              <w:t>2</w:t>
            </w:r>
            <w:r>
              <w:rPr>
                <w:rFonts w:hint="eastAsia"/>
                <w:color w:val="auto"/>
              </w:rPr>
              <w:t>）分段进行施工，尽量缩小施工范围，夜间不施工。</w:t>
            </w:r>
          </w:p>
          <w:p w14:paraId="7FA30F1D">
            <w:pPr>
              <w:ind w:firstLine="480"/>
              <w:rPr>
                <w:color w:val="auto"/>
              </w:rPr>
            </w:pPr>
            <w:r>
              <w:rPr>
                <w:rFonts w:hint="eastAsia"/>
                <w:color w:val="auto"/>
              </w:rPr>
              <w:t>（</w:t>
            </w:r>
            <w:r>
              <w:rPr>
                <w:color w:val="auto"/>
              </w:rPr>
              <w:t>3</w:t>
            </w:r>
            <w:r>
              <w:rPr>
                <w:rFonts w:hint="eastAsia"/>
                <w:color w:val="auto"/>
              </w:rPr>
              <w:t>）开挖过程中，洒水使作业保持一定的湿度：对施工场地内松散、干涸的表土，也应经常洒水防治粉尘；回填土方时，在表层土质干燥时应适当洒水，防止粉尘飞扬。</w:t>
            </w:r>
          </w:p>
          <w:p w14:paraId="2D87B915">
            <w:pPr>
              <w:ind w:firstLine="480"/>
              <w:rPr>
                <w:color w:val="auto"/>
              </w:rPr>
            </w:pPr>
            <w:r>
              <w:rPr>
                <w:rFonts w:hint="eastAsia"/>
                <w:color w:val="auto"/>
              </w:rPr>
              <w:t>（</w:t>
            </w:r>
            <w:r>
              <w:rPr>
                <w:color w:val="auto"/>
              </w:rPr>
              <w:t>4</w:t>
            </w:r>
            <w:r>
              <w:rPr>
                <w:rFonts w:hint="eastAsia"/>
                <w:color w:val="auto"/>
              </w:rPr>
              <w:t>）灰渣、水泥等易起尘原料运输时应采用密闭式槽车运输。</w:t>
            </w:r>
          </w:p>
          <w:p w14:paraId="4AD423AF">
            <w:pPr>
              <w:ind w:firstLine="480"/>
              <w:rPr>
                <w:color w:val="auto"/>
              </w:rPr>
            </w:pPr>
            <w:r>
              <w:rPr>
                <w:rFonts w:hint="eastAsia"/>
                <w:color w:val="auto"/>
              </w:rPr>
              <w:t>（</w:t>
            </w:r>
            <w:r>
              <w:rPr>
                <w:color w:val="auto"/>
              </w:rPr>
              <w:t>5</w:t>
            </w:r>
            <w:r>
              <w:rPr>
                <w:rFonts w:hint="eastAsia"/>
                <w:color w:val="auto"/>
              </w:rPr>
              <w:t>）配备洒水车，对各施工场地经常洒水。</w:t>
            </w:r>
          </w:p>
          <w:p w14:paraId="4769CE3C">
            <w:pPr>
              <w:ind w:firstLine="480"/>
              <w:rPr>
                <w:color w:val="auto"/>
              </w:rPr>
            </w:pPr>
            <w:r>
              <w:rPr>
                <w:rFonts w:hint="eastAsia"/>
                <w:color w:val="auto"/>
              </w:rPr>
              <w:t>（</w:t>
            </w:r>
            <w:r>
              <w:rPr>
                <w:color w:val="auto"/>
              </w:rPr>
              <w:t>6</w:t>
            </w:r>
            <w:r>
              <w:rPr>
                <w:rFonts w:hint="eastAsia"/>
                <w:color w:val="auto"/>
              </w:rPr>
              <w:t>）各施工段应设置相应的环境保护管理人员，其职责是指导和管理施工现场的工程弃土、建筑材料的处置、清运、堆放，场地恢复和硬化，清除进出施工现场道路上的泥土、弃料以及车辆、轮胎上的泥土，防止二次扬尘污染；对一些质轻、易飞扬的施工材料，如水泥等的堆放场地，应采取防止扬尘措施，如设简易堆放棚等，避免风吹损失和二次污染。</w:t>
            </w:r>
          </w:p>
          <w:p w14:paraId="4119AF96">
            <w:pPr>
              <w:ind w:firstLine="480"/>
              <w:rPr>
                <w:color w:val="auto"/>
              </w:rPr>
            </w:pPr>
            <w:r>
              <w:rPr>
                <w:rFonts w:hint="eastAsia"/>
                <w:color w:val="auto"/>
              </w:rPr>
              <w:t>（</w:t>
            </w:r>
            <w:r>
              <w:rPr>
                <w:color w:val="auto"/>
              </w:rPr>
              <w:t>7</w:t>
            </w:r>
            <w:r>
              <w:rPr>
                <w:rFonts w:hint="eastAsia"/>
                <w:color w:val="auto"/>
              </w:rPr>
              <w:t>）施工期环保对策措施的执行与落实纳入施工监理专项工作，施工期环保管理人员对策措施执行情况及效果进行巡查，发现环境污染、投诉和纠纷等问题，及时上报并妥善和合理解决。</w:t>
            </w:r>
          </w:p>
          <w:p w14:paraId="1171D487">
            <w:pPr>
              <w:ind w:firstLine="480"/>
              <w:rPr>
                <w:color w:val="auto"/>
              </w:rPr>
            </w:pPr>
            <w:r>
              <w:rPr>
                <w:rFonts w:hint="eastAsia"/>
                <w:color w:val="auto"/>
              </w:rPr>
              <w:t>（8）</w:t>
            </w:r>
            <w:r>
              <w:rPr>
                <w:color w:val="auto"/>
              </w:rPr>
              <w:t>在施工场地距离敏感点较近区域</w:t>
            </w:r>
            <w:r>
              <w:rPr>
                <w:rFonts w:hint="eastAsia"/>
                <w:color w:val="auto"/>
              </w:rPr>
              <w:t>，本项目施工边界100m范围内的7处居民点（蚂蟥箐、包茂村、包茂村散户、大歇场、大平掌、上夺么、安召），施工场地面向村庄一侧设置不低于1.8m的临时围挡，并加强施工场地洒水降尘，用土工布覆盖易产尘材料、土石方及时回填压实，在靠近居民点进行施工时合理规划施工时间及施工时序，禁止大开挖、推平台等作业方式，施工采用人工开挖基础措施。</w:t>
            </w:r>
          </w:p>
          <w:p w14:paraId="56F2FA03">
            <w:pPr>
              <w:ind w:firstLine="480"/>
              <w:rPr>
                <w:color w:val="auto"/>
              </w:rPr>
            </w:pPr>
            <w:r>
              <w:rPr>
                <w:rFonts w:hint="eastAsia"/>
                <w:color w:val="auto"/>
              </w:rPr>
              <w:t>（9）表土临时堆存、砂石料临时堆放采用土工布或防尘网遮盖，定期洒水降尘，表土临时堆存、砂石料临时堆放场地均布置在光伏方阵空地区内，不新增占地面积，不得占用永久基本农田和生态保护红线等生态敏感区。表土堆场裸露坡面铺设无纺布苫盖措施，沿表土堆场下游坡脚布设编织袋装土挡墙临时措施。</w:t>
            </w:r>
          </w:p>
          <w:p w14:paraId="426E1D0E">
            <w:pPr>
              <w:ind w:firstLine="480"/>
              <w:rPr>
                <w:color w:val="auto"/>
              </w:rPr>
            </w:pPr>
            <w:r>
              <w:rPr>
                <w:rFonts w:hint="eastAsia"/>
                <w:color w:val="auto"/>
              </w:rPr>
              <w:t>经采取以上扬尘污染防治措施后，施工场界扬尘可达到《大气污染物综合排放标准》（</w:t>
            </w:r>
            <w:r>
              <w:rPr>
                <w:color w:val="auto"/>
              </w:rPr>
              <w:t>GB 16297-1996</w:t>
            </w:r>
            <w:r>
              <w:rPr>
                <w:rFonts w:hint="eastAsia"/>
                <w:color w:val="auto"/>
              </w:rPr>
              <w:t>）无组织排放浓度限值要求。</w:t>
            </w:r>
          </w:p>
          <w:p w14:paraId="155D855E">
            <w:pPr>
              <w:pStyle w:val="4"/>
              <w:spacing w:before="48" w:after="48"/>
              <w:rPr>
                <w:color w:val="auto"/>
              </w:rPr>
            </w:pPr>
            <w:bookmarkStart w:id="1463" w:name="_Toc177482934"/>
            <w:bookmarkStart w:id="1464" w:name="_Toc160473852"/>
            <w:bookmarkStart w:id="1465" w:name="_Toc136794243"/>
            <w:bookmarkStart w:id="1466" w:name="_Toc136794368"/>
            <w:bookmarkStart w:id="1467" w:name="_Toc112173978"/>
            <w:bookmarkStart w:id="1468" w:name="_Toc156137892"/>
            <w:bookmarkStart w:id="1469" w:name="_Toc177072434"/>
            <w:bookmarkStart w:id="1470" w:name="_Toc181738256"/>
            <w:bookmarkStart w:id="1471" w:name="_Toc160730928"/>
            <w:bookmarkStart w:id="1472" w:name="_Toc181293571"/>
            <w:bookmarkStart w:id="1473" w:name="_Toc177488246"/>
            <w:bookmarkStart w:id="1474" w:name="_Toc161415606"/>
            <w:bookmarkStart w:id="1475" w:name="_Toc159349081"/>
            <w:bookmarkStart w:id="1476" w:name="_Toc158491313"/>
            <w:bookmarkStart w:id="1477" w:name="_Toc156144206"/>
            <w:bookmarkStart w:id="1478" w:name="_Toc112424320"/>
            <w:bookmarkStart w:id="1479" w:name="_Toc24850"/>
            <w:bookmarkStart w:id="1480" w:name="_Toc112165683"/>
            <w:bookmarkStart w:id="1481" w:name="_Toc31894"/>
            <w:bookmarkStart w:id="1482" w:name="_Toc177072862"/>
            <w:bookmarkStart w:id="1483" w:name="_Toc181732849"/>
            <w:r>
              <w:rPr>
                <w:rFonts w:hint="eastAsia"/>
                <w:color w:val="auto"/>
              </w:rPr>
              <w:t>施工期水污染防治措施</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14:paraId="3FD2347A">
            <w:pPr>
              <w:ind w:firstLine="480"/>
              <w:rPr>
                <w:color w:val="auto"/>
              </w:rPr>
            </w:pPr>
            <w:r>
              <w:rPr>
                <w:rFonts w:hint="eastAsia"/>
                <w:color w:val="auto"/>
              </w:rPr>
              <w:t>（</w:t>
            </w:r>
            <w:r>
              <w:rPr>
                <w:color w:val="auto"/>
              </w:rPr>
              <w:t>1</w:t>
            </w:r>
            <w:r>
              <w:rPr>
                <w:rFonts w:hint="eastAsia"/>
                <w:color w:val="auto"/>
              </w:rPr>
              <w:t>）对施工人员的生活垃圾定点存放、及时收集，委托环卫部门统一处置，确保垃圾不随意丢弃，防止垃圾中的有害物质渗入水源地。</w:t>
            </w:r>
          </w:p>
          <w:p w14:paraId="7E33F12D">
            <w:pPr>
              <w:ind w:firstLine="480"/>
              <w:rPr>
                <w:color w:val="auto"/>
              </w:rPr>
            </w:pPr>
            <w:r>
              <w:rPr>
                <w:rFonts w:hint="eastAsia"/>
                <w:color w:val="auto"/>
              </w:rPr>
              <w:t>（</w:t>
            </w:r>
            <w:r>
              <w:rPr>
                <w:color w:val="auto"/>
              </w:rPr>
              <w:t>2</w:t>
            </w:r>
            <w:r>
              <w:rPr>
                <w:rFonts w:hint="eastAsia"/>
                <w:color w:val="auto"/>
              </w:rPr>
              <w:t>）邻近沙乐河、磨房河、安照河河流的塔基基础、电缆槽、光伏阵地施工时，规范施工人员行为，施工期间施工场地和施工临时堆土点应远离水体，严禁向水体排放废水和倾倒建筑垃圾、生活垃圾，施工活动不得影响水质。</w:t>
            </w:r>
          </w:p>
          <w:p w14:paraId="29B848C8">
            <w:pPr>
              <w:ind w:firstLine="480"/>
              <w:rPr>
                <w:color w:val="auto"/>
              </w:rPr>
            </w:pPr>
            <w:r>
              <w:rPr>
                <w:rFonts w:hint="eastAsia"/>
                <w:color w:val="auto"/>
              </w:rPr>
              <w:t>（3）施工期禁止在地表水体周边修筑大型机械通行的临时道路，施工便道应尽量利用沿线现有道路，包括机耕路、田埂及林间小道等，尽量采用畜力运输、人力运输方式运输建筑材料。</w:t>
            </w:r>
          </w:p>
          <w:p w14:paraId="1DCCD6D5">
            <w:pPr>
              <w:ind w:firstLine="480"/>
              <w:rPr>
                <w:color w:val="auto"/>
              </w:rPr>
            </w:pPr>
            <w:r>
              <w:rPr>
                <w:rFonts w:hint="eastAsia"/>
                <w:color w:val="auto"/>
              </w:rPr>
              <w:t>（4）杜绝各种污水的无组织排放，特别是不得以渗坑、渗井或者漫流等形式排放，尤其是禁止排放到附近的地表水体。</w:t>
            </w:r>
          </w:p>
          <w:p w14:paraId="565A695E">
            <w:pPr>
              <w:ind w:firstLine="480"/>
              <w:rPr>
                <w:color w:val="auto"/>
              </w:rPr>
            </w:pPr>
            <w:r>
              <w:rPr>
                <w:rFonts w:hint="eastAsia"/>
                <w:color w:val="auto"/>
              </w:rPr>
              <w:t>（5）在施工场地内设置临时导流沟和沉淀池对施工废水进行沉淀处理，处理后的废水回用于洒水抑尘、工程养护和其它施工环节，严禁外排。</w:t>
            </w:r>
          </w:p>
          <w:p w14:paraId="658919A2">
            <w:pPr>
              <w:ind w:firstLine="480"/>
              <w:rPr>
                <w:color w:val="auto"/>
              </w:rPr>
            </w:pPr>
            <w:r>
              <w:rPr>
                <w:rFonts w:hint="eastAsia"/>
                <w:color w:val="auto"/>
              </w:rPr>
              <w:t>（6）施工期生产废水由施工机械的冲洗、混凝土养护，经过临时排水沟和沉淀池收集沉淀处理后循环使用，不外排。</w:t>
            </w:r>
          </w:p>
          <w:p w14:paraId="57A93790">
            <w:pPr>
              <w:ind w:firstLine="480"/>
              <w:rPr>
                <w:color w:val="auto"/>
              </w:rPr>
            </w:pPr>
            <w:r>
              <w:rPr>
                <w:rFonts w:hint="eastAsia"/>
                <w:color w:val="auto"/>
              </w:rPr>
              <w:t>（7）在道路工程区设置C20混凝土排水边沟2267m³；φ1000圆管涵228m，9口9m</w:t>
            </w:r>
            <w:r>
              <w:rPr>
                <w:rFonts w:hint="eastAsia"/>
                <w:color w:val="auto"/>
                <w:vertAlign w:val="superscript"/>
              </w:rPr>
              <w:t>3</w:t>
            </w:r>
            <w:r>
              <w:rPr>
                <w:rFonts w:hint="eastAsia"/>
                <w:color w:val="auto"/>
              </w:rPr>
              <w:t>沉砂池；光伏方阵区设置截水沟1500.48m，5口9m</w:t>
            </w:r>
            <w:r>
              <w:rPr>
                <w:rFonts w:hint="eastAsia"/>
                <w:color w:val="auto"/>
                <w:vertAlign w:val="superscript"/>
              </w:rPr>
              <w:t>3</w:t>
            </w:r>
            <w:r>
              <w:rPr>
                <w:rFonts w:hint="eastAsia"/>
                <w:color w:val="auto"/>
              </w:rPr>
              <w:t>沉砂池收集施工废水，施工场地设置4个5m</w:t>
            </w:r>
            <w:r>
              <w:rPr>
                <w:rFonts w:hint="eastAsia"/>
                <w:color w:val="auto"/>
                <w:vertAlign w:val="superscript"/>
              </w:rPr>
              <w:t>3</w:t>
            </w:r>
            <w:r>
              <w:rPr>
                <w:rFonts w:hint="eastAsia"/>
                <w:color w:val="auto"/>
              </w:rPr>
              <w:t>的临时沉淀池，将生活废水（洗手废水）进行沉淀处理后用于施工用水和施工场地洒水降尘。本项目业主、承包商及施工人员临时居住、办公等场地均采用租用民房解决，施工期日常生活污水依托当地民房自有处理系统。</w:t>
            </w:r>
          </w:p>
          <w:p w14:paraId="11C575BE">
            <w:pPr>
              <w:ind w:firstLine="480"/>
              <w:rPr>
                <w:color w:val="auto"/>
              </w:rPr>
            </w:pPr>
            <w:r>
              <w:rPr>
                <w:rFonts w:hint="eastAsia"/>
                <w:color w:val="auto"/>
              </w:rPr>
              <w:t>（8）施工过程中，必须严格按照有关设计及规范规定。施工过程中产生的表土不乱堆乱倒，做到文明施工，避免将泥渣直接排入地表水体中。</w:t>
            </w:r>
          </w:p>
          <w:p w14:paraId="5F42B91D">
            <w:pPr>
              <w:ind w:firstLine="480"/>
              <w:rPr>
                <w:color w:val="auto"/>
              </w:rPr>
            </w:pPr>
            <w:r>
              <w:rPr>
                <w:rFonts w:hint="eastAsia"/>
                <w:color w:val="auto"/>
              </w:rPr>
              <w:t>（9）合理安排工期，避免在雨天进行土方作业。</w:t>
            </w:r>
          </w:p>
          <w:p w14:paraId="1DC46521">
            <w:pPr>
              <w:ind w:firstLine="480"/>
              <w:rPr>
                <w:color w:val="auto"/>
              </w:rPr>
            </w:pPr>
            <w:r>
              <w:rPr>
                <w:rFonts w:hint="eastAsia"/>
                <w:color w:val="auto"/>
              </w:rPr>
              <w:t>（</w:t>
            </w:r>
            <w:r>
              <w:rPr>
                <w:color w:val="auto"/>
              </w:rPr>
              <w:t>1</w:t>
            </w:r>
            <w:r>
              <w:rPr>
                <w:rFonts w:hint="eastAsia"/>
                <w:color w:val="auto"/>
              </w:rPr>
              <w:t>0）确保排水设施和沉淀设施连续、通畅，发现堵塞或损坏，应当立即疏通或修复。</w:t>
            </w:r>
          </w:p>
          <w:p w14:paraId="1268636E">
            <w:pPr>
              <w:ind w:firstLine="480"/>
              <w:rPr>
                <w:color w:val="auto"/>
              </w:rPr>
            </w:pPr>
            <w:r>
              <w:rPr>
                <w:rFonts w:hint="eastAsia"/>
                <w:color w:val="auto"/>
              </w:rPr>
              <w:t>（</w:t>
            </w:r>
            <w:r>
              <w:rPr>
                <w:color w:val="auto"/>
              </w:rPr>
              <w:t>1</w:t>
            </w:r>
            <w:r>
              <w:rPr>
                <w:rFonts w:hint="eastAsia"/>
                <w:color w:val="auto"/>
              </w:rPr>
              <w:t>1）项目应加强管理，做好机械的日常维护保养，杜绝跑、冒、滴、漏现象，另外，雨天应对各类机械、粉状物料进行遮盖防雨。</w:t>
            </w:r>
          </w:p>
          <w:p w14:paraId="49BB2E87">
            <w:pPr>
              <w:ind w:firstLine="480"/>
              <w:rPr>
                <w:color w:val="auto"/>
              </w:rPr>
            </w:pPr>
            <w:r>
              <w:rPr>
                <w:rFonts w:hint="eastAsia"/>
                <w:color w:val="auto"/>
              </w:rPr>
              <w:t>经采取以上措施后，施工期废水可以得到妥善处理，对周边水环境影响小，措施可行。</w:t>
            </w:r>
          </w:p>
          <w:p w14:paraId="2CF4DA65">
            <w:pPr>
              <w:pStyle w:val="4"/>
              <w:spacing w:before="48" w:after="48"/>
              <w:rPr>
                <w:color w:val="auto"/>
              </w:rPr>
            </w:pPr>
            <w:bookmarkStart w:id="1484" w:name="_Toc181732850"/>
            <w:bookmarkStart w:id="1485" w:name="_Toc181293572"/>
            <w:bookmarkStart w:id="1486" w:name="_Toc177488247"/>
            <w:bookmarkStart w:id="1487" w:name="_Toc177482935"/>
            <w:bookmarkStart w:id="1488" w:name="_Toc181738257"/>
            <w:bookmarkStart w:id="1489" w:name="_Toc177072435"/>
            <w:bookmarkStart w:id="1490" w:name="_Toc156144207"/>
            <w:bookmarkStart w:id="1491" w:name="_Toc112165684"/>
            <w:bookmarkStart w:id="1492" w:name="_Toc158491314"/>
            <w:bookmarkStart w:id="1493" w:name="_Toc177072863"/>
            <w:bookmarkStart w:id="1494" w:name="_Toc17968"/>
            <w:bookmarkStart w:id="1495" w:name="_Toc156137893"/>
            <w:bookmarkStart w:id="1496" w:name="_Toc112173979"/>
            <w:bookmarkStart w:id="1497" w:name="_Toc112424321"/>
            <w:bookmarkStart w:id="1498" w:name="_Toc3825"/>
            <w:bookmarkStart w:id="1499" w:name="_Toc160730929"/>
            <w:bookmarkStart w:id="1500" w:name="_Toc161415607"/>
            <w:bookmarkStart w:id="1501" w:name="_Toc159349082"/>
            <w:bookmarkStart w:id="1502" w:name="_Toc136794369"/>
            <w:bookmarkStart w:id="1503" w:name="_Toc136794244"/>
            <w:bookmarkStart w:id="1504" w:name="_Toc160473853"/>
            <w:r>
              <w:rPr>
                <w:rFonts w:hint="eastAsia"/>
                <w:color w:val="auto"/>
              </w:rPr>
              <w:t>施工期噪声污染防治措施</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486B1701">
            <w:pPr>
              <w:ind w:firstLine="480"/>
              <w:rPr>
                <w:color w:val="auto"/>
              </w:rPr>
            </w:pPr>
            <w:r>
              <w:rPr>
                <w:rFonts w:hint="eastAsia"/>
                <w:color w:val="auto"/>
              </w:rPr>
              <w:t>（</w:t>
            </w:r>
            <w:r>
              <w:rPr>
                <w:color w:val="auto"/>
              </w:rPr>
              <w:t>1</w:t>
            </w:r>
            <w:r>
              <w:rPr>
                <w:rFonts w:hint="eastAsia"/>
                <w:color w:val="auto"/>
              </w:rPr>
              <w:t>）施工场地布设远离敏感点，提前合理计划施工机械的布置，将主要噪声源尽量远离厂界。</w:t>
            </w:r>
          </w:p>
          <w:p w14:paraId="4F5E51B0">
            <w:pPr>
              <w:ind w:firstLine="480"/>
              <w:rPr>
                <w:color w:val="auto"/>
              </w:rPr>
            </w:pPr>
            <w:r>
              <w:rPr>
                <w:rFonts w:hint="eastAsia"/>
                <w:color w:val="auto"/>
              </w:rPr>
              <w:t>（</w:t>
            </w:r>
            <w:r>
              <w:rPr>
                <w:color w:val="auto"/>
              </w:rPr>
              <w:t>2</w:t>
            </w:r>
            <w:r>
              <w:rPr>
                <w:rFonts w:hint="eastAsia"/>
                <w:color w:val="auto"/>
              </w:rPr>
              <w:t>）施工现场的强噪声机械（如搅拌机、电锯、电刨、砂轮机等）设置封闭的机械棚，以减少强噪声的扩散。</w:t>
            </w:r>
          </w:p>
          <w:p w14:paraId="70709BFC">
            <w:pPr>
              <w:ind w:firstLine="480"/>
              <w:rPr>
                <w:color w:val="auto"/>
              </w:rPr>
            </w:pPr>
            <w:r>
              <w:rPr>
                <w:rFonts w:hint="eastAsia"/>
                <w:color w:val="auto"/>
              </w:rPr>
              <w:t>（</w:t>
            </w:r>
            <w:r>
              <w:rPr>
                <w:color w:val="auto"/>
              </w:rPr>
              <w:t>3</w:t>
            </w:r>
            <w:r>
              <w:rPr>
                <w:rFonts w:hint="eastAsia"/>
                <w:color w:val="auto"/>
              </w:rPr>
              <w:t>）施工单位应设专人对施工设备进行定期保养和维护，并负责对现场工作人员进行培训，以便使每个员工严格按操作规范使用各类机械，减少由于施工机械使用不当而产生的噪声。</w:t>
            </w:r>
          </w:p>
          <w:p w14:paraId="2B1D0497">
            <w:pPr>
              <w:ind w:firstLine="480"/>
              <w:rPr>
                <w:color w:val="auto"/>
              </w:rPr>
            </w:pPr>
            <w:r>
              <w:rPr>
                <w:rFonts w:hint="eastAsia"/>
                <w:color w:val="auto"/>
              </w:rPr>
              <w:t>（</w:t>
            </w:r>
            <w:r>
              <w:rPr>
                <w:color w:val="auto"/>
              </w:rPr>
              <w:t>4</w:t>
            </w:r>
            <w:r>
              <w:rPr>
                <w:rFonts w:hint="eastAsia"/>
                <w:color w:val="auto"/>
              </w:rPr>
              <w:t>）合理安排施工计划、施工机械设备组合以及施工时间。施工期间施工作业尽量安排在白天（上午</w:t>
            </w:r>
            <w:r>
              <w:rPr>
                <w:color w:val="auto"/>
              </w:rPr>
              <w:t>7:00~</w:t>
            </w:r>
            <w:r>
              <w:rPr>
                <w:rFonts w:hint="eastAsia"/>
                <w:color w:val="auto"/>
              </w:rPr>
              <w:t>下午</w:t>
            </w:r>
            <w:r>
              <w:rPr>
                <w:color w:val="auto"/>
              </w:rPr>
              <w:t>22:00</w:t>
            </w:r>
            <w:r>
              <w:rPr>
                <w:rFonts w:hint="eastAsia"/>
                <w:color w:val="auto"/>
              </w:rPr>
              <w:t>）进行，禁止在夜间（下午</w:t>
            </w:r>
            <w:r>
              <w:rPr>
                <w:color w:val="auto"/>
              </w:rPr>
              <w:t>22:00~</w:t>
            </w:r>
            <w:r>
              <w:rPr>
                <w:rFonts w:hint="eastAsia"/>
                <w:color w:val="auto"/>
              </w:rPr>
              <w:t>次日上午</w:t>
            </w:r>
            <w:r>
              <w:rPr>
                <w:color w:val="auto"/>
              </w:rPr>
              <w:t>6:00</w:t>
            </w:r>
            <w:r>
              <w:rPr>
                <w:rFonts w:hint="eastAsia"/>
                <w:color w:val="auto"/>
              </w:rPr>
              <w:t>）进行建筑施工作业，但抢修、抢险作业和因混凝土浇灌、桩基冲孔、钻孔桩成型等生产工艺需要连续作业的除外。确需夜间施工的，须报工地所在的区环保局备案，并公告周边居民。</w:t>
            </w:r>
          </w:p>
          <w:p w14:paraId="1345DA04">
            <w:pPr>
              <w:ind w:firstLine="480"/>
              <w:rPr>
                <w:color w:val="auto"/>
              </w:rPr>
            </w:pPr>
            <w:r>
              <w:rPr>
                <w:rFonts w:hint="eastAsia"/>
                <w:color w:val="auto"/>
              </w:rPr>
              <w:t>（</w:t>
            </w:r>
            <w:r>
              <w:rPr>
                <w:color w:val="auto"/>
              </w:rPr>
              <w:t>5</w:t>
            </w:r>
            <w:r>
              <w:rPr>
                <w:rFonts w:hint="eastAsia"/>
                <w:color w:val="auto"/>
              </w:rPr>
              <w:t>）严格施工现场管理，降低人为噪声。施工现场提倡文明施工，建立健全控制人为噪声的管理制度，尽量减少人为的大声喧哗，增强全体施工人员噪声扰民的自觉意识。</w:t>
            </w:r>
          </w:p>
          <w:p w14:paraId="79C99807">
            <w:pPr>
              <w:ind w:firstLine="480"/>
              <w:rPr>
                <w:color w:val="auto"/>
              </w:rPr>
            </w:pPr>
            <w:r>
              <w:rPr>
                <w:rFonts w:hint="eastAsia"/>
                <w:color w:val="auto"/>
              </w:rPr>
              <w:t>项目采取上述措施，可避免施工噪声对周边环境的明显影响，对周围环境影响较小。</w:t>
            </w:r>
          </w:p>
          <w:p w14:paraId="45DA36CF">
            <w:pPr>
              <w:pStyle w:val="4"/>
              <w:spacing w:before="48" w:after="48"/>
              <w:rPr>
                <w:color w:val="auto"/>
              </w:rPr>
            </w:pPr>
            <w:bookmarkStart w:id="1505" w:name="_Toc181732851"/>
            <w:bookmarkStart w:id="1506" w:name="_Toc177482936"/>
            <w:bookmarkStart w:id="1507" w:name="_Toc181738258"/>
            <w:bookmarkStart w:id="1508" w:name="_Toc177072864"/>
            <w:bookmarkStart w:id="1509" w:name="_Toc177488248"/>
            <w:bookmarkStart w:id="1510" w:name="_Toc181293573"/>
            <w:bookmarkStart w:id="1511" w:name="_Toc136794245"/>
            <w:bookmarkStart w:id="1512" w:name="_Toc161415608"/>
            <w:bookmarkStart w:id="1513" w:name="_Toc112424322"/>
            <w:bookmarkStart w:id="1514" w:name="_Toc177072436"/>
            <w:bookmarkStart w:id="1515" w:name="_Toc159349083"/>
            <w:bookmarkStart w:id="1516" w:name="_Toc112173980"/>
            <w:bookmarkStart w:id="1517" w:name="_Toc160730930"/>
            <w:bookmarkStart w:id="1518" w:name="_Toc136794370"/>
            <w:bookmarkStart w:id="1519" w:name="_Toc156137894"/>
            <w:bookmarkStart w:id="1520" w:name="_Toc158491315"/>
            <w:bookmarkStart w:id="1521" w:name="_Toc112165685"/>
            <w:bookmarkStart w:id="1522" w:name="_Toc156144208"/>
            <w:bookmarkStart w:id="1523" w:name="_Toc4182"/>
            <w:bookmarkStart w:id="1524" w:name="_Toc160473854"/>
            <w:bookmarkStart w:id="1525" w:name="_Toc5880"/>
            <w:r>
              <w:rPr>
                <w:rFonts w:hint="eastAsia"/>
                <w:color w:val="auto"/>
              </w:rPr>
              <w:t>施工期固体废物处置措施</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5F757D30">
            <w:pPr>
              <w:ind w:firstLine="480"/>
              <w:rPr>
                <w:color w:val="auto"/>
              </w:rPr>
            </w:pPr>
            <w:r>
              <w:rPr>
                <w:rFonts w:hint="eastAsia"/>
                <w:color w:val="auto"/>
              </w:rPr>
              <w:t>（</w:t>
            </w:r>
            <w:r>
              <w:rPr>
                <w:color w:val="auto"/>
              </w:rPr>
              <w:t>1</w:t>
            </w:r>
            <w:r>
              <w:rPr>
                <w:rFonts w:hint="eastAsia"/>
                <w:color w:val="auto"/>
              </w:rPr>
              <w:t>）建筑垃圾主要为废钢筋、废混凝土等，项目内产生的建筑垃圾经分拣、剔除或粉碎后，大多是可以作为再生资源重新利用的，如废钢筋、废铁丝和各种废钢配件等收集后回收利用。废混凝土、废砖块等不可回收利用由建筑垃圾处置单位运输至主管部门规定地点进行处置。</w:t>
            </w:r>
          </w:p>
          <w:p w14:paraId="39507A0C">
            <w:pPr>
              <w:ind w:firstLine="480"/>
              <w:rPr>
                <w:color w:val="auto"/>
              </w:rPr>
            </w:pPr>
            <w:r>
              <w:rPr>
                <w:rFonts w:hint="eastAsia"/>
                <w:color w:val="auto"/>
              </w:rPr>
              <w:t>（</w:t>
            </w:r>
            <w:r>
              <w:rPr>
                <w:color w:val="auto"/>
              </w:rPr>
              <w:t>2</w:t>
            </w:r>
            <w:r>
              <w:rPr>
                <w:rFonts w:hint="eastAsia"/>
                <w:color w:val="auto"/>
              </w:rPr>
              <w:t>）施工人员的生活垃圾分类收集后交由就近环卫站统一清运处理。</w:t>
            </w:r>
          </w:p>
          <w:p w14:paraId="5F66EF81">
            <w:pPr>
              <w:ind w:firstLine="480"/>
              <w:rPr>
                <w:color w:val="auto"/>
              </w:rPr>
            </w:pPr>
            <w:r>
              <w:rPr>
                <w:rFonts w:hint="eastAsia"/>
                <w:color w:val="auto"/>
              </w:rPr>
              <w:t>（</w:t>
            </w:r>
            <w:r>
              <w:rPr>
                <w:color w:val="auto"/>
              </w:rPr>
              <w:t>3</w:t>
            </w:r>
            <w:r>
              <w:rPr>
                <w:rFonts w:hint="eastAsia"/>
                <w:color w:val="auto"/>
              </w:rPr>
              <w:t>）项目临时堆场应选择在项目用地范围内，严禁新增占地，堆场应远离水体，并进行覆盖和拦档。堆存时间较长时，应在堆土期间增加临时撒草措施。临时堆土清理后应对临时堆场覆土绿化处理。</w:t>
            </w:r>
          </w:p>
          <w:p w14:paraId="0AFF1D34">
            <w:pPr>
              <w:ind w:firstLine="480"/>
              <w:rPr>
                <w:color w:val="auto"/>
              </w:rPr>
            </w:pPr>
            <w:r>
              <w:rPr>
                <w:rFonts w:hint="eastAsia"/>
                <w:color w:val="auto"/>
              </w:rPr>
              <w:t>（</w:t>
            </w:r>
            <w:r>
              <w:rPr>
                <w:color w:val="auto"/>
              </w:rPr>
              <w:t>4</w:t>
            </w:r>
            <w:r>
              <w:rPr>
                <w:rFonts w:hint="eastAsia"/>
                <w:color w:val="auto"/>
              </w:rPr>
              <w:t>）施工过程中损坏的太阳能电池板在项目区内暂存，施工完成后交由厂家回收处理。</w:t>
            </w:r>
          </w:p>
          <w:p w14:paraId="78101899">
            <w:pPr>
              <w:ind w:firstLine="480"/>
              <w:rPr>
                <w:color w:val="auto"/>
              </w:rPr>
            </w:pPr>
            <w:r>
              <w:rPr>
                <w:rFonts w:hint="eastAsia"/>
                <w:color w:val="auto"/>
              </w:rPr>
              <w:t>经采取以上措施后，施工期固体废物可以得到有效处理处置，对周围环境影响小，措施可行。</w:t>
            </w:r>
          </w:p>
          <w:p w14:paraId="1C8C9514">
            <w:pPr>
              <w:pStyle w:val="4"/>
              <w:spacing w:before="48" w:after="48"/>
              <w:rPr>
                <w:color w:val="auto"/>
              </w:rPr>
            </w:pPr>
            <w:r>
              <w:rPr>
                <w:rFonts w:hint="eastAsia"/>
                <w:color w:val="auto"/>
              </w:rPr>
              <w:t>水土保持防治措施</w:t>
            </w:r>
          </w:p>
          <w:p w14:paraId="583FDE88">
            <w:pPr>
              <w:ind w:firstLine="482"/>
              <w:rPr>
                <w:b/>
                <w:bCs/>
                <w:color w:val="auto"/>
              </w:rPr>
            </w:pPr>
            <w:r>
              <w:rPr>
                <w:rFonts w:hint="eastAsia"/>
                <w:b/>
                <w:bCs/>
                <w:color w:val="auto"/>
              </w:rPr>
              <w:t>（一）光伏阵列区</w:t>
            </w:r>
          </w:p>
          <w:p w14:paraId="2548DF13">
            <w:pPr>
              <w:ind w:firstLine="480"/>
              <w:rPr>
                <w:color w:val="auto"/>
              </w:rPr>
            </w:pPr>
            <w:r>
              <w:rPr>
                <w:rFonts w:hint="eastAsia"/>
                <w:color w:val="auto"/>
              </w:rPr>
              <w:t>（</w:t>
            </w:r>
            <w:r>
              <w:rPr>
                <w:color w:val="auto"/>
              </w:rPr>
              <w:t>1</w:t>
            </w:r>
            <w:r>
              <w:rPr>
                <w:rFonts w:hint="eastAsia"/>
                <w:color w:val="auto"/>
              </w:rPr>
              <w:t>）光伏场区</w:t>
            </w:r>
          </w:p>
          <w:p w14:paraId="77A2A34E">
            <w:pPr>
              <w:ind w:firstLine="480"/>
              <w:rPr>
                <w:color w:val="auto"/>
              </w:rPr>
            </w:pPr>
            <w:r>
              <w:rPr>
                <w:rFonts w:hint="eastAsia"/>
                <w:color w:val="auto"/>
              </w:rPr>
              <w:t>建设前后，光伏场区内占用的茶园，场内耕作小路保持现状，以上区域基本满足水土保持要求。</w:t>
            </w:r>
          </w:p>
          <w:p w14:paraId="355FEB83">
            <w:pPr>
              <w:ind w:firstLine="480"/>
              <w:rPr>
                <w:color w:val="auto"/>
              </w:rPr>
            </w:pPr>
            <w:r>
              <w:rPr>
                <w:rFonts w:hint="eastAsia"/>
                <w:color w:val="auto"/>
              </w:rPr>
              <w:t>（</w:t>
            </w:r>
            <w:r>
              <w:rPr>
                <w:color w:val="auto"/>
              </w:rPr>
              <w:t>2</w:t>
            </w:r>
            <w:r>
              <w:rPr>
                <w:rFonts w:hint="eastAsia"/>
                <w:color w:val="auto"/>
              </w:rPr>
              <w:t>）光伏支架区</w:t>
            </w:r>
          </w:p>
          <w:p w14:paraId="3BDAC3F3">
            <w:pPr>
              <w:ind w:firstLine="480"/>
              <w:rPr>
                <w:color w:val="auto"/>
              </w:rPr>
            </w:pPr>
            <w:r>
              <w:rPr>
                <w:rFonts w:hint="eastAsia"/>
                <w:color w:val="auto"/>
              </w:rPr>
              <w:t>因项目施工可能对压占区域原生植被造成破坏，若不及时进行人工干预恢复植被，运行期可能成为水土流失源。尤其是光伏板底部地表植被破坏后，受光伏板下边缘落水影响，易造成溅蚀。针对光伏支架区水土流失特点，本方案设计施工压占区域绿化恢复措施，针对光伏板底部的施工压占区域配合覆盖无纺布，以减少降雨对地表的影响，同时缩短植被郁闭时间。</w:t>
            </w:r>
          </w:p>
          <w:p w14:paraId="529C266E">
            <w:pPr>
              <w:ind w:firstLine="480"/>
              <w:rPr>
                <w:color w:val="auto"/>
              </w:rPr>
            </w:pPr>
            <w:r>
              <w:rPr>
                <w:rFonts w:hint="eastAsia"/>
                <w:color w:val="auto"/>
              </w:rPr>
              <w:t>（</w:t>
            </w:r>
            <w:r>
              <w:rPr>
                <w:color w:val="auto"/>
              </w:rPr>
              <w:t>3</w:t>
            </w:r>
            <w:r>
              <w:rPr>
                <w:rFonts w:hint="eastAsia"/>
                <w:color w:val="auto"/>
              </w:rPr>
              <w:t>）钢丝围栏</w:t>
            </w:r>
          </w:p>
          <w:p w14:paraId="4B7B2C0B">
            <w:pPr>
              <w:ind w:firstLine="480"/>
              <w:rPr>
                <w:color w:val="auto"/>
              </w:rPr>
            </w:pPr>
            <w:r>
              <w:rPr>
                <w:rFonts w:hint="eastAsia"/>
                <w:color w:val="auto"/>
              </w:rPr>
              <w:t>钢丝围栏立柱基础在施工结束后被砼硬化覆盖，满足水土保持要求，根据该分区水土流失特点，本方案设计施工压占区绿化措施。</w:t>
            </w:r>
          </w:p>
          <w:p w14:paraId="4F5572EB">
            <w:pPr>
              <w:ind w:firstLine="480"/>
              <w:rPr>
                <w:color w:val="auto"/>
              </w:rPr>
            </w:pPr>
            <w:r>
              <w:rPr>
                <w:rFonts w:hint="eastAsia"/>
                <w:color w:val="auto"/>
              </w:rPr>
              <w:t>（</w:t>
            </w:r>
            <w:r>
              <w:rPr>
                <w:color w:val="auto"/>
              </w:rPr>
              <w:t>4</w:t>
            </w:r>
            <w:r>
              <w:rPr>
                <w:rFonts w:hint="eastAsia"/>
                <w:color w:val="auto"/>
              </w:rPr>
              <w:t>）箱变区</w:t>
            </w:r>
          </w:p>
          <w:p w14:paraId="1C2681CE">
            <w:pPr>
              <w:ind w:firstLine="480"/>
              <w:rPr>
                <w:color w:val="auto"/>
              </w:rPr>
            </w:pPr>
            <w:r>
              <w:rPr>
                <w:rFonts w:hint="eastAsia"/>
                <w:color w:val="auto"/>
              </w:rPr>
              <w:t>箱变区建成后被构筑物覆盖，满足水土保持要求，根据该分区水土流失特点，本方案设计表土剥离、施工结束后施工压占区绿化措施。</w:t>
            </w:r>
          </w:p>
          <w:p w14:paraId="0C4E8CE9">
            <w:pPr>
              <w:ind w:firstLine="482"/>
              <w:rPr>
                <w:b/>
                <w:bCs/>
                <w:color w:val="auto"/>
              </w:rPr>
            </w:pPr>
            <w:r>
              <w:rPr>
                <w:rFonts w:hint="eastAsia"/>
                <w:b/>
                <w:bCs/>
                <w:color w:val="auto"/>
              </w:rPr>
              <w:t>（二）集电线路工程区</w:t>
            </w:r>
          </w:p>
          <w:p w14:paraId="3C808EA7">
            <w:pPr>
              <w:ind w:firstLine="480"/>
              <w:rPr>
                <w:color w:val="auto"/>
              </w:rPr>
            </w:pPr>
            <w:r>
              <w:rPr>
                <w:rFonts w:hint="eastAsia"/>
                <w:color w:val="auto"/>
              </w:rPr>
              <w:t>（</w:t>
            </w:r>
            <w:r>
              <w:rPr>
                <w:color w:val="auto"/>
              </w:rPr>
              <w:t>1</w:t>
            </w:r>
            <w:r>
              <w:rPr>
                <w:rFonts w:hint="eastAsia"/>
                <w:color w:val="auto"/>
              </w:rPr>
              <w:t>）直埋线路</w:t>
            </w:r>
          </w:p>
          <w:p w14:paraId="2AED6580">
            <w:pPr>
              <w:ind w:firstLine="480"/>
              <w:rPr>
                <w:color w:val="auto"/>
              </w:rPr>
            </w:pPr>
            <w:r>
              <w:rPr>
                <w:rFonts w:hint="eastAsia"/>
                <w:color w:val="auto"/>
              </w:rPr>
              <w:t>直埋线路扰动地表主要为电缆沟基础开挖，电缆沟开挖施工地表扰动较小，电缆沟呈线状分布，结合该分区水土流失特点。本方案设计线路敷设前沟槽开挖区域表土剥离措施，施工过程中临时堆土区域临时覆盖和临时拦挡措施；工程完工后除与道路重合区域外，其余区域实施绿化措施。</w:t>
            </w:r>
          </w:p>
          <w:p w14:paraId="705BA841">
            <w:pPr>
              <w:ind w:firstLine="480"/>
              <w:rPr>
                <w:color w:val="auto"/>
              </w:rPr>
            </w:pPr>
            <w:r>
              <w:rPr>
                <w:rFonts w:hint="eastAsia"/>
                <w:color w:val="auto"/>
              </w:rPr>
              <w:t>（</w:t>
            </w:r>
            <w:r>
              <w:rPr>
                <w:color w:val="auto"/>
              </w:rPr>
              <w:t>2</w:t>
            </w:r>
            <w:r>
              <w:rPr>
                <w:rFonts w:hint="eastAsia"/>
                <w:color w:val="auto"/>
              </w:rPr>
              <w:t>）架空线路</w:t>
            </w:r>
          </w:p>
          <w:p w14:paraId="0752ADC4">
            <w:pPr>
              <w:ind w:firstLine="480"/>
              <w:rPr>
                <w:color w:val="auto"/>
              </w:rPr>
            </w:pPr>
            <w:r>
              <w:rPr>
                <w:rFonts w:hint="eastAsia"/>
                <w:bCs/>
                <w:color w:val="auto"/>
              </w:rPr>
              <w:t>本方案设计施工前期扰动区域表土剥离，施工期间实施临时拦挡和覆盖措施，施工完成后对塔基区及施工压占区实施</w:t>
            </w:r>
            <w:r>
              <w:rPr>
                <w:rFonts w:hint="eastAsia"/>
                <w:color w:val="auto"/>
              </w:rPr>
              <w:t>绿化措施</w:t>
            </w:r>
            <w:r>
              <w:rPr>
                <w:rFonts w:hint="eastAsia"/>
                <w:bCs/>
                <w:color w:val="auto"/>
              </w:rPr>
              <w:t>。</w:t>
            </w:r>
          </w:p>
          <w:p w14:paraId="09E0FE44">
            <w:pPr>
              <w:ind w:firstLine="482"/>
              <w:rPr>
                <w:b/>
                <w:bCs/>
                <w:color w:val="auto"/>
              </w:rPr>
            </w:pPr>
            <w:r>
              <w:rPr>
                <w:rFonts w:hint="eastAsia"/>
                <w:b/>
                <w:bCs/>
                <w:color w:val="auto"/>
              </w:rPr>
              <w:t>（三）道路工程区</w:t>
            </w:r>
          </w:p>
          <w:p w14:paraId="178723D0">
            <w:pPr>
              <w:ind w:firstLine="480"/>
              <w:rPr>
                <w:color w:val="auto"/>
              </w:rPr>
            </w:pPr>
            <w:r>
              <w:rPr>
                <w:rFonts w:hint="eastAsia"/>
                <w:color w:val="auto"/>
              </w:rPr>
              <w:t>主体设计了道路排水沟排导上游及路面水流，为防止发生道路路基施工时顺坡溜渣同时确保道路安全运行，主体工程设计了道路高挖填方边坡坡脚挡土墙，建成后路基水土流失可控制在允许值以下。结合该分区水土流失特点，本方案设计表土剥离，排水沟末端沉沙池，道路沿线边坡绿化措施及临时覆盖措施。</w:t>
            </w:r>
          </w:p>
          <w:p w14:paraId="3675A360">
            <w:pPr>
              <w:ind w:firstLine="482"/>
              <w:rPr>
                <w:b/>
                <w:bCs/>
                <w:color w:val="auto"/>
              </w:rPr>
            </w:pPr>
            <w:r>
              <w:rPr>
                <w:rFonts w:hint="eastAsia"/>
                <w:b/>
                <w:bCs/>
                <w:color w:val="auto"/>
              </w:rPr>
              <w:t>（四）施工生产区</w:t>
            </w:r>
          </w:p>
          <w:p w14:paraId="5A097849">
            <w:pPr>
              <w:ind w:firstLine="480"/>
              <w:rPr>
                <w:color w:val="auto"/>
              </w:rPr>
            </w:pPr>
            <w:r>
              <w:rPr>
                <w:rFonts w:hint="eastAsia"/>
                <w:color w:val="auto"/>
              </w:rPr>
              <w:t>本方案设计施工期间场地临时铺垫措施保护表层土及场地布置期间的临时排水沟、临时拦挡、临时沉沙池、临时覆盖措施，使用结束后进行绿化恢复措施。</w:t>
            </w:r>
          </w:p>
          <w:p w14:paraId="38585D44">
            <w:pPr>
              <w:ind w:firstLine="482"/>
              <w:rPr>
                <w:b/>
                <w:bCs/>
                <w:color w:val="auto"/>
              </w:rPr>
            </w:pPr>
            <w:r>
              <w:rPr>
                <w:rFonts w:hint="eastAsia"/>
                <w:b/>
                <w:bCs/>
                <w:color w:val="auto"/>
              </w:rPr>
              <w:t>（五）表土临时堆场区</w:t>
            </w:r>
          </w:p>
          <w:p w14:paraId="30FEBDE4">
            <w:pPr>
              <w:ind w:firstLine="480"/>
              <w:rPr>
                <w:color w:val="auto"/>
              </w:rPr>
            </w:pPr>
            <w:r>
              <w:rPr>
                <w:rFonts w:hint="eastAsia"/>
                <w:color w:val="auto"/>
              </w:rPr>
              <w:t>本方案设计堆土期间在堆场周边实施临时拦挡、临时排水沟及临时沉沙池，在堆场表面实施临时覆盖措施；取土结束后场地绿化恢复措施。</w:t>
            </w:r>
          </w:p>
          <w:p w14:paraId="37C7928B">
            <w:pPr>
              <w:pStyle w:val="4"/>
              <w:spacing w:before="48" w:after="48"/>
              <w:rPr>
                <w:color w:val="auto"/>
              </w:rPr>
            </w:pPr>
            <w:r>
              <w:rPr>
                <w:rFonts w:hint="eastAsia"/>
                <w:color w:val="auto"/>
              </w:rPr>
              <w:t>施工期生态环境保护措施经济可行性论证</w:t>
            </w:r>
          </w:p>
          <w:p w14:paraId="7E4DB99B">
            <w:pPr>
              <w:ind w:firstLine="480"/>
              <w:rPr>
                <w:color w:val="auto"/>
              </w:rPr>
            </w:pPr>
            <w:r>
              <w:rPr>
                <w:rFonts w:hint="eastAsia"/>
                <w:color w:val="auto"/>
              </w:rPr>
              <w:t>以上环境保护措施根据本项目建设背景、建设规模、平面布局、建设历程、施工方案等具体情况，针对项目施工期涉及的自然生态、水、气、声和经济环境特征，分类别细化提出，具有一定的可操作性，其中部分措施为光伏电站施工期采取的通行环保措施，根据以往经验经实施后，证明技术上是可行的。</w:t>
            </w:r>
          </w:p>
        </w:tc>
      </w:tr>
      <w:tr w14:paraId="09E98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409" w:type="pct"/>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6AC8CE9C">
            <w:pPr>
              <w:ind w:firstLine="0" w:firstLineChars="0"/>
              <w:rPr>
                <w:bCs/>
                <w:color w:val="auto"/>
              </w:rPr>
            </w:pPr>
            <w:r>
              <w:rPr>
                <w:rFonts w:hint="eastAsia"/>
                <w:bCs/>
                <w:color w:val="auto"/>
              </w:rPr>
              <w:t>运营期生态环境保护措施</w:t>
            </w:r>
          </w:p>
        </w:tc>
        <w:tc>
          <w:tcPr>
            <w:tcW w:w="4591" w:type="pct"/>
            <w:tcBorders>
              <w:top w:val="single" w:color="auto" w:sz="4" w:space="0"/>
              <w:left w:val="single" w:color="auto" w:sz="4" w:space="0"/>
              <w:bottom w:val="single" w:color="auto" w:sz="4" w:space="0"/>
              <w:right w:val="single" w:color="auto" w:sz="8" w:space="0"/>
            </w:tcBorders>
          </w:tcPr>
          <w:p w14:paraId="34AB3899">
            <w:pPr>
              <w:pStyle w:val="3"/>
              <w:spacing w:before="72" w:after="72"/>
              <w:rPr>
                <w:color w:val="auto"/>
              </w:rPr>
            </w:pPr>
            <w:bookmarkStart w:id="1526" w:name="_Toc181293574"/>
            <w:bookmarkStart w:id="1527" w:name="_Toc181738259"/>
            <w:bookmarkStart w:id="1528" w:name="_Toc181732852"/>
            <w:bookmarkStart w:id="1529" w:name="_Toc160730931"/>
            <w:bookmarkStart w:id="1530" w:name="_Toc28495"/>
            <w:bookmarkStart w:id="1531" w:name="_Toc158491316"/>
            <w:bookmarkStart w:id="1532" w:name="_Toc177488249"/>
            <w:bookmarkStart w:id="1533" w:name="_Toc160473855"/>
            <w:bookmarkStart w:id="1534" w:name="_Toc112173981"/>
            <w:bookmarkStart w:id="1535" w:name="_Toc159349084"/>
            <w:bookmarkStart w:id="1536" w:name="_Toc136794246"/>
            <w:bookmarkStart w:id="1537" w:name="_Toc177072437"/>
            <w:bookmarkStart w:id="1538" w:name="_Toc177072865"/>
            <w:bookmarkStart w:id="1539" w:name="_Toc156137895"/>
            <w:bookmarkStart w:id="1540" w:name="_Toc24653"/>
            <w:bookmarkStart w:id="1541" w:name="_Toc136794371"/>
            <w:bookmarkStart w:id="1542" w:name="_Toc156144209"/>
            <w:bookmarkStart w:id="1543" w:name="_Toc112165686"/>
            <w:bookmarkStart w:id="1544" w:name="_Toc112424323"/>
            <w:bookmarkStart w:id="1545" w:name="_Toc177482937"/>
            <w:bookmarkStart w:id="1546" w:name="_Toc161415609"/>
            <w:r>
              <w:rPr>
                <w:rFonts w:hint="eastAsia"/>
                <w:color w:val="auto"/>
              </w:rPr>
              <w:t>运营期生态环境保护措施</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27A71E39">
            <w:pPr>
              <w:pStyle w:val="4"/>
              <w:spacing w:before="48" w:after="48"/>
              <w:rPr>
                <w:color w:val="auto"/>
              </w:rPr>
            </w:pPr>
            <w:bookmarkStart w:id="1547" w:name="_Toc181738260"/>
            <w:bookmarkStart w:id="1548" w:name="_Toc158491317"/>
            <w:bookmarkStart w:id="1549" w:name="_Toc156137896"/>
            <w:bookmarkStart w:id="1550" w:name="_Toc23636"/>
            <w:bookmarkStart w:id="1551" w:name="_Toc181293575"/>
            <w:bookmarkStart w:id="1552" w:name="_Toc159349085"/>
            <w:bookmarkStart w:id="1553" w:name="_Toc136794372"/>
            <w:bookmarkStart w:id="1554" w:name="_Toc136794247"/>
            <w:bookmarkStart w:id="1555" w:name="_Toc177488250"/>
            <w:bookmarkStart w:id="1556" w:name="_Toc177072438"/>
            <w:bookmarkStart w:id="1557" w:name="_Toc156144210"/>
            <w:bookmarkStart w:id="1558" w:name="_Toc17413"/>
            <w:bookmarkStart w:id="1559" w:name="_Toc112165687"/>
            <w:bookmarkStart w:id="1560" w:name="_Toc112173982"/>
            <w:bookmarkStart w:id="1561" w:name="_Toc161415610"/>
            <w:bookmarkStart w:id="1562" w:name="_Toc160473856"/>
            <w:bookmarkStart w:id="1563" w:name="_Toc112424324"/>
            <w:bookmarkStart w:id="1564" w:name="_Toc177072866"/>
            <w:bookmarkStart w:id="1565" w:name="_Toc177482938"/>
            <w:bookmarkStart w:id="1566" w:name="_Toc160730932"/>
            <w:bookmarkStart w:id="1567" w:name="_Toc181732853"/>
            <w:r>
              <w:rPr>
                <w:rFonts w:hint="eastAsia"/>
                <w:color w:val="auto"/>
              </w:rPr>
              <w:t>生态环境保护措施</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14:paraId="513F45FA">
            <w:pPr>
              <w:ind w:firstLine="480"/>
              <w:rPr>
                <w:color w:val="auto"/>
              </w:rPr>
            </w:pPr>
            <w:r>
              <w:rPr>
                <w:rFonts w:hint="eastAsia"/>
                <w:color w:val="auto"/>
              </w:rPr>
              <w:t>（</w:t>
            </w:r>
            <w:r>
              <w:rPr>
                <w:color w:val="auto"/>
              </w:rPr>
              <w:t>1</w:t>
            </w:r>
            <w:r>
              <w:rPr>
                <w:rFonts w:hint="eastAsia"/>
                <w:color w:val="auto"/>
              </w:rPr>
              <w:t>）保护当地的野生动物，禁止光伏电站工作人员捕杀野生动物；禁止引入外来有害生物。</w:t>
            </w:r>
          </w:p>
          <w:p w14:paraId="036C566D">
            <w:pPr>
              <w:ind w:firstLine="480"/>
              <w:rPr>
                <w:color w:val="auto"/>
              </w:rPr>
            </w:pPr>
            <w:r>
              <w:rPr>
                <w:rFonts w:hint="eastAsia"/>
                <w:color w:val="auto"/>
              </w:rPr>
              <w:t>（</w:t>
            </w:r>
            <w:r>
              <w:rPr>
                <w:color w:val="auto"/>
              </w:rPr>
              <w:t>2</w:t>
            </w:r>
            <w:r>
              <w:rPr>
                <w:rFonts w:hint="eastAsia"/>
                <w:color w:val="auto"/>
              </w:rPr>
              <w:t>）项目运行期注意观察评价区域内陆栖脊椎动物的活动情况，并注意保护评价区域内陆栖脊椎动物，发现异常应向林业部门报告，遇到受伤或死亡动物应将其交予林业部门，并排查原因。</w:t>
            </w:r>
          </w:p>
          <w:p w14:paraId="6E3C3576">
            <w:pPr>
              <w:ind w:firstLine="480"/>
              <w:rPr>
                <w:color w:val="auto"/>
              </w:rPr>
            </w:pPr>
            <w:r>
              <w:rPr>
                <w:rFonts w:hint="eastAsia"/>
                <w:color w:val="auto"/>
              </w:rPr>
              <w:t>（</w:t>
            </w:r>
            <w:r>
              <w:rPr>
                <w:color w:val="auto"/>
              </w:rPr>
              <w:t>3</w:t>
            </w:r>
            <w:r>
              <w:rPr>
                <w:rFonts w:hint="eastAsia"/>
                <w:color w:val="auto"/>
              </w:rPr>
              <w:t>）对光伏方阵空地区、集电线路和接地沟、施工场地、表土堆场区以及场内道路区进行植被恢复4.84</w:t>
            </w:r>
            <w:r>
              <w:rPr>
                <w:color w:val="auto"/>
              </w:rPr>
              <w:t>hm</w:t>
            </w:r>
            <w:r>
              <w:rPr>
                <w:color w:val="auto"/>
                <w:vertAlign w:val="superscript"/>
              </w:rPr>
              <w:t>2</w:t>
            </w:r>
            <w:r>
              <w:rPr>
                <w:rFonts w:hint="eastAsia"/>
                <w:color w:val="auto"/>
              </w:rPr>
              <w:t>。</w:t>
            </w:r>
          </w:p>
          <w:p w14:paraId="16DBF3F8">
            <w:pPr>
              <w:ind w:firstLine="480"/>
              <w:rPr>
                <w:color w:val="auto"/>
              </w:rPr>
            </w:pPr>
            <w:r>
              <w:rPr>
                <w:rFonts w:hint="eastAsia"/>
                <w:color w:val="auto"/>
              </w:rPr>
              <w:t>（</w:t>
            </w:r>
            <w:r>
              <w:rPr>
                <w:color w:val="auto"/>
              </w:rPr>
              <w:t>4</w:t>
            </w:r>
            <w:r>
              <w:rPr>
                <w:rFonts w:hint="eastAsia"/>
                <w:color w:val="auto"/>
              </w:rPr>
              <w:t>）项目运营期间，设置管理人员，对生物多样性和生态环境的保护进行监督检查。加强对生态的管理，在工程管理机构，应设置生态环境管理人员，建立各种管理及报告制度，开展对工程影响区的环境教育，提高施工人员和管理人员环境意识。通过动态监测和完善管理，使生态向良性或有利方向发展。</w:t>
            </w:r>
          </w:p>
          <w:p w14:paraId="0F2B2D90">
            <w:pPr>
              <w:pStyle w:val="4"/>
              <w:spacing w:before="48" w:after="48"/>
              <w:rPr>
                <w:color w:val="auto"/>
              </w:rPr>
            </w:pPr>
            <w:bookmarkStart w:id="1568" w:name="_Toc181732854"/>
            <w:bookmarkStart w:id="1569" w:name="_Toc181293576"/>
            <w:bookmarkStart w:id="1570" w:name="_Toc158491318"/>
            <w:bookmarkStart w:id="1571" w:name="_Toc177488251"/>
            <w:bookmarkStart w:id="1572" w:name="_Toc136794373"/>
            <w:bookmarkStart w:id="1573" w:name="_Toc136794248"/>
            <w:bookmarkStart w:id="1574" w:name="_Toc177072439"/>
            <w:bookmarkStart w:id="1575" w:name="_Toc181738261"/>
            <w:bookmarkStart w:id="1576" w:name="_Toc156144211"/>
            <w:bookmarkStart w:id="1577" w:name="_Toc156137897"/>
            <w:bookmarkStart w:id="1578" w:name="_Toc28135"/>
            <w:bookmarkStart w:id="1579" w:name="_Toc160730933"/>
            <w:bookmarkStart w:id="1580" w:name="_Toc160473857"/>
            <w:bookmarkStart w:id="1581" w:name="_Toc112424325"/>
            <w:bookmarkStart w:id="1582" w:name="_Toc177482939"/>
            <w:bookmarkStart w:id="1583" w:name="_Toc28904"/>
            <w:bookmarkStart w:id="1584" w:name="_Toc112173983"/>
            <w:bookmarkStart w:id="1585" w:name="_Toc161415611"/>
            <w:bookmarkStart w:id="1586" w:name="_Toc112165688"/>
            <w:bookmarkStart w:id="1587" w:name="_Toc159349086"/>
            <w:bookmarkStart w:id="1588" w:name="_Toc177072867"/>
            <w:r>
              <w:rPr>
                <w:rFonts w:hint="eastAsia"/>
                <w:color w:val="auto"/>
              </w:rPr>
              <w:t>运营期大气污染防治措施</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067FB732">
            <w:pPr>
              <w:ind w:firstLine="480"/>
              <w:rPr>
                <w:color w:val="auto"/>
              </w:rPr>
            </w:pPr>
            <w:r>
              <w:rPr>
                <w:rFonts w:hint="eastAsia"/>
                <w:color w:val="auto"/>
              </w:rPr>
              <w:t>本项目运营期无大气污染物产生，无需设置大气污染防治措施。</w:t>
            </w:r>
          </w:p>
          <w:p w14:paraId="6CA3B062">
            <w:pPr>
              <w:pStyle w:val="4"/>
              <w:spacing w:before="48" w:after="48"/>
              <w:rPr>
                <w:color w:val="auto"/>
              </w:rPr>
            </w:pPr>
            <w:bookmarkStart w:id="1589" w:name="_Toc181732855"/>
            <w:bookmarkStart w:id="1590" w:name="_Toc181293577"/>
            <w:bookmarkStart w:id="1591" w:name="_Toc177072440"/>
            <w:bookmarkStart w:id="1592" w:name="_Toc158491319"/>
            <w:bookmarkStart w:id="1593" w:name="_Toc156144212"/>
            <w:bookmarkStart w:id="1594" w:name="_Toc159349087"/>
            <w:bookmarkStart w:id="1595" w:name="_Toc177488252"/>
            <w:bookmarkStart w:id="1596" w:name="_Toc156137898"/>
            <w:bookmarkStart w:id="1597" w:name="_Toc112424326"/>
            <w:bookmarkStart w:id="1598" w:name="_Toc29687"/>
            <w:bookmarkStart w:id="1599" w:name="_Toc177072868"/>
            <w:bookmarkStart w:id="1600" w:name="_Toc181738262"/>
            <w:bookmarkStart w:id="1601" w:name="_Toc177482940"/>
            <w:bookmarkStart w:id="1602" w:name="_Toc161415612"/>
            <w:bookmarkStart w:id="1603" w:name="_Toc160730934"/>
            <w:bookmarkStart w:id="1604" w:name="_Toc160473858"/>
            <w:bookmarkStart w:id="1605" w:name="_Toc112173984"/>
            <w:bookmarkStart w:id="1606" w:name="_Toc136794249"/>
            <w:bookmarkStart w:id="1607" w:name="_Toc136794374"/>
            <w:bookmarkStart w:id="1608" w:name="_Toc112165689"/>
            <w:bookmarkStart w:id="1609" w:name="_Toc29843"/>
            <w:r>
              <w:rPr>
                <w:rFonts w:hint="eastAsia"/>
                <w:color w:val="auto"/>
              </w:rPr>
              <w:t>运营期水污染防治措施</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5EB29AC8">
            <w:pPr>
              <w:ind w:firstLine="480"/>
              <w:rPr>
                <w:color w:val="auto"/>
              </w:rPr>
            </w:pPr>
            <w:r>
              <w:rPr>
                <w:rFonts w:hint="eastAsia"/>
                <w:color w:val="auto"/>
              </w:rPr>
              <w:t>项目运营期产生的废水为太阳能板组件清洗废水，项目太阳能板组件的清洗废水其主要成分是SS，分散于各个片区，不含有毒物质。由于光伏组件清洗为清水清洗，不需添加清洗剂，性质与雨水基本相同，清洗废水通过太阳能板落入场地土壤中，用于光伏场区绿化，不外排。</w:t>
            </w:r>
          </w:p>
          <w:p w14:paraId="04E8DC2D">
            <w:pPr>
              <w:pStyle w:val="4"/>
              <w:spacing w:before="48" w:after="48"/>
              <w:rPr>
                <w:color w:val="auto"/>
              </w:rPr>
            </w:pPr>
            <w:bookmarkStart w:id="1610" w:name="_Toc156144213"/>
            <w:bookmarkStart w:id="1611" w:name="_Toc177482941"/>
            <w:bookmarkStart w:id="1612" w:name="_Toc112165690"/>
            <w:bookmarkStart w:id="1613" w:name="_Toc112424327"/>
            <w:bookmarkStart w:id="1614" w:name="_Toc27988"/>
            <w:bookmarkStart w:id="1615" w:name="_Toc177488253"/>
            <w:bookmarkStart w:id="1616" w:name="_Toc161415613"/>
            <w:bookmarkStart w:id="1617" w:name="_Toc136794250"/>
            <w:bookmarkStart w:id="1618" w:name="_Toc177072869"/>
            <w:bookmarkStart w:id="1619" w:name="_Toc2376"/>
            <w:bookmarkStart w:id="1620" w:name="_Toc159349088"/>
            <w:bookmarkStart w:id="1621" w:name="_Toc160730935"/>
            <w:bookmarkStart w:id="1622" w:name="_Toc156137899"/>
            <w:bookmarkStart w:id="1623" w:name="_Toc160473859"/>
            <w:bookmarkStart w:id="1624" w:name="_Toc112173985"/>
            <w:bookmarkStart w:id="1625" w:name="_Toc136794375"/>
            <w:bookmarkStart w:id="1626" w:name="_Toc181293578"/>
            <w:bookmarkStart w:id="1627" w:name="_Toc177072441"/>
            <w:bookmarkStart w:id="1628" w:name="_Toc158491320"/>
            <w:bookmarkStart w:id="1629" w:name="_Toc181732856"/>
            <w:bookmarkStart w:id="1630" w:name="_Toc181738263"/>
            <w:r>
              <w:rPr>
                <w:rFonts w:hint="eastAsia"/>
                <w:color w:val="auto"/>
              </w:rPr>
              <w:t>运营期噪声污染防治措施</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745364F0">
            <w:pPr>
              <w:ind w:firstLine="480"/>
              <w:rPr>
                <w:color w:val="auto"/>
              </w:rPr>
            </w:pPr>
            <w:r>
              <w:rPr>
                <w:rFonts w:hint="eastAsia"/>
                <w:color w:val="auto"/>
              </w:rPr>
              <w:t>光伏电站本身没有机械传动或运动部件，项目运营期的主要噪声是逆变器以及升压器等电器产生的噪声，但产生的噪声源强小。为减少项目运营期产生的噪声对周围环境的影响，运营期</w:t>
            </w:r>
            <w:r>
              <w:rPr>
                <w:color w:val="auto"/>
              </w:rPr>
              <w:t>35kV</w:t>
            </w:r>
            <w:r>
              <w:rPr>
                <w:rFonts w:hint="eastAsia"/>
                <w:color w:val="auto"/>
              </w:rPr>
              <w:t>箱式变压器、逆变器选用低噪声类型设备，均设置外壳隔声；设备底部基础安装减振垫，经自由衰减后，厂界噪声可以达到《工业企业厂界环境噪声排放标准》（</w:t>
            </w:r>
            <w:r>
              <w:rPr>
                <w:color w:val="auto"/>
              </w:rPr>
              <w:t>GB12348-2008</w:t>
            </w:r>
            <w:r>
              <w:rPr>
                <w:rFonts w:hint="eastAsia"/>
                <w:color w:val="auto"/>
              </w:rPr>
              <w:t>）</w:t>
            </w:r>
            <w:r>
              <w:rPr>
                <w:color w:val="auto"/>
              </w:rPr>
              <w:t>1</w:t>
            </w:r>
            <w:r>
              <w:rPr>
                <w:rFonts w:hint="eastAsia"/>
                <w:color w:val="auto"/>
              </w:rPr>
              <w:t>类标准。</w:t>
            </w:r>
          </w:p>
          <w:p w14:paraId="3E544D0A">
            <w:pPr>
              <w:pStyle w:val="4"/>
              <w:spacing w:before="48" w:after="48"/>
              <w:rPr>
                <w:color w:val="auto"/>
              </w:rPr>
            </w:pPr>
            <w:bookmarkStart w:id="1631" w:name="_Toc181738264"/>
            <w:bookmarkStart w:id="1632" w:name="_Toc181732857"/>
            <w:bookmarkStart w:id="1633" w:name="_Toc181293579"/>
            <w:bookmarkStart w:id="1634" w:name="_Toc177488254"/>
            <w:bookmarkStart w:id="1635" w:name="_Toc177482942"/>
            <w:bookmarkStart w:id="1636" w:name="_Toc177072870"/>
            <w:bookmarkStart w:id="1637" w:name="_Toc177072442"/>
            <w:bookmarkStart w:id="1638" w:name="_Toc161415614"/>
            <w:bookmarkStart w:id="1639" w:name="_Toc160730936"/>
            <w:bookmarkStart w:id="1640" w:name="_Toc160473860"/>
            <w:bookmarkStart w:id="1641" w:name="_Toc159349089"/>
            <w:bookmarkStart w:id="1642" w:name="_Toc158491321"/>
            <w:bookmarkStart w:id="1643" w:name="_Toc156144214"/>
            <w:bookmarkStart w:id="1644" w:name="_Toc156137900"/>
            <w:bookmarkStart w:id="1645" w:name="_Toc136794251"/>
            <w:bookmarkStart w:id="1646" w:name="_Toc112173986"/>
            <w:bookmarkStart w:id="1647" w:name="_Toc112424328"/>
            <w:bookmarkStart w:id="1648" w:name="_Toc28648"/>
            <w:bookmarkStart w:id="1649" w:name="_Toc136794376"/>
            <w:bookmarkStart w:id="1650" w:name="_Toc27341"/>
            <w:bookmarkStart w:id="1651" w:name="_Toc112165691"/>
            <w:r>
              <w:rPr>
                <w:rFonts w:hint="eastAsia"/>
                <w:color w:val="auto"/>
              </w:rPr>
              <w:t>运营期固体废物处置措施</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431C4A3B">
            <w:pPr>
              <w:ind w:firstLine="480"/>
              <w:rPr>
                <w:color w:val="auto"/>
              </w:rPr>
            </w:pPr>
            <w:r>
              <w:rPr>
                <w:rFonts w:hint="eastAsia"/>
                <w:color w:val="auto"/>
              </w:rPr>
              <w:t>（1）本工程依托德安升压站内设置的废物储存间（面积约为36m</w:t>
            </w:r>
            <w:r>
              <w:rPr>
                <w:rFonts w:hint="eastAsia"/>
                <w:color w:val="auto"/>
                <w:vertAlign w:val="superscript"/>
              </w:rPr>
              <w:t>2</w:t>
            </w:r>
            <w:r>
              <w:rPr>
                <w:rFonts w:hint="eastAsia"/>
                <w:color w:val="auto"/>
              </w:rPr>
              <w:t>），用来暂存废弃光伏组件、废逆变器，由专业的回收厂家收购处理。</w:t>
            </w:r>
          </w:p>
          <w:p w14:paraId="2F588BDB">
            <w:pPr>
              <w:ind w:firstLine="480"/>
              <w:rPr>
                <w:color w:val="auto"/>
              </w:rPr>
            </w:pPr>
            <w:r>
              <w:rPr>
                <w:rFonts w:hint="eastAsia"/>
                <w:color w:val="auto"/>
              </w:rPr>
              <w:t>（2）本项目产生的含油抹布单独收集后按危废处理。</w:t>
            </w:r>
          </w:p>
          <w:p w14:paraId="72FA22E7">
            <w:pPr>
              <w:ind w:firstLine="480"/>
              <w:rPr>
                <w:color w:val="auto"/>
              </w:rPr>
            </w:pPr>
            <w:r>
              <w:rPr>
                <w:rFonts w:hint="eastAsia"/>
                <w:color w:val="auto"/>
              </w:rPr>
              <w:t>（3）本项目在每个箱变油箱排油口侧设置3m</w:t>
            </w:r>
            <w:r>
              <w:rPr>
                <w:rFonts w:hint="eastAsia"/>
                <w:color w:val="auto"/>
                <w:vertAlign w:val="superscript"/>
              </w:rPr>
              <w:t>3</w:t>
            </w:r>
            <w:r>
              <w:rPr>
                <w:rFonts w:hint="eastAsia"/>
                <w:color w:val="auto"/>
              </w:rPr>
              <w:t>箱变事故油池，收集事故油。事故油池底部和四周设置防渗措施，防渗层为至少1m厚黏土层（渗透系数不大于10</w:t>
            </w:r>
            <w:r>
              <w:rPr>
                <w:rFonts w:hint="eastAsia"/>
                <w:color w:val="auto"/>
                <w:vertAlign w:val="superscript"/>
              </w:rPr>
              <w:t>-7</w:t>
            </w:r>
            <w:r>
              <w:rPr>
                <w:rFonts w:hint="eastAsia"/>
                <w:color w:val="auto"/>
              </w:rPr>
              <w:t>cm/s），或至少2mm厚高密度聚乙烯膜等人工防渗材料（渗透系数不大于10</w:t>
            </w:r>
            <w:r>
              <w:rPr>
                <w:rFonts w:hint="eastAsia"/>
                <w:color w:val="auto"/>
                <w:vertAlign w:val="superscript"/>
              </w:rPr>
              <w:t>-10</w:t>
            </w:r>
            <w:r>
              <w:rPr>
                <w:rFonts w:hint="eastAsia"/>
                <w:color w:val="auto"/>
              </w:rPr>
              <w:t>cm/s），严格按照《危险废物贮存污染控制标准》（GB 18597-2023）有关要求进行设计，确保事故油在存储的过程中不会渗漏。同时定期巡检，保持事故油池中没有淤泥，加强管理。</w:t>
            </w:r>
          </w:p>
          <w:p w14:paraId="0119E9AA">
            <w:pPr>
              <w:pStyle w:val="4"/>
              <w:spacing w:before="48" w:after="48"/>
              <w:rPr>
                <w:color w:val="auto"/>
              </w:rPr>
            </w:pPr>
            <w:bookmarkStart w:id="1652" w:name="_Toc181738265"/>
            <w:bookmarkStart w:id="1653" w:name="_Toc181732858"/>
            <w:bookmarkStart w:id="1654" w:name="_Toc181293580"/>
            <w:bookmarkStart w:id="1655" w:name="_Toc177488255"/>
            <w:bookmarkStart w:id="1656" w:name="_Toc177072871"/>
            <w:bookmarkStart w:id="1657" w:name="_Toc112173987"/>
            <w:bookmarkStart w:id="1658" w:name="_Toc112424329"/>
            <w:bookmarkStart w:id="1659" w:name="_Toc8737"/>
            <w:bookmarkStart w:id="1660" w:name="_Toc160473861"/>
            <w:bookmarkStart w:id="1661" w:name="_Toc177482943"/>
            <w:bookmarkStart w:id="1662" w:name="_Toc177072443"/>
            <w:bookmarkStart w:id="1663" w:name="_Toc161415615"/>
            <w:bookmarkStart w:id="1664" w:name="_Toc160730937"/>
            <w:bookmarkStart w:id="1665" w:name="_Toc158491322"/>
            <w:bookmarkStart w:id="1666" w:name="_Toc156144215"/>
            <w:bookmarkStart w:id="1667" w:name="_Toc156137901"/>
            <w:bookmarkStart w:id="1668" w:name="_Toc136794252"/>
            <w:bookmarkStart w:id="1669" w:name="_Toc112165692"/>
            <w:bookmarkStart w:id="1670" w:name="_Toc159349090"/>
            <w:bookmarkStart w:id="1671" w:name="_Toc12540"/>
            <w:bookmarkStart w:id="1672" w:name="_Toc136794377"/>
            <w:r>
              <w:rPr>
                <w:rFonts w:hint="eastAsia"/>
                <w:color w:val="auto"/>
              </w:rPr>
              <w:t>环境风险防范措施</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33FE6149">
            <w:pPr>
              <w:ind w:firstLine="480"/>
              <w:rPr>
                <w:color w:val="auto"/>
              </w:rPr>
            </w:pPr>
            <w:r>
              <w:rPr>
                <w:rFonts w:hint="eastAsia"/>
                <w:color w:val="auto"/>
              </w:rPr>
              <w:t>（1）每台箱式变压器配置一个容积为3m</w:t>
            </w:r>
            <w:r>
              <w:rPr>
                <w:rFonts w:hint="eastAsia"/>
                <w:color w:val="auto"/>
                <w:vertAlign w:val="superscript"/>
              </w:rPr>
              <w:t>3</w:t>
            </w:r>
            <w:r>
              <w:rPr>
                <w:rFonts w:hint="eastAsia"/>
                <w:color w:val="auto"/>
              </w:rPr>
              <w:t>的箱变事故油池（共22个），变压油为危险废物，应严格按照《危险废物收集、存储、运输技术规范》（HJ2025-2012）要求进行管理。</w:t>
            </w:r>
          </w:p>
          <w:p w14:paraId="40E70569">
            <w:pPr>
              <w:ind w:firstLine="480"/>
              <w:rPr>
                <w:color w:val="auto"/>
              </w:rPr>
            </w:pPr>
            <w:r>
              <w:rPr>
                <w:rFonts w:hint="eastAsia"/>
                <w:color w:val="auto"/>
              </w:rPr>
              <w:t>（2）在变压器运行过程中，需加强对变压器的巡检维护，针对变压器运行中的异常情况及时处理，变压油应及时清理完成，并委托有资质单位处置。</w:t>
            </w:r>
          </w:p>
          <w:p w14:paraId="79C76974">
            <w:pPr>
              <w:ind w:firstLine="480"/>
              <w:rPr>
                <w:color w:val="auto"/>
              </w:rPr>
            </w:pPr>
            <w:r>
              <w:rPr>
                <w:rFonts w:hint="eastAsia"/>
                <w:color w:val="auto"/>
              </w:rPr>
              <w:t>（3）产生的废变压油暂存严格执行《危险废物贮存污染控制标准》（GB18597-2023）相关要求。</w:t>
            </w:r>
          </w:p>
          <w:p w14:paraId="72257EF3">
            <w:pPr>
              <w:ind w:firstLine="480"/>
              <w:rPr>
                <w:color w:val="auto"/>
              </w:rPr>
            </w:pPr>
            <w:r>
              <w:rPr>
                <w:rFonts w:hint="eastAsia"/>
                <w:color w:val="auto"/>
              </w:rPr>
              <w:t>（4）箱变事故油池为重点防渗区按重点防渗区进行建设，防渗技术要求为：等效黏土防渗层Mb≥6m，K≤1×10</w:t>
            </w:r>
            <w:r>
              <w:rPr>
                <w:rFonts w:hint="eastAsia"/>
                <w:color w:val="auto"/>
                <w:vertAlign w:val="superscript"/>
              </w:rPr>
              <w:t>-7</w:t>
            </w:r>
            <w:r>
              <w:rPr>
                <w:rFonts w:hint="eastAsia"/>
                <w:color w:val="auto"/>
              </w:rPr>
              <w:t>cm/s，或至少2mm厚高密度聚乙烯膜等人工防渗 材料（渗透系数≤1×10</w:t>
            </w:r>
            <w:r>
              <w:rPr>
                <w:rFonts w:hint="eastAsia"/>
                <w:color w:val="auto"/>
                <w:vertAlign w:val="superscript"/>
              </w:rPr>
              <w:t>-10</w:t>
            </w:r>
            <w:r>
              <w:rPr>
                <w:rFonts w:hint="eastAsia"/>
                <w:color w:val="auto"/>
              </w:rPr>
              <w:t>cm/s），或其他防渗性能等效的材料。</w:t>
            </w:r>
          </w:p>
          <w:p w14:paraId="1E145529">
            <w:pPr>
              <w:ind w:firstLine="480"/>
              <w:rPr>
                <w:color w:val="auto"/>
              </w:rPr>
            </w:pPr>
            <w:r>
              <w:rPr>
                <w:rFonts w:hint="eastAsia"/>
                <w:color w:val="auto"/>
              </w:rPr>
              <w:t>（5）运营期定期检查各储存设施，加强管理，防止跑冒滴漏。</w:t>
            </w:r>
          </w:p>
          <w:p w14:paraId="046AA285">
            <w:pPr>
              <w:ind w:firstLine="480"/>
              <w:rPr>
                <w:color w:val="auto"/>
              </w:rPr>
            </w:pPr>
            <w:r>
              <w:rPr>
                <w:rFonts w:hint="eastAsia"/>
                <w:color w:val="auto"/>
              </w:rPr>
              <w:t>在采取上述措施后可有效防止有毒有害物质渗透到地下污染地下水和土壤，项目对地下水和土壤环境的影响可控。</w:t>
            </w:r>
          </w:p>
        </w:tc>
      </w:tr>
      <w:tr w14:paraId="54E65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409" w:type="pct"/>
            <w:tcBorders>
              <w:top w:val="single" w:color="auto" w:sz="4" w:space="0"/>
              <w:left w:val="single" w:color="auto" w:sz="8" w:space="0"/>
              <w:bottom w:val="single" w:color="auto" w:sz="4" w:space="0"/>
              <w:right w:val="single" w:color="auto" w:sz="4" w:space="0"/>
            </w:tcBorders>
            <w:vAlign w:val="center"/>
          </w:tcPr>
          <w:p w14:paraId="5E39012A">
            <w:pPr>
              <w:ind w:firstLine="0" w:firstLineChars="0"/>
              <w:rPr>
                <w:bCs/>
                <w:color w:val="auto"/>
              </w:rPr>
            </w:pPr>
            <w:r>
              <w:rPr>
                <w:rFonts w:hint="eastAsia"/>
                <w:bCs/>
                <w:color w:val="auto"/>
              </w:rPr>
              <w:t>其他</w:t>
            </w:r>
          </w:p>
        </w:tc>
        <w:tc>
          <w:tcPr>
            <w:tcW w:w="4591" w:type="pct"/>
            <w:tcBorders>
              <w:top w:val="single" w:color="auto" w:sz="4" w:space="0"/>
              <w:left w:val="single" w:color="auto" w:sz="4" w:space="0"/>
              <w:bottom w:val="single" w:color="auto" w:sz="4" w:space="0"/>
              <w:right w:val="single" w:color="auto" w:sz="8" w:space="0"/>
            </w:tcBorders>
          </w:tcPr>
          <w:p w14:paraId="4BEE9ABF">
            <w:pPr>
              <w:pStyle w:val="3"/>
              <w:spacing w:before="72" w:after="72"/>
              <w:rPr>
                <w:color w:val="auto"/>
              </w:rPr>
            </w:pPr>
            <w:bookmarkStart w:id="1673" w:name="_Toc181293581"/>
            <w:bookmarkStart w:id="1674" w:name="_Toc177482944"/>
            <w:bookmarkStart w:id="1675" w:name="_Toc161415616"/>
            <w:bookmarkStart w:id="1676" w:name="_Toc160473862"/>
            <w:bookmarkStart w:id="1677" w:name="_Toc156144216"/>
            <w:bookmarkStart w:id="1678" w:name="_Toc9559"/>
            <w:bookmarkStart w:id="1679" w:name="_Toc181738266"/>
            <w:bookmarkStart w:id="1680" w:name="_Toc159349091"/>
            <w:bookmarkStart w:id="1681" w:name="_Toc136794378"/>
            <w:bookmarkStart w:id="1682" w:name="_Toc177488256"/>
            <w:bookmarkStart w:id="1683" w:name="_Toc177072872"/>
            <w:bookmarkStart w:id="1684" w:name="_Toc177072444"/>
            <w:bookmarkStart w:id="1685" w:name="_Toc158491323"/>
            <w:bookmarkStart w:id="1686" w:name="_Toc156137902"/>
            <w:bookmarkStart w:id="1687" w:name="_Toc136794253"/>
            <w:bookmarkStart w:id="1688" w:name="_Toc112424330"/>
            <w:bookmarkStart w:id="1689" w:name="_Toc26522"/>
            <w:bookmarkStart w:id="1690" w:name="_Toc112165693"/>
            <w:bookmarkStart w:id="1691" w:name="_Toc112173988"/>
            <w:bookmarkStart w:id="1692" w:name="_Toc181732859"/>
            <w:bookmarkStart w:id="1693" w:name="_Toc160730938"/>
            <w:r>
              <w:rPr>
                <w:rFonts w:hint="eastAsia"/>
                <w:color w:val="auto"/>
              </w:rPr>
              <w:t>环境管理</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1BB38035">
            <w:pPr>
              <w:ind w:firstLine="480"/>
              <w:rPr>
                <w:color w:val="auto"/>
              </w:rPr>
            </w:pPr>
            <w:r>
              <w:rPr>
                <w:rFonts w:hint="eastAsia"/>
                <w:color w:val="auto"/>
              </w:rPr>
              <w:t>为加强项目施工期及运营期对项目的环境监管，建设单位应设专职的环保工作人员，负责做好环境管理工作，加强环保法规和技术培训，提高各参建单位和参建人员的环保意识，组织落实各项环境保护措施，规范各项环境管理制度。项目环境管理计划见下表。</w:t>
            </w:r>
          </w:p>
          <w:p w14:paraId="504A3D88">
            <w:pPr>
              <w:pStyle w:val="63"/>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5.3</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环境管理计划一览表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661"/>
              <w:gridCol w:w="4582"/>
              <w:gridCol w:w="816"/>
              <w:gridCol w:w="814"/>
            </w:tblGrid>
            <w:tr w14:paraId="1D02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76" w:type="pct"/>
                  <w:gridSpan w:val="2"/>
                  <w:tcBorders>
                    <w:top w:val="single" w:color="auto" w:sz="4" w:space="0"/>
                    <w:left w:val="single" w:color="auto" w:sz="4" w:space="0"/>
                    <w:bottom w:val="single" w:color="auto" w:sz="4" w:space="0"/>
                    <w:right w:val="single" w:color="auto" w:sz="4" w:space="0"/>
                  </w:tcBorders>
                  <w:vAlign w:val="center"/>
                </w:tcPr>
                <w:p w14:paraId="7460A402">
                  <w:pPr>
                    <w:spacing w:line="240" w:lineRule="auto"/>
                    <w:ind w:firstLine="0" w:firstLineChars="0"/>
                    <w:jc w:val="center"/>
                    <w:rPr>
                      <w:rFonts w:cs="Times New Roman"/>
                      <w:b/>
                      <w:color w:val="auto"/>
                      <w:sz w:val="21"/>
                      <w:szCs w:val="21"/>
                    </w:rPr>
                  </w:pPr>
                  <w:r>
                    <w:rPr>
                      <w:rFonts w:cs="Times New Roman"/>
                      <w:b/>
                      <w:color w:val="auto"/>
                      <w:sz w:val="21"/>
                      <w:szCs w:val="21"/>
                    </w:rPr>
                    <w:t>环境要素</w:t>
                  </w:r>
                </w:p>
              </w:tc>
              <w:tc>
                <w:tcPr>
                  <w:tcW w:w="3042" w:type="pct"/>
                  <w:tcBorders>
                    <w:top w:val="single" w:color="auto" w:sz="4" w:space="0"/>
                    <w:left w:val="single" w:color="auto" w:sz="4" w:space="0"/>
                    <w:bottom w:val="single" w:color="auto" w:sz="4" w:space="0"/>
                    <w:right w:val="single" w:color="auto" w:sz="4" w:space="0"/>
                  </w:tcBorders>
                  <w:vAlign w:val="center"/>
                </w:tcPr>
                <w:p w14:paraId="3A80DAEF">
                  <w:pPr>
                    <w:spacing w:line="240" w:lineRule="auto"/>
                    <w:ind w:firstLine="0" w:firstLineChars="0"/>
                    <w:jc w:val="center"/>
                    <w:rPr>
                      <w:rFonts w:cs="Times New Roman"/>
                      <w:b/>
                      <w:color w:val="auto"/>
                      <w:sz w:val="21"/>
                      <w:szCs w:val="21"/>
                    </w:rPr>
                  </w:pPr>
                  <w:r>
                    <w:rPr>
                      <w:rFonts w:cs="Times New Roman"/>
                      <w:b/>
                      <w:color w:val="auto"/>
                      <w:sz w:val="21"/>
                      <w:szCs w:val="21"/>
                    </w:rPr>
                    <w:t>环境保护措施与对策</w:t>
                  </w:r>
                </w:p>
              </w:tc>
              <w:tc>
                <w:tcPr>
                  <w:tcW w:w="542" w:type="pct"/>
                  <w:tcBorders>
                    <w:top w:val="single" w:color="auto" w:sz="4" w:space="0"/>
                    <w:left w:val="single" w:color="auto" w:sz="4" w:space="0"/>
                    <w:bottom w:val="single" w:color="auto" w:sz="4" w:space="0"/>
                    <w:right w:val="single" w:color="auto" w:sz="4" w:space="0"/>
                  </w:tcBorders>
                  <w:vAlign w:val="center"/>
                </w:tcPr>
                <w:p w14:paraId="7C5BE68D">
                  <w:pPr>
                    <w:spacing w:line="240" w:lineRule="auto"/>
                    <w:ind w:firstLine="0" w:firstLineChars="0"/>
                    <w:jc w:val="center"/>
                    <w:rPr>
                      <w:rFonts w:cs="Times New Roman"/>
                      <w:b/>
                      <w:color w:val="auto"/>
                      <w:sz w:val="21"/>
                      <w:szCs w:val="21"/>
                    </w:rPr>
                  </w:pPr>
                  <w:r>
                    <w:rPr>
                      <w:rFonts w:cs="Times New Roman"/>
                      <w:b/>
                      <w:color w:val="auto"/>
                      <w:sz w:val="21"/>
                      <w:szCs w:val="21"/>
                    </w:rPr>
                    <w:t>执行单位</w:t>
                  </w:r>
                </w:p>
              </w:tc>
              <w:tc>
                <w:tcPr>
                  <w:tcW w:w="540" w:type="pct"/>
                  <w:tcBorders>
                    <w:top w:val="single" w:color="auto" w:sz="4" w:space="0"/>
                    <w:left w:val="single" w:color="auto" w:sz="4" w:space="0"/>
                    <w:bottom w:val="single" w:color="auto" w:sz="4" w:space="0"/>
                    <w:right w:val="single" w:color="auto" w:sz="4" w:space="0"/>
                  </w:tcBorders>
                  <w:vAlign w:val="center"/>
                </w:tcPr>
                <w:p w14:paraId="6CA8A65B">
                  <w:pPr>
                    <w:spacing w:line="240" w:lineRule="auto"/>
                    <w:ind w:firstLine="0" w:firstLineChars="0"/>
                    <w:jc w:val="center"/>
                    <w:rPr>
                      <w:rFonts w:cs="Times New Roman"/>
                      <w:b/>
                      <w:color w:val="auto"/>
                      <w:sz w:val="21"/>
                      <w:szCs w:val="21"/>
                    </w:rPr>
                  </w:pPr>
                  <w:r>
                    <w:rPr>
                      <w:rFonts w:cs="Times New Roman"/>
                      <w:b/>
                      <w:color w:val="auto"/>
                      <w:sz w:val="21"/>
                      <w:szCs w:val="21"/>
                    </w:rPr>
                    <w:t>监管部门</w:t>
                  </w:r>
                </w:p>
              </w:tc>
            </w:tr>
            <w:tr w14:paraId="4190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7" w:type="pct"/>
                  <w:tcBorders>
                    <w:top w:val="single" w:color="auto" w:sz="4" w:space="0"/>
                    <w:left w:val="single" w:color="auto" w:sz="4" w:space="0"/>
                    <w:right w:val="single" w:color="auto" w:sz="4" w:space="0"/>
                  </w:tcBorders>
                  <w:vAlign w:val="center"/>
                </w:tcPr>
                <w:p w14:paraId="13DA7581">
                  <w:pPr>
                    <w:spacing w:line="240" w:lineRule="auto"/>
                    <w:ind w:firstLine="0" w:firstLineChars="0"/>
                    <w:rPr>
                      <w:rFonts w:cs="Times New Roman"/>
                      <w:color w:val="auto"/>
                      <w:sz w:val="21"/>
                      <w:szCs w:val="21"/>
                    </w:rPr>
                  </w:pPr>
                  <w:r>
                    <w:rPr>
                      <w:rFonts w:cs="Times New Roman"/>
                      <w:color w:val="auto"/>
                      <w:sz w:val="21"/>
                      <w:szCs w:val="21"/>
                    </w:rPr>
                    <w:t>大气环境</w:t>
                  </w:r>
                </w:p>
              </w:tc>
              <w:tc>
                <w:tcPr>
                  <w:tcW w:w="439" w:type="pct"/>
                  <w:tcBorders>
                    <w:top w:val="single" w:color="auto" w:sz="4" w:space="0"/>
                    <w:left w:val="single" w:color="auto" w:sz="4" w:space="0"/>
                    <w:bottom w:val="single" w:color="auto" w:sz="4" w:space="0"/>
                    <w:right w:val="single" w:color="auto" w:sz="4" w:space="0"/>
                  </w:tcBorders>
                  <w:vAlign w:val="center"/>
                </w:tcPr>
                <w:p w14:paraId="3EDA9BD9">
                  <w:pPr>
                    <w:spacing w:line="240" w:lineRule="auto"/>
                    <w:ind w:firstLine="0" w:firstLineChars="0"/>
                    <w:rPr>
                      <w:rFonts w:cs="Times New Roman"/>
                      <w:color w:val="auto"/>
                      <w:sz w:val="21"/>
                      <w:szCs w:val="21"/>
                    </w:rPr>
                  </w:pPr>
                  <w:r>
                    <w:rPr>
                      <w:rFonts w:cs="Times New Roman"/>
                      <w:color w:val="auto"/>
                      <w:sz w:val="21"/>
                      <w:szCs w:val="21"/>
                    </w:rPr>
                    <w:t>施工期</w:t>
                  </w:r>
                </w:p>
              </w:tc>
              <w:tc>
                <w:tcPr>
                  <w:tcW w:w="3042" w:type="pct"/>
                  <w:tcBorders>
                    <w:top w:val="single" w:color="auto" w:sz="4" w:space="0"/>
                    <w:left w:val="single" w:color="auto" w:sz="4" w:space="0"/>
                    <w:bottom w:val="single" w:color="auto" w:sz="4" w:space="0"/>
                    <w:right w:val="single" w:color="auto" w:sz="4" w:space="0"/>
                  </w:tcBorders>
                  <w:vAlign w:val="center"/>
                </w:tcPr>
                <w:p w14:paraId="6399A055">
                  <w:pPr>
                    <w:spacing w:line="240" w:lineRule="auto"/>
                    <w:ind w:firstLine="0" w:firstLineChars="0"/>
                    <w:rPr>
                      <w:rFonts w:cs="Times New Roman"/>
                      <w:color w:val="auto"/>
                      <w:sz w:val="21"/>
                      <w:szCs w:val="21"/>
                    </w:rPr>
                  </w:pPr>
                  <w:r>
                    <w:rPr>
                      <w:rFonts w:hint="eastAsia" w:cs="Times New Roman"/>
                      <w:color w:val="auto"/>
                      <w:sz w:val="21"/>
                      <w:szCs w:val="21"/>
                    </w:rPr>
                    <w:t>施工场地面向村庄一侧设置不低于</w:t>
                  </w:r>
                  <w:r>
                    <w:rPr>
                      <w:rFonts w:cs="Times New Roman"/>
                      <w:color w:val="auto"/>
                      <w:sz w:val="21"/>
                      <w:szCs w:val="21"/>
                    </w:rPr>
                    <w:t>1.8m</w:t>
                  </w:r>
                  <w:r>
                    <w:rPr>
                      <w:rFonts w:hint="eastAsia" w:cs="Times New Roman"/>
                      <w:color w:val="auto"/>
                      <w:sz w:val="21"/>
                      <w:szCs w:val="21"/>
                    </w:rPr>
                    <w:t>的临时围挡，采取洒水降尘措施，用土工布覆盖易产尘材料和临时堆放的土方，土石方及时回填压实。</w:t>
                  </w:r>
                </w:p>
              </w:tc>
              <w:tc>
                <w:tcPr>
                  <w:tcW w:w="542" w:type="pct"/>
                  <w:tcBorders>
                    <w:top w:val="single" w:color="auto" w:sz="4" w:space="0"/>
                    <w:left w:val="single" w:color="auto" w:sz="4" w:space="0"/>
                    <w:bottom w:val="single" w:color="auto" w:sz="4" w:space="0"/>
                    <w:right w:val="single" w:color="auto" w:sz="4" w:space="0"/>
                  </w:tcBorders>
                  <w:vAlign w:val="center"/>
                </w:tcPr>
                <w:p w14:paraId="17A8C82E">
                  <w:pPr>
                    <w:spacing w:line="240" w:lineRule="auto"/>
                    <w:ind w:firstLine="0" w:firstLineChars="0"/>
                    <w:rPr>
                      <w:rFonts w:cs="Times New Roman"/>
                      <w:bCs/>
                      <w:color w:val="auto"/>
                      <w:sz w:val="21"/>
                      <w:szCs w:val="21"/>
                    </w:rPr>
                  </w:pPr>
                  <w:r>
                    <w:rPr>
                      <w:rFonts w:cs="Times New Roman"/>
                      <w:bCs/>
                      <w:color w:val="auto"/>
                      <w:sz w:val="21"/>
                      <w:szCs w:val="21"/>
                    </w:rPr>
                    <w:t>建设单位、施工单位</w:t>
                  </w:r>
                </w:p>
              </w:tc>
              <w:tc>
                <w:tcPr>
                  <w:tcW w:w="540" w:type="pct"/>
                  <w:vMerge w:val="restart"/>
                  <w:tcBorders>
                    <w:top w:val="single" w:color="auto" w:sz="4" w:space="0"/>
                    <w:left w:val="single" w:color="auto" w:sz="4" w:space="0"/>
                    <w:right w:val="single" w:color="auto" w:sz="4" w:space="0"/>
                  </w:tcBorders>
                  <w:vAlign w:val="center"/>
                </w:tcPr>
                <w:p w14:paraId="41144462">
                  <w:pPr>
                    <w:spacing w:line="240" w:lineRule="auto"/>
                    <w:ind w:firstLine="0" w:firstLineChars="0"/>
                    <w:rPr>
                      <w:rFonts w:cs="Times New Roman"/>
                      <w:color w:val="auto"/>
                      <w:sz w:val="21"/>
                      <w:szCs w:val="21"/>
                    </w:rPr>
                  </w:pPr>
                  <w:r>
                    <w:rPr>
                      <w:rFonts w:hint="eastAsia" w:cs="Times New Roman"/>
                      <w:color w:val="auto"/>
                      <w:sz w:val="21"/>
                      <w:szCs w:val="21"/>
                    </w:rPr>
                    <w:t>大理州生态环境局南涧分局</w:t>
                  </w:r>
                </w:p>
              </w:tc>
            </w:tr>
            <w:tr w14:paraId="6A66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7" w:type="pct"/>
                  <w:vMerge w:val="restart"/>
                  <w:tcBorders>
                    <w:top w:val="single" w:color="auto" w:sz="4" w:space="0"/>
                    <w:left w:val="single" w:color="auto" w:sz="4" w:space="0"/>
                    <w:bottom w:val="single" w:color="auto" w:sz="4" w:space="0"/>
                    <w:right w:val="single" w:color="auto" w:sz="4" w:space="0"/>
                  </w:tcBorders>
                  <w:vAlign w:val="center"/>
                </w:tcPr>
                <w:p w14:paraId="437EBB13">
                  <w:pPr>
                    <w:spacing w:line="240" w:lineRule="auto"/>
                    <w:ind w:firstLine="0" w:firstLineChars="0"/>
                    <w:rPr>
                      <w:rFonts w:cs="Times New Roman"/>
                      <w:color w:val="auto"/>
                      <w:sz w:val="21"/>
                      <w:szCs w:val="21"/>
                    </w:rPr>
                  </w:pPr>
                  <w:r>
                    <w:rPr>
                      <w:rFonts w:cs="Times New Roman"/>
                      <w:color w:val="auto"/>
                      <w:sz w:val="21"/>
                      <w:szCs w:val="21"/>
                    </w:rPr>
                    <w:t>水环境</w:t>
                  </w:r>
                </w:p>
              </w:tc>
              <w:tc>
                <w:tcPr>
                  <w:tcW w:w="439" w:type="pct"/>
                  <w:tcBorders>
                    <w:top w:val="single" w:color="auto" w:sz="4" w:space="0"/>
                    <w:left w:val="single" w:color="auto" w:sz="4" w:space="0"/>
                    <w:bottom w:val="single" w:color="auto" w:sz="4" w:space="0"/>
                    <w:right w:val="single" w:color="auto" w:sz="4" w:space="0"/>
                  </w:tcBorders>
                  <w:vAlign w:val="center"/>
                </w:tcPr>
                <w:p w14:paraId="6FDB92A4">
                  <w:pPr>
                    <w:spacing w:line="240" w:lineRule="auto"/>
                    <w:ind w:firstLine="0" w:firstLineChars="0"/>
                    <w:rPr>
                      <w:rFonts w:cs="Times New Roman"/>
                      <w:color w:val="auto"/>
                      <w:sz w:val="21"/>
                      <w:szCs w:val="21"/>
                    </w:rPr>
                  </w:pPr>
                  <w:r>
                    <w:rPr>
                      <w:rFonts w:cs="Times New Roman"/>
                      <w:color w:val="auto"/>
                      <w:sz w:val="21"/>
                      <w:szCs w:val="21"/>
                    </w:rPr>
                    <w:t>施工期</w:t>
                  </w:r>
                </w:p>
              </w:tc>
              <w:tc>
                <w:tcPr>
                  <w:tcW w:w="3042" w:type="pct"/>
                  <w:tcBorders>
                    <w:top w:val="single" w:color="auto" w:sz="4" w:space="0"/>
                    <w:left w:val="single" w:color="auto" w:sz="4" w:space="0"/>
                    <w:bottom w:val="single" w:color="auto" w:sz="4" w:space="0"/>
                    <w:right w:val="single" w:color="auto" w:sz="4" w:space="0"/>
                  </w:tcBorders>
                  <w:vAlign w:val="center"/>
                </w:tcPr>
                <w:p w14:paraId="559591B7">
                  <w:pPr>
                    <w:pStyle w:val="65"/>
                    <w:jc w:val="both"/>
                    <w:rPr>
                      <w:color w:val="auto"/>
                    </w:rPr>
                  </w:pPr>
                  <w:r>
                    <w:rPr>
                      <w:color w:val="auto"/>
                    </w:rPr>
                    <w:t>（1）</w:t>
                  </w:r>
                  <w:r>
                    <w:rPr>
                      <w:rFonts w:hint="eastAsia"/>
                      <w:color w:val="auto"/>
                    </w:rPr>
                    <w:t>在道路工程区设置C20混凝土排水边沟2267m³；φ1000圆管涵228m，9口9m3沉砂池；光伏方阵区设置截水沟1500.48m，5口9m3沉砂池收集施工废水，施工场地设置3个5m3的临时沉淀池收集生活污水（洗手废水），废水进行沉淀处理后用于施工用水和施工场地洒水降尘。</w:t>
                  </w:r>
                </w:p>
                <w:p w14:paraId="6604084C">
                  <w:pPr>
                    <w:spacing w:line="240" w:lineRule="auto"/>
                    <w:ind w:firstLine="0" w:firstLineChars="0"/>
                    <w:rPr>
                      <w:rFonts w:cs="Times New Roman"/>
                      <w:color w:val="auto"/>
                      <w:sz w:val="21"/>
                      <w:szCs w:val="21"/>
                    </w:rPr>
                  </w:pPr>
                  <w:r>
                    <w:rPr>
                      <w:rFonts w:cs="Times New Roman"/>
                      <w:color w:val="auto"/>
                      <w:sz w:val="21"/>
                      <w:szCs w:val="21"/>
                    </w:rPr>
                    <w:t>（2）</w:t>
                  </w:r>
                  <w:r>
                    <w:rPr>
                      <w:rFonts w:hint="eastAsia" w:cs="Times New Roman"/>
                      <w:color w:val="auto"/>
                      <w:sz w:val="21"/>
                      <w:szCs w:val="21"/>
                    </w:rPr>
                    <w:t>本项目业主、承包商及施工人员临时居住、办公等场地均采用租用民房解决，施工期日常生活污水依托当地民房自有处理系统。</w:t>
                  </w:r>
                </w:p>
              </w:tc>
              <w:tc>
                <w:tcPr>
                  <w:tcW w:w="542" w:type="pct"/>
                  <w:tcBorders>
                    <w:top w:val="single" w:color="auto" w:sz="4" w:space="0"/>
                    <w:left w:val="single" w:color="auto" w:sz="4" w:space="0"/>
                    <w:bottom w:val="single" w:color="auto" w:sz="4" w:space="0"/>
                    <w:right w:val="single" w:color="auto" w:sz="4" w:space="0"/>
                  </w:tcBorders>
                  <w:vAlign w:val="center"/>
                </w:tcPr>
                <w:p w14:paraId="43BF3E40">
                  <w:pPr>
                    <w:spacing w:line="240" w:lineRule="auto"/>
                    <w:ind w:firstLine="0" w:firstLineChars="0"/>
                    <w:rPr>
                      <w:rFonts w:cs="Times New Roman"/>
                      <w:bCs/>
                      <w:color w:val="auto"/>
                      <w:sz w:val="21"/>
                      <w:szCs w:val="21"/>
                    </w:rPr>
                  </w:pPr>
                  <w:r>
                    <w:rPr>
                      <w:rFonts w:cs="Times New Roman"/>
                      <w:bCs/>
                      <w:color w:val="auto"/>
                      <w:sz w:val="21"/>
                      <w:szCs w:val="21"/>
                    </w:rPr>
                    <w:t>建设单位、施工单位</w:t>
                  </w:r>
                </w:p>
              </w:tc>
              <w:tc>
                <w:tcPr>
                  <w:tcW w:w="0" w:type="auto"/>
                  <w:vMerge w:val="continue"/>
                  <w:tcBorders>
                    <w:left w:val="single" w:color="auto" w:sz="4" w:space="0"/>
                    <w:right w:val="single" w:color="auto" w:sz="4" w:space="0"/>
                  </w:tcBorders>
                  <w:vAlign w:val="center"/>
                </w:tcPr>
                <w:p w14:paraId="1AC3F3A5">
                  <w:pPr>
                    <w:spacing w:line="240" w:lineRule="auto"/>
                    <w:ind w:firstLine="0" w:firstLineChars="0"/>
                    <w:rPr>
                      <w:rFonts w:cs="Times New Roman"/>
                      <w:color w:val="auto"/>
                      <w:sz w:val="21"/>
                      <w:szCs w:val="21"/>
                    </w:rPr>
                  </w:pPr>
                </w:p>
              </w:tc>
            </w:tr>
            <w:tr w14:paraId="6B12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39F81F7">
                  <w:pPr>
                    <w:spacing w:line="240" w:lineRule="auto"/>
                    <w:ind w:firstLine="0" w:firstLineChars="0"/>
                    <w:rPr>
                      <w:rFonts w:cs="Times New Roman"/>
                      <w:color w:val="auto"/>
                      <w:sz w:val="21"/>
                      <w:szCs w:val="21"/>
                    </w:rPr>
                  </w:pPr>
                </w:p>
              </w:tc>
              <w:tc>
                <w:tcPr>
                  <w:tcW w:w="439" w:type="pct"/>
                  <w:tcBorders>
                    <w:top w:val="single" w:color="auto" w:sz="4" w:space="0"/>
                    <w:left w:val="single" w:color="auto" w:sz="4" w:space="0"/>
                    <w:bottom w:val="single" w:color="auto" w:sz="4" w:space="0"/>
                    <w:right w:val="single" w:color="auto" w:sz="4" w:space="0"/>
                  </w:tcBorders>
                  <w:vAlign w:val="center"/>
                </w:tcPr>
                <w:p w14:paraId="19499DBA">
                  <w:pPr>
                    <w:spacing w:line="240" w:lineRule="auto"/>
                    <w:ind w:firstLine="0" w:firstLineChars="0"/>
                    <w:rPr>
                      <w:rFonts w:cs="Times New Roman"/>
                      <w:color w:val="auto"/>
                      <w:sz w:val="21"/>
                      <w:szCs w:val="21"/>
                    </w:rPr>
                  </w:pPr>
                  <w:r>
                    <w:rPr>
                      <w:rFonts w:cs="Times New Roman"/>
                      <w:color w:val="auto"/>
                      <w:sz w:val="21"/>
                      <w:szCs w:val="21"/>
                    </w:rPr>
                    <w:t>运营期</w:t>
                  </w:r>
                </w:p>
              </w:tc>
              <w:tc>
                <w:tcPr>
                  <w:tcW w:w="3042" w:type="pct"/>
                  <w:tcBorders>
                    <w:top w:val="single" w:color="auto" w:sz="4" w:space="0"/>
                    <w:left w:val="single" w:color="auto" w:sz="4" w:space="0"/>
                    <w:bottom w:val="single" w:color="auto" w:sz="4" w:space="0"/>
                    <w:right w:val="single" w:color="auto" w:sz="4" w:space="0"/>
                  </w:tcBorders>
                  <w:vAlign w:val="center"/>
                </w:tcPr>
                <w:p w14:paraId="547E939A">
                  <w:pPr>
                    <w:pStyle w:val="65"/>
                    <w:jc w:val="both"/>
                    <w:rPr>
                      <w:color w:val="auto"/>
                    </w:rPr>
                  </w:pPr>
                  <w:r>
                    <w:rPr>
                      <w:rFonts w:hint="eastAsia" w:cs="Times New Roman"/>
                      <w:color w:val="auto"/>
                      <w:szCs w:val="21"/>
                    </w:rPr>
                    <w:t>光伏组件清洗废水通过光伏组件落入场地土壤中，用于光伏场区植被绿化。</w:t>
                  </w:r>
                </w:p>
              </w:tc>
              <w:tc>
                <w:tcPr>
                  <w:tcW w:w="542" w:type="pct"/>
                  <w:tcBorders>
                    <w:top w:val="single" w:color="auto" w:sz="4" w:space="0"/>
                    <w:left w:val="single" w:color="auto" w:sz="4" w:space="0"/>
                    <w:bottom w:val="single" w:color="auto" w:sz="4" w:space="0"/>
                    <w:right w:val="single" w:color="auto" w:sz="4" w:space="0"/>
                  </w:tcBorders>
                  <w:vAlign w:val="center"/>
                </w:tcPr>
                <w:p w14:paraId="16F15264">
                  <w:pPr>
                    <w:spacing w:line="240" w:lineRule="auto"/>
                    <w:ind w:firstLine="0" w:firstLineChars="0"/>
                    <w:rPr>
                      <w:rFonts w:cs="Times New Roman"/>
                      <w:bCs/>
                      <w:color w:val="auto"/>
                      <w:sz w:val="21"/>
                      <w:szCs w:val="21"/>
                    </w:rPr>
                  </w:pPr>
                  <w:r>
                    <w:rPr>
                      <w:rFonts w:cs="Times New Roman"/>
                      <w:bCs/>
                      <w:color w:val="auto"/>
                      <w:sz w:val="21"/>
                      <w:szCs w:val="21"/>
                    </w:rPr>
                    <w:t>建设单位</w:t>
                  </w:r>
                </w:p>
              </w:tc>
              <w:tc>
                <w:tcPr>
                  <w:tcW w:w="0" w:type="auto"/>
                  <w:vMerge w:val="continue"/>
                  <w:tcBorders>
                    <w:left w:val="single" w:color="auto" w:sz="4" w:space="0"/>
                    <w:right w:val="single" w:color="auto" w:sz="4" w:space="0"/>
                  </w:tcBorders>
                  <w:vAlign w:val="center"/>
                </w:tcPr>
                <w:p w14:paraId="42F278D4">
                  <w:pPr>
                    <w:spacing w:line="240" w:lineRule="auto"/>
                    <w:ind w:firstLine="0" w:firstLineChars="0"/>
                    <w:rPr>
                      <w:rFonts w:cs="Times New Roman"/>
                      <w:color w:val="auto"/>
                      <w:sz w:val="21"/>
                      <w:szCs w:val="21"/>
                    </w:rPr>
                  </w:pPr>
                </w:p>
              </w:tc>
            </w:tr>
            <w:tr w14:paraId="507F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7" w:type="pct"/>
                  <w:vMerge w:val="restart"/>
                  <w:tcBorders>
                    <w:top w:val="single" w:color="auto" w:sz="4" w:space="0"/>
                    <w:left w:val="single" w:color="auto" w:sz="4" w:space="0"/>
                    <w:bottom w:val="single" w:color="auto" w:sz="4" w:space="0"/>
                    <w:right w:val="single" w:color="auto" w:sz="4" w:space="0"/>
                  </w:tcBorders>
                  <w:vAlign w:val="center"/>
                </w:tcPr>
                <w:p w14:paraId="3741E50A">
                  <w:pPr>
                    <w:spacing w:line="240" w:lineRule="auto"/>
                    <w:ind w:firstLine="0" w:firstLineChars="0"/>
                    <w:rPr>
                      <w:rFonts w:cs="Times New Roman"/>
                      <w:color w:val="auto"/>
                      <w:sz w:val="21"/>
                      <w:szCs w:val="21"/>
                    </w:rPr>
                  </w:pPr>
                  <w:r>
                    <w:rPr>
                      <w:rFonts w:cs="Times New Roman"/>
                      <w:color w:val="auto"/>
                      <w:sz w:val="21"/>
                      <w:szCs w:val="21"/>
                    </w:rPr>
                    <w:t>生态环境</w:t>
                  </w:r>
                </w:p>
              </w:tc>
              <w:tc>
                <w:tcPr>
                  <w:tcW w:w="439" w:type="pct"/>
                  <w:tcBorders>
                    <w:top w:val="single" w:color="auto" w:sz="4" w:space="0"/>
                    <w:left w:val="single" w:color="auto" w:sz="4" w:space="0"/>
                    <w:bottom w:val="single" w:color="auto" w:sz="4" w:space="0"/>
                    <w:right w:val="single" w:color="auto" w:sz="4" w:space="0"/>
                  </w:tcBorders>
                  <w:vAlign w:val="center"/>
                </w:tcPr>
                <w:p w14:paraId="75FC79FC">
                  <w:pPr>
                    <w:spacing w:line="240" w:lineRule="auto"/>
                    <w:ind w:firstLine="0" w:firstLineChars="0"/>
                    <w:rPr>
                      <w:rFonts w:cs="Times New Roman"/>
                      <w:color w:val="auto"/>
                      <w:sz w:val="21"/>
                      <w:szCs w:val="21"/>
                    </w:rPr>
                  </w:pPr>
                  <w:r>
                    <w:rPr>
                      <w:rFonts w:cs="Times New Roman"/>
                      <w:color w:val="auto"/>
                      <w:sz w:val="21"/>
                      <w:szCs w:val="21"/>
                    </w:rPr>
                    <w:t>施工期</w:t>
                  </w:r>
                </w:p>
              </w:tc>
              <w:tc>
                <w:tcPr>
                  <w:tcW w:w="3042" w:type="pct"/>
                  <w:tcBorders>
                    <w:top w:val="single" w:color="auto" w:sz="4" w:space="0"/>
                    <w:left w:val="single" w:color="auto" w:sz="4" w:space="0"/>
                    <w:bottom w:val="single" w:color="auto" w:sz="4" w:space="0"/>
                    <w:right w:val="single" w:color="auto" w:sz="4" w:space="0"/>
                  </w:tcBorders>
                  <w:vAlign w:val="center"/>
                </w:tcPr>
                <w:p w14:paraId="71E0B214">
                  <w:pPr>
                    <w:spacing w:line="240" w:lineRule="auto"/>
                    <w:ind w:firstLine="0" w:firstLineChars="0"/>
                    <w:rPr>
                      <w:rFonts w:cs="Times New Roman"/>
                      <w:color w:val="auto"/>
                      <w:sz w:val="21"/>
                      <w:szCs w:val="21"/>
                    </w:rPr>
                  </w:pPr>
                  <w:r>
                    <w:rPr>
                      <w:rFonts w:hint="eastAsia" w:cs="Times New Roman"/>
                      <w:color w:val="auto"/>
                      <w:sz w:val="21"/>
                      <w:szCs w:val="21"/>
                    </w:rPr>
                    <w:t>（1）依法依规办理用地手续，禁止超范围占地，用地范围内植被植物清理时，如发现珍稀植物，应采取相应措施妥善保护。</w:t>
                  </w:r>
                </w:p>
                <w:p w14:paraId="541C9B15">
                  <w:pPr>
                    <w:spacing w:line="240" w:lineRule="auto"/>
                    <w:ind w:firstLine="0" w:firstLineChars="0"/>
                    <w:rPr>
                      <w:rFonts w:cs="Times New Roman"/>
                      <w:color w:val="auto"/>
                      <w:sz w:val="21"/>
                      <w:szCs w:val="21"/>
                    </w:rPr>
                  </w:pPr>
                  <w:r>
                    <w:rPr>
                      <w:rFonts w:hint="eastAsia" w:cs="Times New Roman"/>
                      <w:color w:val="auto"/>
                      <w:sz w:val="21"/>
                      <w:szCs w:val="21"/>
                    </w:rPr>
                    <w:t>（2）</w:t>
                  </w:r>
                  <w:r>
                    <w:rPr>
                      <w:rFonts w:cs="Times New Roman"/>
                      <w:color w:val="auto"/>
                      <w:sz w:val="21"/>
                      <w:szCs w:val="21"/>
                    </w:rPr>
                    <w:t>在施工场地内设置动物保护警示牌</w:t>
                  </w:r>
                  <w:r>
                    <w:rPr>
                      <w:rFonts w:hint="eastAsia" w:cs="Times New Roman"/>
                      <w:color w:val="auto"/>
                      <w:sz w:val="21"/>
                      <w:szCs w:val="21"/>
                    </w:rPr>
                    <w:t>，</w:t>
                  </w:r>
                  <w:r>
                    <w:rPr>
                      <w:rFonts w:cs="Times New Roman"/>
                      <w:color w:val="auto"/>
                      <w:sz w:val="21"/>
                      <w:szCs w:val="21"/>
                    </w:rPr>
                    <w:t>施工结束后，临时占用的园地区域，采用“农光互补”模式，在光伏组件下方种植果树等农作物；其他临时占地或施工扰动区域，采用草灌结合的方式，选用原生表土和乡土物种进行植被恢复。</w:t>
                  </w:r>
                </w:p>
                <w:p w14:paraId="68764B2B">
                  <w:pPr>
                    <w:spacing w:line="240" w:lineRule="auto"/>
                    <w:ind w:firstLine="0" w:firstLineChars="0"/>
                    <w:rPr>
                      <w:rFonts w:cs="Times New Roman"/>
                      <w:color w:val="auto"/>
                      <w:sz w:val="21"/>
                      <w:szCs w:val="21"/>
                    </w:rPr>
                  </w:pPr>
                  <w:r>
                    <w:rPr>
                      <w:rFonts w:hint="eastAsia" w:cs="Times New Roman"/>
                      <w:color w:val="auto"/>
                      <w:sz w:val="21"/>
                      <w:szCs w:val="21"/>
                    </w:rPr>
                    <w:t>（3）</w:t>
                  </w:r>
                  <w:r>
                    <w:rPr>
                      <w:rFonts w:cs="Times New Roman"/>
                      <w:color w:val="auto"/>
                      <w:sz w:val="21"/>
                      <w:szCs w:val="21"/>
                    </w:rPr>
                    <w:t>在生态保护红线附近施工时，先对施工场地进行围挡，并设置施工警示标牌，禁止越界施工，禁止进入生态保护红线范围。</w:t>
                  </w:r>
                </w:p>
                <w:p w14:paraId="1D2EA8F5">
                  <w:pPr>
                    <w:spacing w:line="240" w:lineRule="auto"/>
                    <w:ind w:firstLine="0" w:firstLineChars="0"/>
                    <w:rPr>
                      <w:rFonts w:cs="Times New Roman"/>
                      <w:color w:val="auto"/>
                      <w:sz w:val="21"/>
                      <w:szCs w:val="21"/>
                    </w:rPr>
                  </w:pPr>
                  <w:r>
                    <w:rPr>
                      <w:rFonts w:hint="eastAsia" w:cs="Times New Roman"/>
                      <w:color w:val="auto"/>
                      <w:sz w:val="21"/>
                      <w:szCs w:val="21"/>
                    </w:rPr>
                    <w:t>（4）光伏方阵除桩基用地外，严禁硬化地面、破坏植被层。</w:t>
                  </w:r>
                </w:p>
                <w:p w14:paraId="22148DE8">
                  <w:pPr>
                    <w:spacing w:line="240" w:lineRule="auto"/>
                    <w:ind w:firstLine="0" w:firstLineChars="0"/>
                    <w:rPr>
                      <w:rFonts w:cs="Times New Roman"/>
                      <w:color w:val="auto"/>
                      <w:sz w:val="21"/>
                      <w:szCs w:val="21"/>
                    </w:rPr>
                  </w:pPr>
                  <w:r>
                    <w:rPr>
                      <w:rFonts w:hint="eastAsia" w:cs="Times New Roman"/>
                      <w:color w:val="auto"/>
                      <w:sz w:val="21"/>
                      <w:szCs w:val="21"/>
                    </w:rPr>
                    <w:t>（5）加强施工人员对野生动物和生态环境的保护意识教育，增强施工人员的动物保护意识，严禁狩猎野生动物、取食鸟蛋、幼鸟等活动</w:t>
                  </w:r>
                  <w:r>
                    <w:rPr>
                      <w:rFonts w:cs="Times New Roman"/>
                      <w:color w:val="auto"/>
                      <w:sz w:val="21"/>
                      <w:szCs w:val="21"/>
                    </w:rPr>
                    <w:t>。</w:t>
                  </w:r>
                </w:p>
              </w:tc>
              <w:tc>
                <w:tcPr>
                  <w:tcW w:w="542" w:type="pct"/>
                  <w:tcBorders>
                    <w:top w:val="single" w:color="auto" w:sz="4" w:space="0"/>
                    <w:left w:val="single" w:color="auto" w:sz="4" w:space="0"/>
                    <w:bottom w:val="single" w:color="auto" w:sz="4" w:space="0"/>
                    <w:right w:val="single" w:color="auto" w:sz="4" w:space="0"/>
                  </w:tcBorders>
                  <w:vAlign w:val="center"/>
                </w:tcPr>
                <w:p w14:paraId="0994BB07">
                  <w:pPr>
                    <w:spacing w:line="240" w:lineRule="auto"/>
                    <w:ind w:firstLine="0" w:firstLineChars="0"/>
                    <w:rPr>
                      <w:rFonts w:cs="Times New Roman"/>
                      <w:bCs/>
                      <w:color w:val="auto"/>
                      <w:sz w:val="21"/>
                      <w:szCs w:val="21"/>
                    </w:rPr>
                  </w:pPr>
                  <w:r>
                    <w:rPr>
                      <w:rFonts w:cs="Times New Roman"/>
                      <w:bCs/>
                      <w:color w:val="auto"/>
                      <w:sz w:val="21"/>
                      <w:szCs w:val="21"/>
                    </w:rPr>
                    <w:t>建设单位、施工单位</w:t>
                  </w:r>
                </w:p>
              </w:tc>
              <w:tc>
                <w:tcPr>
                  <w:tcW w:w="0" w:type="auto"/>
                  <w:vMerge w:val="continue"/>
                  <w:tcBorders>
                    <w:left w:val="single" w:color="auto" w:sz="4" w:space="0"/>
                    <w:right w:val="single" w:color="auto" w:sz="4" w:space="0"/>
                  </w:tcBorders>
                  <w:vAlign w:val="center"/>
                </w:tcPr>
                <w:p w14:paraId="29D7A26F">
                  <w:pPr>
                    <w:spacing w:line="240" w:lineRule="auto"/>
                    <w:ind w:firstLine="0" w:firstLineChars="0"/>
                    <w:rPr>
                      <w:rFonts w:cs="Times New Roman"/>
                      <w:color w:val="auto"/>
                      <w:sz w:val="21"/>
                      <w:szCs w:val="21"/>
                    </w:rPr>
                  </w:pPr>
                </w:p>
              </w:tc>
            </w:tr>
            <w:tr w14:paraId="10B3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BE92B2B">
                  <w:pPr>
                    <w:spacing w:line="240" w:lineRule="auto"/>
                    <w:ind w:firstLine="0" w:firstLineChars="0"/>
                    <w:rPr>
                      <w:rFonts w:cs="Times New Roman"/>
                      <w:color w:val="auto"/>
                      <w:sz w:val="21"/>
                      <w:szCs w:val="21"/>
                    </w:rPr>
                  </w:pPr>
                </w:p>
              </w:tc>
              <w:tc>
                <w:tcPr>
                  <w:tcW w:w="439" w:type="pct"/>
                  <w:tcBorders>
                    <w:top w:val="single" w:color="auto" w:sz="4" w:space="0"/>
                    <w:left w:val="single" w:color="auto" w:sz="4" w:space="0"/>
                    <w:bottom w:val="single" w:color="auto" w:sz="4" w:space="0"/>
                    <w:right w:val="single" w:color="auto" w:sz="4" w:space="0"/>
                  </w:tcBorders>
                  <w:vAlign w:val="center"/>
                </w:tcPr>
                <w:p w14:paraId="7B29ECA1">
                  <w:pPr>
                    <w:spacing w:line="240" w:lineRule="auto"/>
                    <w:ind w:firstLine="0" w:firstLineChars="0"/>
                    <w:rPr>
                      <w:rFonts w:cs="Times New Roman"/>
                      <w:color w:val="auto"/>
                      <w:sz w:val="21"/>
                      <w:szCs w:val="21"/>
                    </w:rPr>
                  </w:pPr>
                  <w:r>
                    <w:rPr>
                      <w:rFonts w:cs="Times New Roman"/>
                      <w:color w:val="auto"/>
                      <w:sz w:val="21"/>
                      <w:szCs w:val="21"/>
                    </w:rPr>
                    <w:t>运营期</w:t>
                  </w:r>
                </w:p>
              </w:tc>
              <w:tc>
                <w:tcPr>
                  <w:tcW w:w="3042" w:type="pct"/>
                  <w:tcBorders>
                    <w:top w:val="single" w:color="auto" w:sz="4" w:space="0"/>
                    <w:left w:val="single" w:color="auto" w:sz="4" w:space="0"/>
                    <w:bottom w:val="single" w:color="auto" w:sz="4" w:space="0"/>
                    <w:right w:val="single" w:color="auto" w:sz="4" w:space="0"/>
                  </w:tcBorders>
                  <w:vAlign w:val="center"/>
                </w:tcPr>
                <w:p w14:paraId="1267DECB">
                  <w:pPr>
                    <w:spacing w:line="240" w:lineRule="auto"/>
                    <w:ind w:firstLine="0" w:firstLineChars="0"/>
                    <w:rPr>
                      <w:rFonts w:cs="Times New Roman"/>
                      <w:color w:val="auto"/>
                      <w:sz w:val="21"/>
                      <w:szCs w:val="21"/>
                    </w:rPr>
                  </w:pPr>
                  <w:r>
                    <w:rPr>
                      <w:rFonts w:hint="eastAsia" w:cs="Times New Roman"/>
                      <w:color w:val="auto"/>
                      <w:sz w:val="21"/>
                      <w:szCs w:val="21"/>
                    </w:rPr>
                    <w:t>（</w:t>
                  </w:r>
                  <w:r>
                    <w:rPr>
                      <w:rFonts w:cs="Times New Roman"/>
                      <w:color w:val="auto"/>
                      <w:sz w:val="21"/>
                      <w:szCs w:val="21"/>
                    </w:rPr>
                    <w:t>1</w:t>
                  </w:r>
                  <w:r>
                    <w:rPr>
                      <w:rFonts w:hint="eastAsia" w:cs="Times New Roman"/>
                      <w:color w:val="auto"/>
                      <w:sz w:val="21"/>
                      <w:szCs w:val="21"/>
                    </w:rPr>
                    <w:t>）保护当地的野生动物，禁止光伏电站工作人员捕杀野生动物；禁止引入外来有害生物。</w:t>
                  </w:r>
                </w:p>
                <w:p w14:paraId="35DAC06D">
                  <w:pPr>
                    <w:spacing w:line="240" w:lineRule="auto"/>
                    <w:ind w:firstLine="0" w:firstLineChars="0"/>
                    <w:rPr>
                      <w:rFonts w:cs="Times New Roman"/>
                      <w:color w:val="auto"/>
                      <w:sz w:val="21"/>
                      <w:szCs w:val="21"/>
                    </w:rPr>
                  </w:pPr>
                  <w:r>
                    <w:rPr>
                      <w:rFonts w:hint="eastAsia" w:cs="Times New Roman"/>
                      <w:color w:val="auto"/>
                      <w:sz w:val="21"/>
                      <w:szCs w:val="21"/>
                    </w:rPr>
                    <w:t>（2）对光伏方阵空地区、集电线路和接地沟、施工场地、表土堆场区以及场内道路区进行植被恢复4.4.84</w:t>
                  </w:r>
                  <w:r>
                    <w:rPr>
                      <w:rFonts w:cs="Times New Roman"/>
                      <w:color w:val="auto"/>
                      <w:sz w:val="21"/>
                      <w:szCs w:val="21"/>
                    </w:rPr>
                    <w:t>hm</w:t>
                  </w:r>
                  <w:r>
                    <w:rPr>
                      <w:rFonts w:cs="Times New Roman"/>
                      <w:color w:val="auto"/>
                      <w:sz w:val="21"/>
                      <w:szCs w:val="21"/>
                      <w:vertAlign w:val="superscript"/>
                    </w:rPr>
                    <w:t>2</w:t>
                  </w:r>
                  <w:r>
                    <w:rPr>
                      <w:rFonts w:hint="eastAsia" w:cs="Times New Roman"/>
                      <w:color w:val="auto"/>
                      <w:sz w:val="21"/>
                      <w:szCs w:val="21"/>
                    </w:rPr>
                    <w:t>。</w:t>
                  </w:r>
                </w:p>
                <w:p w14:paraId="2414F5A8">
                  <w:pPr>
                    <w:spacing w:line="240" w:lineRule="auto"/>
                    <w:ind w:firstLine="0" w:firstLineChars="0"/>
                    <w:rPr>
                      <w:rFonts w:cs="Times New Roman"/>
                      <w:color w:val="auto"/>
                      <w:sz w:val="21"/>
                      <w:szCs w:val="21"/>
                    </w:rPr>
                  </w:pPr>
                  <w:r>
                    <w:rPr>
                      <w:rFonts w:hint="eastAsia" w:cs="Times New Roman"/>
                      <w:color w:val="auto"/>
                      <w:sz w:val="21"/>
                      <w:szCs w:val="21"/>
                    </w:rPr>
                    <w:t>（3）项目运营期间，设置管理人员，对生物多样性和生态环境的保护进行监督检查。</w:t>
                  </w:r>
                </w:p>
              </w:tc>
              <w:tc>
                <w:tcPr>
                  <w:tcW w:w="542" w:type="pct"/>
                  <w:tcBorders>
                    <w:top w:val="single" w:color="auto" w:sz="4" w:space="0"/>
                    <w:left w:val="single" w:color="auto" w:sz="4" w:space="0"/>
                    <w:bottom w:val="single" w:color="auto" w:sz="4" w:space="0"/>
                    <w:right w:val="single" w:color="auto" w:sz="4" w:space="0"/>
                  </w:tcBorders>
                  <w:vAlign w:val="center"/>
                </w:tcPr>
                <w:p w14:paraId="532102A0">
                  <w:pPr>
                    <w:spacing w:line="240" w:lineRule="auto"/>
                    <w:ind w:firstLine="0" w:firstLineChars="0"/>
                    <w:rPr>
                      <w:rFonts w:cs="Times New Roman"/>
                      <w:bCs/>
                      <w:color w:val="auto"/>
                      <w:sz w:val="21"/>
                      <w:szCs w:val="21"/>
                    </w:rPr>
                  </w:pPr>
                  <w:r>
                    <w:rPr>
                      <w:rFonts w:cs="Times New Roman"/>
                      <w:bCs/>
                      <w:color w:val="auto"/>
                      <w:sz w:val="21"/>
                      <w:szCs w:val="21"/>
                    </w:rPr>
                    <w:t>建设单位</w:t>
                  </w:r>
                </w:p>
              </w:tc>
              <w:tc>
                <w:tcPr>
                  <w:tcW w:w="0" w:type="auto"/>
                  <w:vMerge w:val="continue"/>
                  <w:tcBorders>
                    <w:left w:val="single" w:color="auto" w:sz="4" w:space="0"/>
                    <w:right w:val="single" w:color="auto" w:sz="4" w:space="0"/>
                  </w:tcBorders>
                  <w:vAlign w:val="center"/>
                </w:tcPr>
                <w:p w14:paraId="346E90BD">
                  <w:pPr>
                    <w:spacing w:line="240" w:lineRule="auto"/>
                    <w:ind w:firstLine="0" w:firstLineChars="0"/>
                    <w:rPr>
                      <w:rFonts w:cs="Times New Roman"/>
                      <w:color w:val="auto"/>
                      <w:sz w:val="21"/>
                      <w:szCs w:val="21"/>
                    </w:rPr>
                  </w:pPr>
                </w:p>
              </w:tc>
            </w:tr>
            <w:tr w14:paraId="2895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7" w:type="pct"/>
                  <w:vMerge w:val="restart"/>
                  <w:tcBorders>
                    <w:top w:val="single" w:color="auto" w:sz="4" w:space="0"/>
                    <w:left w:val="single" w:color="auto" w:sz="4" w:space="0"/>
                    <w:bottom w:val="single" w:color="auto" w:sz="4" w:space="0"/>
                    <w:right w:val="single" w:color="auto" w:sz="4" w:space="0"/>
                  </w:tcBorders>
                  <w:vAlign w:val="center"/>
                </w:tcPr>
                <w:p w14:paraId="4DE7ACC3">
                  <w:pPr>
                    <w:spacing w:line="240" w:lineRule="auto"/>
                    <w:ind w:firstLine="0" w:firstLineChars="0"/>
                    <w:rPr>
                      <w:rFonts w:cs="Times New Roman"/>
                      <w:color w:val="auto"/>
                      <w:sz w:val="21"/>
                      <w:szCs w:val="21"/>
                    </w:rPr>
                  </w:pPr>
                  <w:r>
                    <w:rPr>
                      <w:rFonts w:cs="Times New Roman"/>
                      <w:color w:val="auto"/>
                      <w:sz w:val="21"/>
                      <w:szCs w:val="21"/>
                    </w:rPr>
                    <w:t>噪声</w:t>
                  </w:r>
                </w:p>
              </w:tc>
              <w:tc>
                <w:tcPr>
                  <w:tcW w:w="439" w:type="pct"/>
                  <w:tcBorders>
                    <w:top w:val="single" w:color="auto" w:sz="4" w:space="0"/>
                    <w:left w:val="single" w:color="auto" w:sz="4" w:space="0"/>
                    <w:bottom w:val="single" w:color="auto" w:sz="4" w:space="0"/>
                    <w:right w:val="single" w:color="auto" w:sz="4" w:space="0"/>
                  </w:tcBorders>
                  <w:vAlign w:val="center"/>
                </w:tcPr>
                <w:p w14:paraId="4BDB90ED">
                  <w:pPr>
                    <w:spacing w:line="240" w:lineRule="auto"/>
                    <w:ind w:firstLine="0" w:firstLineChars="0"/>
                    <w:rPr>
                      <w:rFonts w:cs="Times New Roman"/>
                      <w:color w:val="auto"/>
                      <w:sz w:val="21"/>
                      <w:szCs w:val="21"/>
                    </w:rPr>
                  </w:pPr>
                  <w:r>
                    <w:rPr>
                      <w:rFonts w:cs="Times New Roman"/>
                      <w:color w:val="auto"/>
                      <w:sz w:val="21"/>
                      <w:szCs w:val="21"/>
                    </w:rPr>
                    <w:t>施工期</w:t>
                  </w:r>
                </w:p>
              </w:tc>
              <w:tc>
                <w:tcPr>
                  <w:tcW w:w="3042" w:type="pct"/>
                  <w:tcBorders>
                    <w:top w:val="single" w:color="auto" w:sz="4" w:space="0"/>
                    <w:left w:val="single" w:color="auto" w:sz="4" w:space="0"/>
                    <w:bottom w:val="single" w:color="auto" w:sz="4" w:space="0"/>
                    <w:right w:val="single" w:color="auto" w:sz="4" w:space="0"/>
                  </w:tcBorders>
                  <w:vAlign w:val="center"/>
                </w:tcPr>
                <w:p w14:paraId="4153B701">
                  <w:pPr>
                    <w:spacing w:line="240" w:lineRule="auto"/>
                    <w:ind w:firstLine="0" w:firstLineChars="0"/>
                    <w:rPr>
                      <w:rFonts w:cs="Times New Roman"/>
                      <w:color w:val="auto"/>
                      <w:sz w:val="21"/>
                      <w:szCs w:val="21"/>
                    </w:rPr>
                  </w:pPr>
                  <w:r>
                    <w:rPr>
                      <w:rFonts w:hint="eastAsia" w:cs="Times New Roman"/>
                      <w:color w:val="auto"/>
                      <w:sz w:val="21"/>
                      <w:szCs w:val="21"/>
                    </w:rPr>
                    <w:t>合理安排施工时间，禁止同时进行桩基础施工，合理布置施工现场，高噪声设备远离居民点；运输车辆经过居民点时，采取减速行驶、减少鸣笛等降噪措施。</w:t>
                  </w:r>
                </w:p>
              </w:tc>
              <w:tc>
                <w:tcPr>
                  <w:tcW w:w="542" w:type="pct"/>
                  <w:tcBorders>
                    <w:top w:val="single" w:color="auto" w:sz="4" w:space="0"/>
                    <w:left w:val="single" w:color="auto" w:sz="4" w:space="0"/>
                    <w:bottom w:val="single" w:color="auto" w:sz="4" w:space="0"/>
                    <w:right w:val="single" w:color="auto" w:sz="4" w:space="0"/>
                  </w:tcBorders>
                  <w:vAlign w:val="center"/>
                </w:tcPr>
                <w:p w14:paraId="43A07236">
                  <w:pPr>
                    <w:spacing w:line="240" w:lineRule="auto"/>
                    <w:ind w:firstLine="0" w:firstLineChars="0"/>
                    <w:rPr>
                      <w:rFonts w:cs="Times New Roman"/>
                      <w:bCs/>
                      <w:color w:val="auto"/>
                      <w:sz w:val="21"/>
                      <w:szCs w:val="21"/>
                    </w:rPr>
                  </w:pPr>
                  <w:r>
                    <w:rPr>
                      <w:rFonts w:cs="Times New Roman"/>
                      <w:bCs/>
                      <w:color w:val="auto"/>
                      <w:sz w:val="21"/>
                      <w:szCs w:val="21"/>
                    </w:rPr>
                    <w:t>建设单位、施工单位</w:t>
                  </w:r>
                </w:p>
              </w:tc>
              <w:tc>
                <w:tcPr>
                  <w:tcW w:w="0" w:type="auto"/>
                  <w:vMerge w:val="continue"/>
                  <w:tcBorders>
                    <w:left w:val="single" w:color="auto" w:sz="4" w:space="0"/>
                    <w:right w:val="single" w:color="auto" w:sz="4" w:space="0"/>
                  </w:tcBorders>
                  <w:vAlign w:val="center"/>
                </w:tcPr>
                <w:p w14:paraId="7D4A5B14">
                  <w:pPr>
                    <w:spacing w:line="240" w:lineRule="auto"/>
                    <w:ind w:firstLine="0" w:firstLineChars="0"/>
                    <w:rPr>
                      <w:rFonts w:cs="Times New Roman"/>
                      <w:color w:val="auto"/>
                      <w:sz w:val="21"/>
                      <w:szCs w:val="21"/>
                    </w:rPr>
                  </w:pPr>
                </w:p>
              </w:tc>
            </w:tr>
            <w:tr w14:paraId="5BDA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8A6AB5B">
                  <w:pPr>
                    <w:spacing w:line="240" w:lineRule="auto"/>
                    <w:ind w:firstLine="0" w:firstLineChars="0"/>
                    <w:rPr>
                      <w:rFonts w:cs="Times New Roman"/>
                      <w:color w:val="auto"/>
                      <w:sz w:val="21"/>
                      <w:szCs w:val="21"/>
                    </w:rPr>
                  </w:pPr>
                </w:p>
              </w:tc>
              <w:tc>
                <w:tcPr>
                  <w:tcW w:w="439" w:type="pct"/>
                  <w:tcBorders>
                    <w:top w:val="single" w:color="auto" w:sz="4" w:space="0"/>
                    <w:left w:val="single" w:color="auto" w:sz="4" w:space="0"/>
                    <w:bottom w:val="single" w:color="auto" w:sz="4" w:space="0"/>
                    <w:right w:val="single" w:color="auto" w:sz="4" w:space="0"/>
                  </w:tcBorders>
                  <w:vAlign w:val="center"/>
                </w:tcPr>
                <w:p w14:paraId="2D08BBBE">
                  <w:pPr>
                    <w:spacing w:line="240" w:lineRule="auto"/>
                    <w:ind w:firstLine="0" w:firstLineChars="0"/>
                    <w:rPr>
                      <w:rFonts w:cs="Times New Roman"/>
                      <w:color w:val="auto"/>
                      <w:sz w:val="21"/>
                      <w:szCs w:val="21"/>
                    </w:rPr>
                  </w:pPr>
                  <w:r>
                    <w:rPr>
                      <w:rFonts w:cs="Times New Roman"/>
                      <w:color w:val="auto"/>
                      <w:sz w:val="21"/>
                      <w:szCs w:val="21"/>
                    </w:rPr>
                    <w:t>运营期</w:t>
                  </w:r>
                </w:p>
              </w:tc>
              <w:tc>
                <w:tcPr>
                  <w:tcW w:w="3042" w:type="pct"/>
                  <w:tcBorders>
                    <w:top w:val="single" w:color="auto" w:sz="4" w:space="0"/>
                    <w:left w:val="single" w:color="auto" w:sz="4" w:space="0"/>
                    <w:bottom w:val="single" w:color="auto" w:sz="4" w:space="0"/>
                    <w:right w:val="single" w:color="auto" w:sz="4" w:space="0"/>
                  </w:tcBorders>
                  <w:vAlign w:val="center"/>
                </w:tcPr>
                <w:p w14:paraId="43174143">
                  <w:pPr>
                    <w:spacing w:line="240" w:lineRule="auto"/>
                    <w:ind w:firstLine="0" w:firstLineChars="0"/>
                    <w:rPr>
                      <w:rFonts w:cs="Times New Roman"/>
                      <w:color w:val="auto"/>
                      <w:sz w:val="21"/>
                      <w:szCs w:val="21"/>
                    </w:rPr>
                  </w:pPr>
                  <w:r>
                    <w:rPr>
                      <w:rFonts w:hint="eastAsia" w:cs="Times New Roman"/>
                      <w:color w:val="auto"/>
                      <w:sz w:val="21"/>
                      <w:szCs w:val="21"/>
                    </w:rPr>
                    <w:t>箱式变压器、逆变器选用低噪声类型设备，均设置外壳隔声，设备底部基础安装减振垫。</w:t>
                  </w:r>
                </w:p>
              </w:tc>
              <w:tc>
                <w:tcPr>
                  <w:tcW w:w="542" w:type="pct"/>
                  <w:tcBorders>
                    <w:top w:val="single" w:color="auto" w:sz="4" w:space="0"/>
                    <w:left w:val="single" w:color="auto" w:sz="4" w:space="0"/>
                    <w:bottom w:val="single" w:color="auto" w:sz="4" w:space="0"/>
                    <w:right w:val="single" w:color="auto" w:sz="4" w:space="0"/>
                  </w:tcBorders>
                  <w:vAlign w:val="center"/>
                </w:tcPr>
                <w:p w14:paraId="6E2F8DFD">
                  <w:pPr>
                    <w:spacing w:line="240" w:lineRule="auto"/>
                    <w:ind w:firstLine="0" w:firstLineChars="0"/>
                    <w:rPr>
                      <w:rFonts w:cs="Times New Roman"/>
                      <w:bCs/>
                      <w:color w:val="auto"/>
                      <w:sz w:val="21"/>
                      <w:szCs w:val="21"/>
                    </w:rPr>
                  </w:pPr>
                  <w:r>
                    <w:rPr>
                      <w:rFonts w:cs="Times New Roman"/>
                      <w:bCs/>
                      <w:color w:val="auto"/>
                      <w:sz w:val="21"/>
                      <w:szCs w:val="21"/>
                    </w:rPr>
                    <w:t>建设单位</w:t>
                  </w:r>
                </w:p>
              </w:tc>
              <w:tc>
                <w:tcPr>
                  <w:tcW w:w="0" w:type="auto"/>
                  <w:vMerge w:val="continue"/>
                  <w:tcBorders>
                    <w:left w:val="single" w:color="auto" w:sz="4" w:space="0"/>
                    <w:right w:val="single" w:color="auto" w:sz="4" w:space="0"/>
                  </w:tcBorders>
                  <w:vAlign w:val="center"/>
                </w:tcPr>
                <w:p w14:paraId="31671D45">
                  <w:pPr>
                    <w:spacing w:line="240" w:lineRule="auto"/>
                    <w:ind w:firstLine="0" w:firstLineChars="0"/>
                    <w:rPr>
                      <w:rFonts w:cs="Times New Roman"/>
                      <w:color w:val="auto"/>
                      <w:sz w:val="21"/>
                      <w:szCs w:val="21"/>
                    </w:rPr>
                  </w:pPr>
                </w:p>
              </w:tc>
            </w:tr>
            <w:tr w14:paraId="4B1D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7" w:type="pct"/>
                  <w:vMerge w:val="restart"/>
                  <w:tcBorders>
                    <w:top w:val="single" w:color="auto" w:sz="4" w:space="0"/>
                    <w:left w:val="single" w:color="auto" w:sz="4" w:space="0"/>
                    <w:bottom w:val="single" w:color="auto" w:sz="4" w:space="0"/>
                    <w:right w:val="single" w:color="auto" w:sz="4" w:space="0"/>
                  </w:tcBorders>
                  <w:vAlign w:val="center"/>
                </w:tcPr>
                <w:p w14:paraId="6EED240A">
                  <w:pPr>
                    <w:spacing w:line="240" w:lineRule="auto"/>
                    <w:ind w:firstLine="0" w:firstLineChars="0"/>
                    <w:rPr>
                      <w:rFonts w:cs="Times New Roman"/>
                      <w:color w:val="auto"/>
                      <w:sz w:val="21"/>
                      <w:szCs w:val="21"/>
                    </w:rPr>
                  </w:pPr>
                  <w:r>
                    <w:rPr>
                      <w:rFonts w:cs="Times New Roman"/>
                      <w:color w:val="auto"/>
                      <w:sz w:val="21"/>
                      <w:szCs w:val="21"/>
                    </w:rPr>
                    <w:t>固体废物</w:t>
                  </w:r>
                </w:p>
              </w:tc>
              <w:tc>
                <w:tcPr>
                  <w:tcW w:w="439" w:type="pct"/>
                  <w:tcBorders>
                    <w:top w:val="single" w:color="auto" w:sz="4" w:space="0"/>
                    <w:left w:val="single" w:color="auto" w:sz="4" w:space="0"/>
                    <w:bottom w:val="single" w:color="auto" w:sz="4" w:space="0"/>
                    <w:right w:val="single" w:color="auto" w:sz="4" w:space="0"/>
                  </w:tcBorders>
                  <w:vAlign w:val="center"/>
                </w:tcPr>
                <w:p w14:paraId="1A8C8D3E">
                  <w:pPr>
                    <w:spacing w:line="240" w:lineRule="auto"/>
                    <w:ind w:firstLine="0" w:firstLineChars="0"/>
                    <w:rPr>
                      <w:rFonts w:cs="Times New Roman"/>
                      <w:color w:val="auto"/>
                      <w:sz w:val="21"/>
                      <w:szCs w:val="21"/>
                    </w:rPr>
                  </w:pPr>
                  <w:r>
                    <w:rPr>
                      <w:rFonts w:cs="Times New Roman"/>
                      <w:color w:val="auto"/>
                      <w:sz w:val="21"/>
                      <w:szCs w:val="21"/>
                    </w:rPr>
                    <w:t>施工期</w:t>
                  </w:r>
                </w:p>
              </w:tc>
              <w:tc>
                <w:tcPr>
                  <w:tcW w:w="3042" w:type="pct"/>
                  <w:tcBorders>
                    <w:top w:val="single" w:color="auto" w:sz="4" w:space="0"/>
                    <w:left w:val="single" w:color="auto" w:sz="4" w:space="0"/>
                    <w:bottom w:val="single" w:color="auto" w:sz="4" w:space="0"/>
                    <w:right w:val="single" w:color="auto" w:sz="4" w:space="0"/>
                  </w:tcBorders>
                  <w:vAlign w:val="center"/>
                </w:tcPr>
                <w:p w14:paraId="1D1355DF">
                  <w:pPr>
                    <w:spacing w:line="240" w:lineRule="auto"/>
                    <w:ind w:firstLine="0" w:firstLineChars="0"/>
                    <w:rPr>
                      <w:rFonts w:cs="Times New Roman"/>
                      <w:color w:val="auto"/>
                      <w:sz w:val="21"/>
                      <w:szCs w:val="21"/>
                    </w:rPr>
                  </w:pPr>
                  <w:r>
                    <w:rPr>
                      <w:rFonts w:cs="Times New Roman"/>
                      <w:color w:val="auto"/>
                      <w:sz w:val="21"/>
                      <w:szCs w:val="21"/>
                    </w:rPr>
                    <w:t>（1）</w:t>
                  </w:r>
                  <w:r>
                    <w:rPr>
                      <w:rFonts w:hint="eastAsia" w:cs="Times New Roman"/>
                      <w:color w:val="auto"/>
                      <w:sz w:val="21"/>
                      <w:szCs w:val="21"/>
                    </w:rPr>
                    <w:t>光伏场区施工人员临时居住、办公等场地均采用租用民房解决，施工过程中产生的生活垃圾清运至周边村庄生活垃圾收集点统一处置。</w:t>
                  </w:r>
                </w:p>
                <w:p w14:paraId="09D21765">
                  <w:pPr>
                    <w:spacing w:line="240" w:lineRule="auto"/>
                    <w:ind w:firstLine="0" w:firstLineChars="0"/>
                    <w:rPr>
                      <w:rFonts w:cs="Times New Roman"/>
                      <w:color w:val="auto"/>
                      <w:sz w:val="21"/>
                      <w:szCs w:val="21"/>
                    </w:rPr>
                  </w:pPr>
                  <w:r>
                    <w:rPr>
                      <w:rFonts w:cs="Times New Roman"/>
                      <w:color w:val="auto"/>
                      <w:sz w:val="21"/>
                      <w:szCs w:val="21"/>
                    </w:rPr>
                    <w:t>（2）</w:t>
                  </w:r>
                  <w:r>
                    <w:rPr>
                      <w:rFonts w:hint="eastAsia" w:cs="Times New Roman"/>
                      <w:color w:val="auto"/>
                      <w:sz w:val="21"/>
                      <w:szCs w:val="21"/>
                    </w:rPr>
                    <w:t>建筑垃圾分类收集，优先回收利用，无法利用的清运至主管部门指定的建筑垃圾处理点处置。</w:t>
                  </w:r>
                </w:p>
                <w:p w14:paraId="5BD826D3">
                  <w:pPr>
                    <w:spacing w:line="240" w:lineRule="auto"/>
                    <w:ind w:firstLine="0" w:firstLineChars="0"/>
                    <w:rPr>
                      <w:rFonts w:cs="Times New Roman"/>
                      <w:color w:val="auto"/>
                      <w:sz w:val="21"/>
                      <w:szCs w:val="21"/>
                    </w:rPr>
                  </w:pPr>
                  <w:r>
                    <w:rPr>
                      <w:rFonts w:hint="eastAsia" w:cs="Times New Roman"/>
                      <w:color w:val="auto"/>
                      <w:sz w:val="21"/>
                      <w:szCs w:val="21"/>
                    </w:rPr>
                    <w:t>（3）开挖土石方用于基础回填和场地平整，剥离表土用于植被恢复覆土。</w:t>
                  </w:r>
                </w:p>
              </w:tc>
              <w:tc>
                <w:tcPr>
                  <w:tcW w:w="542" w:type="pct"/>
                  <w:tcBorders>
                    <w:top w:val="single" w:color="auto" w:sz="4" w:space="0"/>
                    <w:left w:val="single" w:color="auto" w:sz="4" w:space="0"/>
                    <w:bottom w:val="single" w:color="auto" w:sz="4" w:space="0"/>
                    <w:right w:val="single" w:color="auto" w:sz="4" w:space="0"/>
                  </w:tcBorders>
                  <w:vAlign w:val="center"/>
                </w:tcPr>
                <w:p w14:paraId="0E566225">
                  <w:pPr>
                    <w:spacing w:line="240" w:lineRule="auto"/>
                    <w:ind w:firstLine="0" w:firstLineChars="0"/>
                    <w:rPr>
                      <w:rFonts w:cs="Times New Roman"/>
                      <w:bCs/>
                      <w:color w:val="auto"/>
                      <w:sz w:val="21"/>
                      <w:szCs w:val="21"/>
                    </w:rPr>
                  </w:pPr>
                  <w:r>
                    <w:rPr>
                      <w:rFonts w:cs="Times New Roman"/>
                      <w:bCs/>
                      <w:color w:val="auto"/>
                      <w:sz w:val="21"/>
                      <w:szCs w:val="21"/>
                    </w:rPr>
                    <w:t>建设单位、施工单位</w:t>
                  </w:r>
                </w:p>
              </w:tc>
              <w:tc>
                <w:tcPr>
                  <w:tcW w:w="0" w:type="auto"/>
                  <w:vMerge w:val="continue"/>
                  <w:tcBorders>
                    <w:left w:val="single" w:color="auto" w:sz="4" w:space="0"/>
                    <w:right w:val="single" w:color="auto" w:sz="4" w:space="0"/>
                  </w:tcBorders>
                  <w:vAlign w:val="center"/>
                </w:tcPr>
                <w:p w14:paraId="22FFD1BA">
                  <w:pPr>
                    <w:spacing w:line="240" w:lineRule="auto"/>
                    <w:ind w:firstLine="0" w:firstLineChars="0"/>
                    <w:rPr>
                      <w:rFonts w:cs="Times New Roman"/>
                      <w:color w:val="auto"/>
                      <w:sz w:val="21"/>
                      <w:szCs w:val="21"/>
                    </w:rPr>
                  </w:pPr>
                </w:p>
              </w:tc>
            </w:tr>
            <w:tr w14:paraId="7027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7C8A6E2">
                  <w:pPr>
                    <w:spacing w:line="240" w:lineRule="auto"/>
                    <w:ind w:firstLine="0" w:firstLineChars="0"/>
                    <w:rPr>
                      <w:rFonts w:cs="Times New Roman"/>
                      <w:color w:val="auto"/>
                      <w:sz w:val="21"/>
                      <w:szCs w:val="21"/>
                    </w:rPr>
                  </w:pPr>
                </w:p>
              </w:tc>
              <w:tc>
                <w:tcPr>
                  <w:tcW w:w="439" w:type="pct"/>
                  <w:tcBorders>
                    <w:top w:val="single" w:color="auto" w:sz="4" w:space="0"/>
                    <w:left w:val="single" w:color="auto" w:sz="4" w:space="0"/>
                    <w:bottom w:val="single" w:color="auto" w:sz="4" w:space="0"/>
                    <w:right w:val="single" w:color="auto" w:sz="4" w:space="0"/>
                  </w:tcBorders>
                  <w:vAlign w:val="center"/>
                </w:tcPr>
                <w:p w14:paraId="77B6FCB9">
                  <w:pPr>
                    <w:spacing w:line="240" w:lineRule="auto"/>
                    <w:ind w:firstLine="0" w:firstLineChars="0"/>
                    <w:rPr>
                      <w:rFonts w:cs="Times New Roman"/>
                      <w:color w:val="auto"/>
                      <w:sz w:val="21"/>
                      <w:szCs w:val="21"/>
                    </w:rPr>
                  </w:pPr>
                  <w:r>
                    <w:rPr>
                      <w:rFonts w:cs="Times New Roman"/>
                      <w:color w:val="auto"/>
                      <w:sz w:val="21"/>
                      <w:szCs w:val="21"/>
                    </w:rPr>
                    <w:t>运营期</w:t>
                  </w:r>
                </w:p>
              </w:tc>
              <w:tc>
                <w:tcPr>
                  <w:tcW w:w="3042" w:type="pct"/>
                  <w:tcBorders>
                    <w:top w:val="single" w:color="auto" w:sz="4" w:space="0"/>
                    <w:left w:val="single" w:color="auto" w:sz="4" w:space="0"/>
                    <w:bottom w:val="single" w:color="auto" w:sz="4" w:space="0"/>
                    <w:right w:val="single" w:color="auto" w:sz="4" w:space="0"/>
                  </w:tcBorders>
                  <w:vAlign w:val="center"/>
                </w:tcPr>
                <w:p w14:paraId="0DC30EF6">
                  <w:pPr>
                    <w:spacing w:line="240" w:lineRule="auto"/>
                    <w:ind w:firstLine="0" w:firstLineChars="0"/>
                    <w:rPr>
                      <w:rFonts w:cs="Times New Roman"/>
                      <w:color w:val="auto"/>
                      <w:sz w:val="21"/>
                      <w:szCs w:val="21"/>
                    </w:rPr>
                  </w:pPr>
                  <w:r>
                    <w:rPr>
                      <w:rFonts w:hint="eastAsia" w:cs="Times New Roman"/>
                      <w:color w:val="auto"/>
                      <w:sz w:val="21"/>
                      <w:szCs w:val="21"/>
                    </w:rPr>
                    <w:t>危险废物依托德安升压站设置的危险废物贮存库（36m</w:t>
                  </w:r>
                  <w:r>
                    <w:rPr>
                      <w:rFonts w:hint="eastAsia" w:cs="Times New Roman"/>
                      <w:color w:val="auto"/>
                      <w:sz w:val="21"/>
                      <w:szCs w:val="21"/>
                      <w:vertAlign w:val="superscript"/>
                    </w:rPr>
                    <w:t>2</w:t>
                  </w:r>
                  <w:r>
                    <w:rPr>
                      <w:rFonts w:hint="eastAsia" w:cs="Times New Roman"/>
                      <w:color w:val="auto"/>
                      <w:sz w:val="21"/>
                      <w:szCs w:val="21"/>
                    </w:rPr>
                    <w:t>）贮存，定期委托有资质单位处置；一般固体废物依托德安升压站设置的一般固体废物暂存间（54m</w:t>
                  </w:r>
                  <w:r>
                    <w:rPr>
                      <w:rFonts w:hint="eastAsia" w:cs="Times New Roman"/>
                      <w:color w:val="auto"/>
                      <w:sz w:val="21"/>
                      <w:szCs w:val="21"/>
                      <w:vertAlign w:val="superscript"/>
                    </w:rPr>
                    <w:t>2</w:t>
                  </w:r>
                  <w:r>
                    <w:rPr>
                      <w:rFonts w:hint="eastAsia" w:cs="Times New Roman"/>
                      <w:color w:val="auto"/>
                      <w:sz w:val="21"/>
                      <w:szCs w:val="21"/>
                    </w:rPr>
                    <w:t>）贮存后由厂家回收处置</w:t>
                  </w:r>
                  <w:r>
                    <w:rPr>
                      <w:rFonts w:cs="Times New Roman"/>
                      <w:color w:val="auto"/>
                      <w:sz w:val="21"/>
                      <w:szCs w:val="21"/>
                    </w:rPr>
                    <w:t>。</w:t>
                  </w:r>
                </w:p>
              </w:tc>
              <w:tc>
                <w:tcPr>
                  <w:tcW w:w="542" w:type="pct"/>
                  <w:tcBorders>
                    <w:top w:val="single" w:color="auto" w:sz="4" w:space="0"/>
                    <w:left w:val="single" w:color="auto" w:sz="4" w:space="0"/>
                    <w:bottom w:val="single" w:color="auto" w:sz="4" w:space="0"/>
                    <w:right w:val="single" w:color="auto" w:sz="4" w:space="0"/>
                  </w:tcBorders>
                  <w:vAlign w:val="center"/>
                </w:tcPr>
                <w:p w14:paraId="0F219BD5">
                  <w:pPr>
                    <w:spacing w:line="240" w:lineRule="auto"/>
                    <w:ind w:firstLine="0" w:firstLineChars="0"/>
                    <w:rPr>
                      <w:rFonts w:cs="Times New Roman"/>
                      <w:bCs/>
                      <w:color w:val="auto"/>
                      <w:sz w:val="21"/>
                      <w:szCs w:val="21"/>
                    </w:rPr>
                  </w:pPr>
                  <w:r>
                    <w:rPr>
                      <w:rFonts w:cs="Times New Roman"/>
                      <w:bCs/>
                      <w:color w:val="auto"/>
                      <w:sz w:val="21"/>
                      <w:szCs w:val="21"/>
                    </w:rPr>
                    <w:t>建设单位</w:t>
                  </w:r>
                </w:p>
              </w:tc>
              <w:tc>
                <w:tcPr>
                  <w:tcW w:w="0" w:type="auto"/>
                  <w:vMerge w:val="continue"/>
                  <w:tcBorders>
                    <w:left w:val="single" w:color="auto" w:sz="4" w:space="0"/>
                    <w:right w:val="single" w:color="auto" w:sz="4" w:space="0"/>
                  </w:tcBorders>
                  <w:vAlign w:val="center"/>
                </w:tcPr>
                <w:p w14:paraId="1763F127">
                  <w:pPr>
                    <w:spacing w:line="240" w:lineRule="auto"/>
                    <w:ind w:firstLine="0" w:firstLineChars="0"/>
                    <w:rPr>
                      <w:rFonts w:cs="Times New Roman"/>
                      <w:color w:val="auto"/>
                      <w:sz w:val="21"/>
                      <w:szCs w:val="21"/>
                    </w:rPr>
                  </w:pPr>
                </w:p>
              </w:tc>
            </w:tr>
            <w:tr w14:paraId="677B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pct"/>
                  <w:gridSpan w:val="2"/>
                  <w:tcBorders>
                    <w:top w:val="single" w:color="auto" w:sz="4" w:space="0"/>
                    <w:left w:val="single" w:color="auto" w:sz="4" w:space="0"/>
                    <w:bottom w:val="single" w:color="auto" w:sz="4" w:space="0"/>
                    <w:right w:val="single" w:color="auto" w:sz="4" w:space="0"/>
                  </w:tcBorders>
                  <w:vAlign w:val="center"/>
                </w:tcPr>
                <w:p w14:paraId="2B643004">
                  <w:pPr>
                    <w:spacing w:line="240" w:lineRule="auto"/>
                    <w:ind w:firstLine="0" w:firstLineChars="0"/>
                    <w:rPr>
                      <w:rFonts w:cs="Times New Roman"/>
                      <w:color w:val="auto"/>
                      <w:sz w:val="21"/>
                      <w:szCs w:val="21"/>
                    </w:rPr>
                  </w:pPr>
                  <w:r>
                    <w:rPr>
                      <w:rFonts w:hint="eastAsia" w:cs="Times New Roman"/>
                      <w:color w:val="auto"/>
                      <w:sz w:val="21"/>
                      <w:szCs w:val="21"/>
                    </w:rPr>
                    <w:t>防渗工程</w:t>
                  </w:r>
                </w:p>
              </w:tc>
              <w:tc>
                <w:tcPr>
                  <w:tcW w:w="3042" w:type="pct"/>
                  <w:tcBorders>
                    <w:top w:val="single" w:color="auto" w:sz="4" w:space="0"/>
                    <w:left w:val="single" w:color="auto" w:sz="4" w:space="0"/>
                    <w:bottom w:val="single" w:color="auto" w:sz="4" w:space="0"/>
                    <w:right w:val="single" w:color="auto" w:sz="4" w:space="0"/>
                  </w:tcBorders>
                  <w:vAlign w:val="center"/>
                </w:tcPr>
                <w:p w14:paraId="3D92C1E0">
                  <w:pPr>
                    <w:spacing w:line="240" w:lineRule="auto"/>
                    <w:ind w:firstLine="0" w:firstLineChars="0"/>
                    <w:rPr>
                      <w:rFonts w:cs="Times New Roman"/>
                      <w:color w:val="auto"/>
                      <w:sz w:val="21"/>
                      <w:szCs w:val="21"/>
                    </w:rPr>
                  </w:pPr>
                  <w:r>
                    <w:rPr>
                      <w:rFonts w:hint="eastAsia" w:cs="Times New Roman"/>
                      <w:color w:val="auto"/>
                      <w:sz w:val="21"/>
                      <w:szCs w:val="21"/>
                    </w:rPr>
                    <w:t>箱变事故油池为重点防渗区，按照《危险废物贮存污染控制标准》（GB18597-2023）采取防渗措施，防渗能力满足“防渗层为至少1m厚黏土层（渗透系数不大于10</w:t>
                  </w:r>
                  <w:r>
                    <w:rPr>
                      <w:rFonts w:hint="eastAsia" w:cs="Times New Roman"/>
                      <w:color w:val="auto"/>
                      <w:sz w:val="21"/>
                      <w:szCs w:val="21"/>
                      <w:vertAlign w:val="superscript"/>
                    </w:rPr>
                    <w:t>-7</w:t>
                  </w:r>
                  <w:r>
                    <w:rPr>
                      <w:rFonts w:hint="eastAsia" w:cs="Times New Roman"/>
                      <w:color w:val="auto"/>
                      <w:sz w:val="21"/>
                      <w:szCs w:val="21"/>
                    </w:rPr>
                    <w:t>cm/s），或至少2mm厚高密度聚乙烯膜等人工防渗材料（渗透系数不大于10-</w:t>
                  </w:r>
                  <w:r>
                    <w:rPr>
                      <w:rFonts w:hint="eastAsia" w:cs="Times New Roman"/>
                      <w:color w:val="auto"/>
                      <w:sz w:val="21"/>
                      <w:szCs w:val="21"/>
                      <w:vertAlign w:val="superscript"/>
                    </w:rPr>
                    <w:t>10</w:t>
                  </w:r>
                  <w:r>
                    <w:rPr>
                      <w:rFonts w:hint="eastAsia" w:cs="Times New Roman"/>
                      <w:color w:val="auto"/>
                      <w:sz w:val="21"/>
                      <w:szCs w:val="21"/>
                    </w:rPr>
                    <w:t>cm/s），或其他防渗性能等效的材料”的要求。</w:t>
                  </w:r>
                </w:p>
              </w:tc>
              <w:tc>
                <w:tcPr>
                  <w:tcW w:w="542" w:type="pct"/>
                  <w:tcBorders>
                    <w:top w:val="single" w:color="auto" w:sz="4" w:space="0"/>
                    <w:left w:val="single" w:color="auto" w:sz="4" w:space="0"/>
                    <w:bottom w:val="single" w:color="auto" w:sz="4" w:space="0"/>
                    <w:right w:val="single" w:color="auto" w:sz="4" w:space="0"/>
                  </w:tcBorders>
                  <w:vAlign w:val="center"/>
                </w:tcPr>
                <w:p w14:paraId="42247F99">
                  <w:pPr>
                    <w:spacing w:line="240" w:lineRule="auto"/>
                    <w:ind w:firstLine="0" w:firstLineChars="0"/>
                    <w:rPr>
                      <w:rFonts w:cs="Times New Roman"/>
                      <w:bCs/>
                      <w:color w:val="auto"/>
                      <w:sz w:val="21"/>
                      <w:szCs w:val="21"/>
                    </w:rPr>
                  </w:pPr>
                  <w:r>
                    <w:rPr>
                      <w:rFonts w:cs="Times New Roman"/>
                      <w:bCs/>
                      <w:color w:val="auto"/>
                      <w:sz w:val="21"/>
                      <w:szCs w:val="21"/>
                    </w:rPr>
                    <w:t>建设单位、施工单位</w:t>
                  </w:r>
                </w:p>
              </w:tc>
              <w:tc>
                <w:tcPr>
                  <w:tcW w:w="0" w:type="auto"/>
                  <w:vMerge w:val="continue"/>
                  <w:tcBorders>
                    <w:left w:val="single" w:color="auto" w:sz="4" w:space="0"/>
                    <w:bottom w:val="single" w:color="auto" w:sz="4" w:space="0"/>
                    <w:right w:val="single" w:color="auto" w:sz="4" w:space="0"/>
                  </w:tcBorders>
                  <w:vAlign w:val="center"/>
                </w:tcPr>
                <w:p w14:paraId="0D3FE687">
                  <w:pPr>
                    <w:spacing w:line="240" w:lineRule="auto"/>
                    <w:ind w:firstLine="0" w:firstLineChars="0"/>
                    <w:rPr>
                      <w:rFonts w:cs="Times New Roman"/>
                      <w:color w:val="auto"/>
                      <w:sz w:val="21"/>
                      <w:szCs w:val="21"/>
                    </w:rPr>
                  </w:pPr>
                </w:p>
              </w:tc>
            </w:tr>
          </w:tbl>
          <w:p w14:paraId="23FBB502">
            <w:pPr>
              <w:pStyle w:val="63"/>
              <w:rPr>
                <w:color w:val="auto"/>
              </w:rPr>
            </w:pPr>
          </w:p>
          <w:p w14:paraId="6062C0AF">
            <w:pPr>
              <w:pStyle w:val="3"/>
              <w:spacing w:before="72" w:after="72"/>
              <w:rPr>
                <w:color w:val="auto"/>
              </w:rPr>
            </w:pPr>
            <w:bookmarkStart w:id="1694" w:name="_Toc161415617"/>
            <w:bookmarkStart w:id="1695" w:name="_Toc177072445"/>
            <w:bookmarkStart w:id="1696" w:name="_Toc160730939"/>
            <w:bookmarkStart w:id="1697" w:name="_Toc181738267"/>
            <w:bookmarkStart w:id="1698" w:name="_Toc177488257"/>
            <w:bookmarkStart w:id="1699" w:name="_Toc160473863"/>
            <w:bookmarkStart w:id="1700" w:name="_Toc159349092"/>
            <w:bookmarkStart w:id="1701" w:name="_Toc156144217"/>
            <w:bookmarkStart w:id="1702" w:name="_Toc181732860"/>
            <w:bookmarkStart w:id="1703" w:name="_Toc177482945"/>
            <w:bookmarkStart w:id="1704" w:name="_Toc177072873"/>
            <w:bookmarkStart w:id="1705" w:name="_Toc181293582"/>
            <w:bookmarkStart w:id="1706" w:name="_Toc158491324"/>
            <w:bookmarkStart w:id="1707" w:name="_Toc136794254"/>
            <w:bookmarkStart w:id="1708" w:name="_Toc9413"/>
            <w:bookmarkStart w:id="1709" w:name="_Toc112424331"/>
            <w:bookmarkStart w:id="1710" w:name="_Toc136794379"/>
            <w:bookmarkStart w:id="1711" w:name="_Toc112165694"/>
            <w:bookmarkStart w:id="1712" w:name="_Toc156137903"/>
            <w:bookmarkStart w:id="1713" w:name="_Toc7729"/>
            <w:bookmarkStart w:id="1714" w:name="_Toc112173989"/>
            <w:r>
              <w:rPr>
                <w:rFonts w:hint="eastAsia"/>
                <w:color w:val="auto"/>
              </w:rPr>
              <w:t>施工期环境监理</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4786DA3B">
            <w:pPr>
              <w:ind w:firstLine="480"/>
              <w:rPr>
                <w:bCs/>
                <w:color w:val="auto"/>
              </w:rPr>
            </w:pPr>
            <w:r>
              <w:rPr>
                <w:rFonts w:hint="eastAsia"/>
                <w:bCs/>
                <w:color w:val="auto"/>
              </w:rPr>
              <w:t>本项目施工期间环境监理计划详见下表：</w:t>
            </w:r>
          </w:p>
          <w:p w14:paraId="1B6EEF6A">
            <w:pPr>
              <w:pStyle w:val="63"/>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5.4</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施工期监理计划一览表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6305"/>
            </w:tblGrid>
            <w:tr w14:paraId="31E3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14" w:type="pct"/>
                  <w:tcBorders>
                    <w:top w:val="single" w:color="auto" w:sz="4" w:space="0"/>
                    <w:left w:val="single" w:color="auto" w:sz="4" w:space="0"/>
                    <w:bottom w:val="single" w:color="auto" w:sz="4" w:space="0"/>
                    <w:right w:val="single" w:color="auto" w:sz="4" w:space="0"/>
                  </w:tcBorders>
                  <w:vAlign w:val="center"/>
                </w:tcPr>
                <w:p w14:paraId="09E37128">
                  <w:pPr>
                    <w:pStyle w:val="65"/>
                    <w:rPr>
                      <w:b/>
                      <w:bCs/>
                      <w:color w:val="auto"/>
                    </w:rPr>
                  </w:pPr>
                  <w:r>
                    <w:rPr>
                      <w:rFonts w:hint="eastAsia"/>
                      <w:b/>
                      <w:bCs/>
                      <w:color w:val="auto"/>
                    </w:rPr>
                    <w:t>监理内容</w:t>
                  </w:r>
                </w:p>
              </w:tc>
              <w:tc>
                <w:tcPr>
                  <w:tcW w:w="4186" w:type="pct"/>
                  <w:tcBorders>
                    <w:top w:val="single" w:color="auto" w:sz="4" w:space="0"/>
                    <w:left w:val="single" w:color="auto" w:sz="4" w:space="0"/>
                    <w:bottom w:val="single" w:color="auto" w:sz="4" w:space="0"/>
                    <w:right w:val="single" w:color="auto" w:sz="4" w:space="0"/>
                  </w:tcBorders>
                  <w:vAlign w:val="center"/>
                </w:tcPr>
                <w:p w14:paraId="7578AF1F">
                  <w:pPr>
                    <w:pStyle w:val="65"/>
                    <w:rPr>
                      <w:b/>
                      <w:bCs/>
                      <w:color w:val="auto"/>
                    </w:rPr>
                  </w:pPr>
                  <w:r>
                    <w:rPr>
                      <w:rFonts w:hint="eastAsia"/>
                      <w:b/>
                      <w:bCs/>
                      <w:color w:val="auto"/>
                    </w:rPr>
                    <w:t>监理要求</w:t>
                  </w:r>
                </w:p>
              </w:tc>
            </w:tr>
            <w:tr w14:paraId="0D5C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14:paraId="70D54EC5">
                  <w:pPr>
                    <w:pStyle w:val="65"/>
                    <w:rPr>
                      <w:color w:val="auto"/>
                    </w:rPr>
                  </w:pPr>
                  <w:r>
                    <w:rPr>
                      <w:rFonts w:hint="eastAsia"/>
                      <w:color w:val="auto"/>
                    </w:rPr>
                    <w:t>施工扬尘</w:t>
                  </w:r>
                </w:p>
              </w:tc>
              <w:tc>
                <w:tcPr>
                  <w:tcW w:w="4186" w:type="pct"/>
                  <w:tcBorders>
                    <w:top w:val="single" w:color="auto" w:sz="4" w:space="0"/>
                    <w:left w:val="single" w:color="auto" w:sz="4" w:space="0"/>
                    <w:bottom w:val="single" w:color="auto" w:sz="4" w:space="0"/>
                    <w:right w:val="single" w:color="auto" w:sz="4" w:space="0"/>
                  </w:tcBorders>
                  <w:vAlign w:val="center"/>
                </w:tcPr>
                <w:p w14:paraId="423BDB65">
                  <w:pPr>
                    <w:pStyle w:val="65"/>
                    <w:jc w:val="both"/>
                    <w:rPr>
                      <w:color w:val="auto"/>
                    </w:rPr>
                  </w:pPr>
                  <w:r>
                    <w:rPr>
                      <w:rFonts w:hint="eastAsia"/>
                      <w:color w:val="auto"/>
                    </w:rPr>
                    <w:t>施工过程中及时喷水抑尘；</w:t>
                  </w:r>
                  <w:r>
                    <w:rPr>
                      <w:color w:val="auto"/>
                    </w:rPr>
                    <w:t>施工场地面向村庄一侧设置不低于1.8m的临时围挡，采取洒水降尘措施，用土工布覆盖易产尘材料和临时堆放的土方，土石方及时回填压实</w:t>
                  </w:r>
                  <w:r>
                    <w:rPr>
                      <w:rFonts w:hint="eastAsia"/>
                      <w:color w:val="auto"/>
                    </w:rPr>
                    <w:t>。</w:t>
                  </w:r>
                </w:p>
              </w:tc>
            </w:tr>
            <w:tr w14:paraId="0133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14:paraId="31B539D7">
                  <w:pPr>
                    <w:pStyle w:val="65"/>
                    <w:rPr>
                      <w:color w:val="auto"/>
                    </w:rPr>
                  </w:pPr>
                  <w:r>
                    <w:rPr>
                      <w:rFonts w:hint="eastAsia"/>
                      <w:color w:val="auto"/>
                    </w:rPr>
                    <w:t>施工废水</w:t>
                  </w:r>
                </w:p>
              </w:tc>
              <w:tc>
                <w:tcPr>
                  <w:tcW w:w="7239" w:type="dxa"/>
                  <w:tcBorders>
                    <w:top w:val="single" w:color="auto" w:sz="4" w:space="0"/>
                    <w:left w:val="single" w:color="auto" w:sz="4" w:space="0"/>
                    <w:bottom w:val="single" w:color="auto" w:sz="4" w:space="0"/>
                    <w:right w:val="single" w:color="auto" w:sz="4" w:space="0"/>
                  </w:tcBorders>
                  <w:vAlign w:val="center"/>
                </w:tcPr>
                <w:p w14:paraId="1078B138">
                  <w:pPr>
                    <w:pStyle w:val="65"/>
                    <w:jc w:val="both"/>
                    <w:rPr>
                      <w:color w:val="auto"/>
                    </w:rPr>
                  </w:pPr>
                  <w:r>
                    <w:rPr>
                      <w:rFonts w:hint="eastAsia"/>
                      <w:color w:val="auto"/>
                    </w:rPr>
                    <w:t>施工期生产废水由施工机械的冲洗、混凝土养护产生，经过临时沉砂池沉淀处理后回用，不外排；施工人员临时居住、办公等场地均采用租用民房解决，施工期生活污水依托当地民房自有污水处理系统。</w:t>
                  </w:r>
                </w:p>
              </w:tc>
            </w:tr>
            <w:tr w14:paraId="3006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14:paraId="2C537697">
                  <w:pPr>
                    <w:pStyle w:val="65"/>
                    <w:rPr>
                      <w:color w:val="auto"/>
                    </w:rPr>
                  </w:pPr>
                  <w:r>
                    <w:rPr>
                      <w:rFonts w:hint="eastAsia"/>
                      <w:color w:val="auto"/>
                    </w:rPr>
                    <w:t>施工噪声</w:t>
                  </w:r>
                </w:p>
              </w:tc>
              <w:tc>
                <w:tcPr>
                  <w:tcW w:w="4186" w:type="pct"/>
                  <w:tcBorders>
                    <w:top w:val="single" w:color="auto" w:sz="4" w:space="0"/>
                    <w:left w:val="single" w:color="auto" w:sz="4" w:space="0"/>
                    <w:bottom w:val="single" w:color="auto" w:sz="4" w:space="0"/>
                    <w:right w:val="single" w:color="auto" w:sz="4" w:space="0"/>
                  </w:tcBorders>
                  <w:vAlign w:val="center"/>
                </w:tcPr>
                <w:p w14:paraId="18F95387">
                  <w:pPr>
                    <w:pStyle w:val="65"/>
                    <w:jc w:val="both"/>
                    <w:rPr>
                      <w:color w:val="auto"/>
                    </w:rPr>
                  </w:pPr>
                  <w:r>
                    <w:rPr>
                      <w:color w:val="auto"/>
                    </w:rPr>
                    <w:t>合理安排施工时间，禁止同时进行桩基础施工，合理布置施工现场，高噪声设备远离居民点；运输车辆经过居民点时，采取减速行驶、减少鸣笛等降噪措施</w:t>
                  </w:r>
                  <w:r>
                    <w:rPr>
                      <w:rFonts w:hint="eastAsia"/>
                      <w:color w:val="auto"/>
                    </w:rPr>
                    <w:t>。</w:t>
                  </w:r>
                </w:p>
              </w:tc>
            </w:tr>
            <w:tr w14:paraId="66BD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14:paraId="77A34C52">
                  <w:pPr>
                    <w:pStyle w:val="65"/>
                    <w:rPr>
                      <w:color w:val="auto"/>
                    </w:rPr>
                  </w:pPr>
                  <w:r>
                    <w:rPr>
                      <w:rFonts w:hint="eastAsia"/>
                      <w:color w:val="auto"/>
                    </w:rPr>
                    <w:t>施工期固体废弃物</w:t>
                  </w:r>
                </w:p>
              </w:tc>
              <w:tc>
                <w:tcPr>
                  <w:tcW w:w="4186" w:type="pct"/>
                  <w:tcBorders>
                    <w:top w:val="single" w:color="auto" w:sz="4" w:space="0"/>
                    <w:left w:val="single" w:color="auto" w:sz="4" w:space="0"/>
                    <w:bottom w:val="single" w:color="auto" w:sz="4" w:space="0"/>
                    <w:right w:val="single" w:color="auto" w:sz="4" w:space="0"/>
                  </w:tcBorders>
                  <w:vAlign w:val="center"/>
                </w:tcPr>
                <w:p w14:paraId="4EB3E74D">
                  <w:pPr>
                    <w:pStyle w:val="65"/>
                    <w:jc w:val="both"/>
                    <w:rPr>
                      <w:color w:val="auto"/>
                    </w:rPr>
                  </w:pPr>
                  <w:r>
                    <w:rPr>
                      <w:rFonts w:hint="eastAsia"/>
                      <w:color w:val="auto"/>
                    </w:rPr>
                    <w:t>施工期间产生建筑垃圾分类收集，废钢筋、废铁丝和各种废钢配件等收集后回收利用，废混凝土、废砖块等不可回收利用的由建筑垃圾处置单位运输至主管部门规定地点进行处置。施工人员临时居住、办公等场地均采用租用民房解决，施工期生活垃圾定期清运至周边村庄生活垃圾收集点统一处置。</w:t>
                  </w:r>
                </w:p>
              </w:tc>
            </w:tr>
            <w:tr w14:paraId="0A6D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14:paraId="0A373433">
                  <w:pPr>
                    <w:pStyle w:val="65"/>
                    <w:rPr>
                      <w:color w:val="auto"/>
                    </w:rPr>
                  </w:pPr>
                  <w:r>
                    <w:rPr>
                      <w:rFonts w:hint="eastAsia"/>
                      <w:color w:val="auto"/>
                    </w:rPr>
                    <w:t>施工期生态保护</w:t>
                  </w:r>
                </w:p>
              </w:tc>
              <w:tc>
                <w:tcPr>
                  <w:tcW w:w="4186" w:type="pct"/>
                  <w:tcBorders>
                    <w:top w:val="single" w:color="auto" w:sz="4" w:space="0"/>
                    <w:left w:val="single" w:color="auto" w:sz="4" w:space="0"/>
                    <w:bottom w:val="single" w:color="auto" w:sz="4" w:space="0"/>
                    <w:right w:val="single" w:color="auto" w:sz="4" w:space="0"/>
                  </w:tcBorders>
                  <w:vAlign w:val="center"/>
                </w:tcPr>
                <w:p w14:paraId="02DA43F3">
                  <w:pPr>
                    <w:pStyle w:val="65"/>
                    <w:jc w:val="both"/>
                    <w:rPr>
                      <w:color w:val="auto"/>
                    </w:rPr>
                  </w:pPr>
                  <w:r>
                    <w:rPr>
                      <w:rFonts w:hint="eastAsia"/>
                      <w:color w:val="auto"/>
                    </w:rPr>
                    <w:t>施工期的表土防护、植被恢复、多余土方的处置、水土保持等保护措施均得到落实，未对陆生生态、生物多样性产生明显影响。</w:t>
                  </w:r>
                </w:p>
              </w:tc>
            </w:tr>
          </w:tbl>
          <w:p w14:paraId="24613F13">
            <w:pPr>
              <w:pStyle w:val="3"/>
              <w:spacing w:before="72" w:after="72"/>
              <w:rPr>
                <w:color w:val="auto"/>
              </w:rPr>
            </w:pPr>
            <w:bookmarkStart w:id="1715" w:name="_Toc181738268"/>
            <w:bookmarkStart w:id="1716" w:name="_Toc181732861"/>
            <w:bookmarkStart w:id="1717" w:name="_Toc177488258"/>
            <w:bookmarkStart w:id="1718" w:name="_Toc181293583"/>
            <w:bookmarkStart w:id="1719" w:name="_Toc156144218"/>
            <w:bookmarkStart w:id="1720" w:name="_Toc177072446"/>
            <w:bookmarkStart w:id="1721" w:name="_Toc177482946"/>
            <w:bookmarkStart w:id="1722" w:name="_Toc112165695"/>
            <w:bookmarkStart w:id="1723" w:name="_Toc112424332"/>
            <w:bookmarkStart w:id="1724" w:name="_Toc159349093"/>
            <w:bookmarkStart w:id="1725" w:name="_Toc5296"/>
            <w:bookmarkStart w:id="1726" w:name="_Toc160473864"/>
            <w:bookmarkStart w:id="1727" w:name="_Toc177072874"/>
            <w:bookmarkStart w:id="1728" w:name="_Toc160730940"/>
            <w:bookmarkStart w:id="1729" w:name="_Toc136794380"/>
            <w:bookmarkStart w:id="1730" w:name="_Toc156137904"/>
            <w:bookmarkStart w:id="1731" w:name="_Toc161415618"/>
            <w:bookmarkStart w:id="1732" w:name="_Toc112173990"/>
            <w:bookmarkStart w:id="1733" w:name="_Toc158491325"/>
            <w:bookmarkStart w:id="1734" w:name="_Toc136794255"/>
            <w:bookmarkStart w:id="1735" w:name="_Toc31702"/>
            <w:r>
              <w:rPr>
                <w:rFonts w:hint="eastAsia"/>
                <w:color w:val="auto"/>
              </w:rPr>
              <w:t>环境监测计划</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41BD7C1B">
            <w:pPr>
              <w:ind w:firstLine="480"/>
              <w:rPr>
                <w:bCs/>
                <w:color w:val="auto"/>
              </w:rPr>
            </w:pPr>
            <w:r>
              <w:rPr>
                <w:rFonts w:hint="eastAsia"/>
                <w:bCs/>
                <w:color w:val="auto"/>
              </w:rPr>
              <w:t>本项目监测计划详见下表：</w:t>
            </w:r>
          </w:p>
          <w:p w14:paraId="1D4EFBF4">
            <w:pPr>
              <w:pStyle w:val="63"/>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5.5</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环境监测计划</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27"/>
              <w:gridCol w:w="1444"/>
              <w:gridCol w:w="1298"/>
              <w:gridCol w:w="2409"/>
              <w:gridCol w:w="879"/>
            </w:tblGrid>
            <w:tr w14:paraId="5C12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514" w:type="pct"/>
                  <w:vAlign w:val="center"/>
                </w:tcPr>
                <w:p w14:paraId="7A247D3A">
                  <w:pPr>
                    <w:pStyle w:val="65"/>
                    <w:rPr>
                      <w:b/>
                      <w:bCs/>
                      <w:color w:val="auto"/>
                    </w:rPr>
                  </w:pPr>
                  <w:r>
                    <w:rPr>
                      <w:b/>
                      <w:bCs/>
                      <w:color w:val="auto"/>
                    </w:rPr>
                    <w:t>实施阶段</w:t>
                  </w:r>
                </w:p>
              </w:tc>
              <w:tc>
                <w:tcPr>
                  <w:tcW w:w="483" w:type="pct"/>
                  <w:vAlign w:val="center"/>
                </w:tcPr>
                <w:p w14:paraId="64E5261C">
                  <w:pPr>
                    <w:pStyle w:val="65"/>
                    <w:rPr>
                      <w:b/>
                      <w:bCs/>
                      <w:color w:val="auto"/>
                    </w:rPr>
                  </w:pPr>
                  <w:r>
                    <w:rPr>
                      <w:b/>
                      <w:bCs/>
                      <w:color w:val="auto"/>
                    </w:rPr>
                    <w:t>监测项目</w:t>
                  </w:r>
                </w:p>
              </w:tc>
              <w:tc>
                <w:tcPr>
                  <w:tcW w:w="959" w:type="pct"/>
                  <w:vAlign w:val="center"/>
                </w:tcPr>
                <w:p w14:paraId="45F3ECBE">
                  <w:pPr>
                    <w:pStyle w:val="65"/>
                    <w:rPr>
                      <w:b/>
                      <w:bCs/>
                      <w:color w:val="auto"/>
                    </w:rPr>
                  </w:pPr>
                  <w:r>
                    <w:rPr>
                      <w:b/>
                      <w:bCs/>
                      <w:color w:val="auto"/>
                    </w:rPr>
                    <w:t>监测点位</w:t>
                  </w:r>
                </w:p>
              </w:tc>
              <w:tc>
                <w:tcPr>
                  <w:tcW w:w="862" w:type="pct"/>
                  <w:vAlign w:val="center"/>
                </w:tcPr>
                <w:p w14:paraId="39CE166E">
                  <w:pPr>
                    <w:pStyle w:val="65"/>
                    <w:rPr>
                      <w:b/>
                      <w:bCs/>
                      <w:color w:val="auto"/>
                    </w:rPr>
                  </w:pPr>
                  <w:r>
                    <w:rPr>
                      <w:b/>
                      <w:bCs/>
                      <w:color w:val="auto"/>
                    </w:rPr>
                    <w:t>监测因子</w:t>
                  </w:r>
                </w:p>
              </w:tc>
              <w:tc>
                <w:tcPr>
                  <w:tcW w:w="1599" w:type="pct"/>
                  <w:vAlign w:val="center"/>
                </w:tcPr>
                <w:p w14:paraId="323F58E5">
                  <w:pPr>
                    <w:pStyle w:val="65"/>
                    <w:rPr>
                      <w:b/>
                      <w:bCs/>
                      <w:color w:val="auto"/>
                    </w:rPr>
                  </w:pPr>
                  <w:r>
                    <w:rPr>
                      <w:b/>
                      <w:bCs/>
                      <w:color w:val="auto"/>
                    </w:rPr>
                    <w:t>监测频次</w:t>
                  </w:r>
                </w:p>
              </w:tc>
              <w:tc>
                <w:tcPr>
                  <w:tcW w:w="583" w:type="pct"/>
                  <w:vAlign w:val="center"/>
                </w:tcPr>
                <w:p w14:paraId="4342285A">
                  <w:pPr>
                    <w:pStyle w:val="65"/>
                    <w:rPr>
                      <w:b/>
                      <w:bCs/>
                      <w:color w:val="auto"/>
                    </w:rPr>
                  </w:pPr>
                  <w:r>
                    <w:rPr>
                      <w:b/>
                      <w:bCs/>
                      <w:color w:val="auto"/>
                    </w:rPr>
                    <w:t>执行单位</w:t>
                  </w:r>
                </w:p>
              </w:tc>
            </w:tr>
            <w:tr w14:paraId="7655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14" w:type="pct"/>
                  <w:textDirection w:val="tbRlV"/>
                  <w:vAlign w:val="center"/>
                </w:tcPr>
                <w:p w14:paraId="591E5464">
                  <w:pPr>
                    <w:pStyle w:val="65"/>
                    <w:rPr>
                      <w:color w:val="auto"/>
                    </w:rPr>
                  </w:pPr>
                  <w:r>
                    <w:rPr>
                      <w:color w:val="auto"/>
                    </w:rPr>
                    <w:t>运营期</w:t>
                  </w:r>
                </w:p>
              </w:tc>
              <w:tc>
                <w:tcPr>
                  <w:tcW w:w="483" w:type="pct"/>
                  <w:vAlign w:val="center"/>
                </w:tcPr>
                <w:p w14:paraId="7B986926">
                  <w:pPr>
                    <w:pStyle w:val="65"/>
                    <w:rPr>
                      <w:color w:val="auto"/>
                    </w:rPr>
                  </w:pPr>
                  <w:r>
                    <w:rPr>
                      <w:color w:val="auto"/>
                    </w:rPr>
                    <w:t>噪声</w:t>
                  </w:r>
                </w:p>
              </w:tc>
              <w:tc>
                <w:tcPr>
                  <w:tcW w:w="959" w:type="pct"/>
                  <w:vAlign w:val="center"/>
                </w:tcPr>
                <w:p w14:paraId="2106DB6E">
                  <w:pPr>
                    <w:pStyle w:val="65"/>
                    <w:jc w:val="both"/>
                    <w:rPr>
                      <w:color w:val="auto"/>
                    </w:rPr>
                  </w:pPr>
                  <w:r>
                    <w:rPr>
                      <w:rFonts w:hint="eastAsia"/>
                      <w:color w:val="auto"/>
                    </w:rPr>
                    <w:t>厂界及敏感点</w:t>
                  </w:r>
                </w:p>
              </w:tc>
              <w:tc>
                <w:tcPr>
                  <w:tcW w:w="862" w:type="pct"/>
                  <w:vAlign w:val="center"/>
                </w:tcPr>
                <w:p w14:paraId="1F1CD1EC">
                  <w:pPr>
                    <w:pStyle w:val="65"/>
                    <w:rPr>
                      <w:color w:val="auto"/>
                    </w:rPr>
                  </w:pPr>
                  <w:r>
                    <w:rPr>
                      <w:color w:val="auto"/>
                    </w:rPr>
                    <w:t>Leq（A）</w:t>
                  </w:r>
                </w:p>
              </w:tc>
              <w:tc>
                <w:tcPr>
                  <w:tcW w:w="1599" w:type="pct"/>
                  <w:vAlign w:val="center"/>
                </w:tcPr>
                <w:p w14:paraId="2FADFEBC">
                  <w:pPr>
                    <w:pStyle w:val="65"/>
                    <w:rPr>
                      <w:color w:val="auto"/>
                    </w:rPr>
                  </w:pPr>
                  <w:r>
                    <w:rPr>
                      <w:rFonts w:hint="eastAsia"/>
                      <w:color w:val="auto"/>
                    </w:rPr>
                    <w:t>竣工验收阶段监测1次；运营期间针对工程变化或投诉情况进行监测；例行环境监测计划或生态环境主管部门要求时进行监测</w:t>
                  </w:r>
                </w:p>
              </w:tc>
              <w:tc>
                <w:tcPr>
                  <w:tcW w:w="583" w:type="pct"/>
                  <w:vAlign w:val="center"/>
                </w:tcPr>
                <w:p w14:paraId="41124E62">
                  <w:pPr>
                    <w:pStyle w:val="65"/>
                    <w:rPr>
                      <w:color w:val="auto"/>
                    </w:rPr>
                  </w:pPr>
                  <w:r>
                    <w:rPr>
                      <w:rFonts w:hint="eastAsia"/>
                      <w:color w:val="auto"/>
                    </w:rPr>
                    <w:t>委托有资质的单位进行监测</w:t>
                  </w:r>
                </w:p>
              </w:tc>
            </w:tr>
          </w:tbl>
          <w:p w14:paraId="58C59413">
            <w:pPr>
              <w:pStyle w:val="3"/>
              <w:spacing w:before="72" w:after="72"/>
              <w:rPr>
                <w:color w:val="auto"/>
              </w:rPr>
            </w:pPr>
            <w:bookmarkStart w:id="1736" w:name="_Toc181293584"/>
            <w:bookmarkStart w:id="1737" w:name="_Toc177488259"/>
            <w:bookmarkStart w:id="1738" w:name="_Toc177482947"/>
            <w:bookmarkStart w:id="1739" w:name="_Toc177072875"/>
            <w:bookmarkStart w:id="1740" w:name="_Toc177072447"/>
            <w:bookmarkStart w:id="1741" w:name="_Toc181732862"/>
            <w:bookmarkStart w:id="1742" w:name="_Toc181738269"/>
            <w:bookmarkStart w:id="1743" w:name="_Toc136794256"/>
            <w:bookmarkStart w:id="1744" w:name="_Toc160730941"/>
            <w:bookmarkStart w:id="1745" w:name="_Toc27775"/>
            <w:bookmarkStart w:id="1746" w:name="_Toc156144219"/>
            <w:bookmarkStart w:id="1747" w:name="_Toc7704"/>
            <w:bookmarkStart w:id="1748" w:name="_Toc158491326"/>
            <w:bookmarkStart w:id="1749" w:name="_Toc161415619"/>
            <w:bookmarkStart w:id="1750" w:name="_Toc159349094"/>
            <w:bookmarkStart w:id="1751" w:name="_Toc136794381"/>
            <w:bookmarkStart w:id="1752" w:name="_Toc160473865"/>
            <w:bookmarkStart w:id="1753" w:name="_Toc156137905"/>
            <w:r>
              <w:rPr>
                <w:rFonts w:hint="eastAsia"/>
                <w:color w:val="auto"/>
              </w:rPr>
              <w:t>服务期满后环境保护措施</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14:paraId="2ECE7671">
            <w:pPr>
              <w:ind w:firstLine="480"/>
              <w:rPr>
                <w:bCs/>
                <w:color w:val="auto"/>
              </w:rPr>
            </w:pPr>
            <w:r>
              <w:rPr>
                <w:rFonts w:hint="eastAsia"/>
                <w:bCs/>
                <w:color w:val="auto"/>
              </w:rPr>
              <w:t>（</w:t>
            </w:r>
            <w:r>
              <w:rPr>
                <w:bCs/>
                <w:color w:val="auto"/>
              </w:rPr>
              <w:t>1</w:t>
            </w:r>
            <w:r>
              <w:rPr>
                <w:rFonts w:hint="eastAsia"/>
                <w:bCs/>
                <w:color w:val="auto"/>
              </w:rPr>
              <w:t>）建设单位对拆除的报废电池板应按照《电子废物污染环境防治管理办法》（国家环境保护总局第</w:t>
            </w:r>
            <w:r>
              <w:rPr>
                <w:bCs/>
                <w:color w:val="auto"/>
              </w:rPr>
              <w:t>40</w:t>
            </w:r>
            <w:r>
              <w:rPr>
                <w:rFonts w:hint="eastAsia"/>
                <w:bCs/>
                <w:color w:val="auto"/>
              </w:rPr>
              <w:t>号）第十五条</w:t>
            </w:r>
            <w:r>
              <w:rPr>
                <w:bCs/>
                <w:color w:val="auto"/>
              </w:rPr>
              <w:t>“</w:t>
            </w:r>
            <w:r>
              <w:rPr>
                <w:rFonts w:hint="eastAsia"/>
                <w:bCs/>
                <w:color w:val="auto"/>
              </w:rPr>
              <w:t>应当将电子废物提供或者委托给列入名录（包括临时名录）的具有相应经营范围的拆解利用处置单位进行拆解、利用或者处置。</w:t>
            </w:r>
            <w:r>
              <w:rPr>
                <w:bCs/>
                <w:color w:val="auto"/>
              </w:rPr>
              <w:t>”</w:t>
            </w:r>
            <w:r>
              <w:rPr>
                <w:rFonts w:hint="eastAsia"/>
                <w:bCs/>
                <w:color w:val="auto"/>
              </w:rPr>
              <w:t>最终由专业的回收厂家收购处理，不得随意丢弃。</w:t>
            </w:r>
          </w:p>
          <w:p w14:paraId="41A2A936">
            <w:pPr>
              <w:ind w:firstLine="480"/>
              <w:rPr>
                <w:bCs/>
                <w:color w:val="auto"/>
              </w:rPr>
            </w:pPr>
            <w:r>
              <w:rPr>
                <w:rFonts w:hint="eastAsia"/>
                <w:bCs/>
                <w:color w:val="auto"/>
              </w:rPr>
              <w:t>（</w:t>
            </w:r>
            <w:r>
              <w:rPr>
                <w:bCs/>
                <w:color w:val="auto"/>
              </w:rPr>
              <w:t>2</w:t>
            </w:r>
            <w:r>
              <w:rPr>
                <w:rFonts w:hint="eastAsia"/>
                <w:bCs/>
                <w:color w:val="auto"/>
              </w:rPr>
              <w:t>）服务器满后，本项目拆除的电气设备（逆变器、箱式变压器）等集中收集后，全部由设备生产商回收。</w:t>
            </w:r>
          </w:p>
          <w:p w14:paraId="1842667E">
            <w:pPr>
              <w:ind w:firstLine="480"/>
              <w:rPr>
                <w:bCs/>
                <w:color w:val="auto"/>
              </w:rPr>
            </w:pPr>
            <w:r>
              <w:rPr>
                <w:rFonts w:hint="eastAsia"/>
                <w:bCs/>
                <w:color w:val="auto"/>
              </w:rPr>
              <w:t>（</w:t>
            </w:r>
            <w:r>
              <w:rPr>
                <w:bCs/>
                <w:color w:val="auto"/>
              </w:rPr>
              <w:t>3</w:t>
            </w:r>
            <w:r>
              <w:rPr>
                <w:rFonts w:hint="eastAsia"/>
                <w:bCs/>
                <w:color w:val="auto"/>
              </w:rPr>
              <w:t>）本项目在服务期满后需要对已建成的各类建（构）筑物进行全部拆除，主要的建（构）筑物有光伏组件基础、升压站、综合楼和配电室等建筑和设施，大部分为混凝土等结构的建筑。拆除后的建筑垃圾应按照环卫部门的要求运至指定建筑垃圾处理场。</w:t>
            </w:r>
          </w:p>
          <w:p w14:paraId="4662BC80">
            <w:pPr>
              <w:ind w:firstLine="480"/>
              <w:rPr>
                <w:bCs/>
                <w:color w:val="auto"/>
              </w:rPr>
            </w:pPr>
            <w:r>
              <w:rPr>
                <w:rFonts w:hint="eastAsia"/>
                <w:bCs/>
                <w:color w:val="auto"/>
              </w:rPr>
              <w:t>（</w:t>
            </w:r>
            <w:r>
              <w:rPr>
                <w:bCs/>
                <w:color w:val="auto"/>
              </w:rPr>
              <w:t>4</w:t>
            </w:r>
            <w:r>
              <w:rPr>
                <w:rFonts w:hint="eastAsia"/>
                <w:bCs/>
                <w:color w:val="auto"/>
              </w:rPr>
              <w:t>）掘除硬化地面基础，对场地进行植被恢复，并将光伏方阵区侵蚀沟和低洼区域填土、平整，恢复后的场地则进行洒水和压实，以固结地表，防止产生扬尘和对土壤的风蚀，栽植农作物等进行植被恢复，对于少量不能进行植被恢复的区域，进行平整压实，以减轻水土流失。</w:t>
            </w:r>
          </w:p>
        </w:tc>
      </w:tr>
      <w:tr w14:paraId="628E3B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409" w:type="pct"/>
            <w:tcBorders>
              <w:top w:val="single" w:color="auto" w:sz="4" w:space="0"/>
              <w:left w:val="single" w:color="auto" w:sz="8" w:space="0"/>
              <w:bottom w:val="single" w:color="auto" w:sz="8" w:space="0"/>
              <w:right w:val="single" w:color="auto" w:sz="4" w:space="0"/>
            </w:tcBorders>
            <w:vAlign w:val="center"/>
          </w:tcPr>
          <w:p w14:paraId="233E5F48">
            <w:pPr>
              <w:ind w:firstLine="0" w:firstLineChars="0"/>
              <w:rPr>
                <w:bCs/>
                <w:color w:val="auto"/>
              </w:rPr>
            </w:pPr>
            <w:r>
              <w:rPr>
                <w:rFonts w:hint="eastAsia"/>
                <w:bCs/>
                <w:color w:val="auto"/>
              </w:rPr>
              <w:t>环保投资</w:t>
            </w:r>
          </w:p>
        </w:tc>
        <w:tc>
          <w:tcPr>
            <w:tcW w:w="4591" w:type="pct"/>
            <w:tcBorders>
              <w:top w:val="single" w:color="auto" w:sz="4" w:space="0"/>
              <w:left w:val="single" w:color="auto" w:sz="4" w:space="0"/>
              <w:bottom w:val="single" w:color="auto" w:sz="8" w:space="0"/>
              <w:right w:val="single" w:color="auto" w:sz="8" w:space="0"/>
            </w:tcBorders>
          </w:tcPr>
          <w:p w14:paraId="2ADA002F">
            <w:pPr>
              <w:pStyle w:val="3"/>
              <w:spacing w:before="72" w:after="72"/>
              <w:rPr>
                <w:color w:val="auto"/>
              </w:rPr>
            </w:pPr>
            <w:bookmarkStart w:id="1754" w:name="_Toc161415620"/>
            <w:bookmarkStart w:id="1755" w:name="_Toc136794257"/>
            <w:bookmarkStart w:id="1756" w:name="_Toc112173991"/>
            <w:bookmarkStart w:id="1757" w:name="_Toc160473866"/>
            <w:bookmarkStart w:id="1758" w:name="_Toc18455"/>
            <w:bookmarkStart w:id="1759" w:name="_Toc156137906"/>
            <w:bookmarkStart w:id="1760" w:name="_Toc112165696"/>
            <w:bookmarkStart w:id="1761" w:name="_Toc181293585"/>
            <w:bookmarkStart w:id="1762" w:name="_Toc158491327"/>
            <w:bookmarkStart w:id="1763" w:name="_Toc181738270"/>
            <w:bookmarkStart w:id="1764" w:name="_Toc156144220"/>
            <w:bookmarkStart w:id="1765" w:name="_Toc177072876"/>
            <w:bookmarkStart w:id="1766" w:name="_Toc177488260"/>
            <w:bookmarkStart w:id="1767" w:name="_Toc160730942"/>
            <w:bookmarkStart w:id="1768" w:name="_Toc177482948"/>
            <w:bookmarkStart w:id="1769" w:name="_Toc159349095"/>
            <w:bookmarkStart w:id="1770" w:name="_Toc136794382"/>
            <w:bookmarkStart w:id="1771" w:name="_Toc5933"/>
            <w:bookmarkStart w:id="1772" w:name="_Toc181732863"/>
            <w:bookmarkStart w:id="1773" w:name="_Toc177072448"/>
            <w:bookmarkStart w:id="1774" w:name="_Toc112424333"/>
            <w:r>
              <w:rPr>
                <w:rFonts w:hint="eastAsia"/>
                <w:color w:val="auto"/>
              </w:rPr>
              <w:t>环保投资</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14:paraId="0845D94E">
            <w:pPr>
              <w:ind w:firstLine="480"/>
              <w:rPr>
                <w:color w:val="auto"/>
              </w:rPr>
            </w:pPr>
            <w:bookmarkStart w:id="1775" w:name="_Hlk156835197"/>
            <w:r>
              <w:rPr>
                <w:rFonts w:hint="eastAsia"/>
                <w:color w:val="auto"/>
              </w:rPr>
              <w:t>本项目总投资为23948.55万元，项目环保投资约</w:t>
            </w:r>
            <w:r>
              <w:rPr>
                <w:color w:val="auto"/>
              </w:rPr>
              <w:t>18</w:t>
            </w:r>
            <w:r>
              <w:rPr>
                <w:rFonts w:hint="eastAsia"/>
                <w:color w:val="auto"/>
              </w:rPr>
              <w:t>0</w:t>
            </w:r>
            <w:r>
              <w:rPr>
                <w:color w:val="auto"/>
              </w:rPr>
              <w:t>.1</w:t>
            </w:r>
            <w:r>
              <w:rPr>
                <w:rFonts w:hint="eastAsia"/>
                <w:color w:val="auto"/>
              </w:rPr>
              <w:t>万元，占总投资的</w:t>
            </w:r>
            <w:r>
              <w:rPr>
                <w:color w:val="auto"/>
              </w:rPr>
              <w:t>0.</w:t>
            </w:r>
            <w:r>
              <w:rPr>
                <w:rFonts w:hint="eastAsia"/>
                <w:color w:val="auto"/>
              </w:rPr>
              <w:t>75</w:t>
            </w:r>
            <w:r>
              <w:rPr>
                <w:color w:val="auto"/>
              </w:rPr>
              <w:t>%</w:t>
            </w:r>
            <w:bookmarkEnd w:id="1775"/>
            <w:r>
              <w:rPr>
                <w:rFonts w:hint="eastAsia"/>
                <w:color w:val="auto"/>
              </w:rPr>
              <w:t>，环保投资明细见下表。</w:t>
            </w:r>
          </w:p>
          <w:p w14:paraId="7AAE2AB9">
            <w:pPr>
              <w:pStyle w:val="63"/>
              <w:rPr>
                <w:color w:val="auto"/>
              </w:rPr>
            </w:pPr>
            <w:r>
              <w:rPr>
                <w:rFonts w:hint="eastAsia"/>
                <w:color w:val="auto"/>
              </w:rPr>
              <w:t>表</w:t>
            </w:r>
            <w:r>
              <w:rPr>
                <w:color w:val="auto"/>
              </w:rPr>
              <w:t xml:space="preserve"> </w:t>
            </w:r>
            <w:r>
              <w:rPr>
                <w:color w:val="auto"/>
              </w:rPr>
              <w:fldChar w:fldCharType="begin"/>
            </w:r>
            <w:r>
              <w:rPr>
                <w:color w:val="auto"/>
              </w:rPr>
              <w:instrText xml:space="preserve"> STYLEREF 2 \s </w:instrText>
            </w:r>
            <w:r>
              <w:rPr>
                <w:color w:val="auto"/>
              </w:rPr>
              <w:fldChar w:fldCharType="separate"/>
            </w:r>
            <w:r>
              <w:rPr>
                <w:color w:val="auto"/>
              </w:rPr>
              <w:t>5.7</w:t>
            </w:r>
            <w:r>
              <w:rPr>
                <w:color w:val="auto"/>
              </w:rPr>
              <w:fldChar w:fldCharType="end"/>
            </w:r>
            <w:r>
              <w:rPr>
                <w:color w:val="auto"/>
              </w:rPr>
              <w:noBreakHyphen/>
            </w:r>
            <w:r>
              <w:rPr>
                <w:color w:val="auto"/>
              </w:rPr>
              <w:fldChar w:fldCharType="begin"/>
            </w:r>
            <w:r>
              <w:rPr>
                <w:color w:val="auto"/>
              </w:rPr>
              <w:instrText xml:space="preserve"> SEQ 表 \* ARABIC \s 2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项目环保投资一览表</w:t>
            </w:r>
            <w:r>
              <w:rPr>
                <w:color w:val="auto"/>
              </w:rPr>
              <w:t xml:space="preserve">  </w:t>
            </w:r>
            <w:r>
              <w:rPr>
                <w:rFonts w:hint="eastAsia"/>
                <w:color w:val="auto"/>
              </w:rPr>
              <w:t>单位：万元</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913"/>
              <w:gridCol w:w="2372"/>
              <w:gridCol w:w="655"/>
              <w:gridCol w:w="643"/>
              <w:gridCol w:w="702"/>
              <w:gridCol w:w="804"/>
              <w:gridCol w:w="684"/>
            </w:tblGrid>
            <w:tr w14:paraId="1B19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3" w:type="pct"/>
                  <w:tcBorders>
                    <w:top w:val="single" w:color="auto" w:sz="4" w:space="0"/>
                    <w:left w:val="single" w:color="auto" w:sz="4" w:space="0"/>
                    <w:bottom w:val="single" w:color="auto" w:sz="4" w:space="0"/>
                    <w:right w:val="single" w:color="auto" w:sz="4" w:space="0"/>
                  </w:tcBorders>
                  <w:vAlign w:val="center"/>
                </w:tcPr>
                <w:p w14:paraId="06A9ED8D">
                  <w:pPr>
                    <w:pStyle w:val="65"/>
                    <w:rPr>
                      <w:b/>
                      <w:bCs/>
                      <w:color w:val="auto"/>
                    </w:rPr>
                  </w:pPr>
                  <w:r>
                    <w:rPr>
                      <w:rFonts w:hint="eastAsia"/>
                      <w:b/>
                      <w:bCs/>
                      <w:color w:val="auto"/>
                    </w:rPr>
                    <w:t>类别</w:t>
                  </w:r>
                </w:p>
              </w:tc>
              <w:tc>
                <w:tcPr>
                  <w:tcW w:w="2181" w:type="pct"/>
                  <w:gridSpan w:val="2"/>
                  <w:tcBorders>
                    <w:top w:val="single" w:color="auto" w:sz="4" w:space="0"/>
                    <w:left w:val="single" w:color="auto" w:sz="4" w:space="0"/>
                    <w:bottom w:val="single" w:color="auto" w:sz="4" w:space="0"/>
                    <w:right w:val="single" w:color="auto" w:sz="4" w:space="0"/>
                  </w:tcBorders>
                  <w:vAlign w:val="center"/>
                </w:tcPr>
                <w:p w14:paraId="400AF4E4">
                  <w:pPr>
                    <w:pStyle w:val="65"/>
                    <w:rPr>
                      <w:b/>
                      <w:bCs/>
                      <w:color w:val="auto"/>
                    </w:rPr>
                  </w:pPr>
                  <w:r>
                    <w:rPr>
                      <w:rFonts w:hint="eastAsia"/>
                      <w:b/>
                      <w:bCs/>
                      <w:color w:val="auto"/>
                    </w:rPr>
                    <w:t>项目</w:t>
                  </w:r>
                </w:p>
              </w:tc>
              <w:tc>
                <w:tcPr>
                  <w:tcW w:w="435" w:type="pct"/>
                  <w:tcBorders>
                    <w:top w:val="single" w:color="auto" w:sz="4" w:space="0"/>
                    <w:left w:val="single" w:color="auto" w:sz="4" w:space="0"/>
                    <w:bottom w:val="single" w:color="auto" w:sz="4" w:space="0"/>
                    <w:right w:val="single" w:color="auto" w:sz="4" w:space="0"/>
                  </w:tcBorders>
                  <w:vAlign w:val="center"/>
                </w:tcPr>
                <w:p w14:paraId="7F61B148">
                  <w:pPr>
                    <w:pStyle w:val="65"/>
                    <w:rPr>
                      <w:b/>
                      <w:bCs/>
                      <w:color w:val="auto"/>
                    </w:rPr>
                  </w:pPr>
                  <w:r>
                    <w:rPr>
                      <w:rFonts w:hint="eastAsia"/>
                      <w:b/>
                      <w:bCs/>
                      <w:color w:val="auto"/>
                    </w:rPr>
                    <w:t>单位</w:t>
                  </w:r>
                </w:p>
              </w:tc>
              <w:tc>
                <w:tcPr>
                  <w:tcW w:w="427" w:type="pct"/>
                  <w:tcBorders>
                    <w:top w:val="single" w:color="auto" w:sz="4" w:space="0"/>
                    <w:left w:val="single" w:color="auto" w:sz="4" w:space="0"/>
                    <w:bottom w:val="single" w:color="auto" w:sz="4" w:space="0"/>
                    <w:right w:val="single" w:color="auto" w:sz="4" w:space="0"/>
                  </w:tcBorders>
                  <w:vAlign w:val="center"/>
                </w:tcPr>
                <w:p w14:paraId="61DB0AEB">
                  <w:pPr>
                    <w:pStyle w:val="65"/>
                    <w:rPr>
                      <w:b/>
                      <w:bCs/>
                      <w:color w:val="auto"/>
                    </w:rPr>
                  </w:pPr>
                  <w:r>
                    <w:rPr>
                      <w:rFonts w:hint="eastAsia"/>
                      <w:b/>
                      <w:bCs/>
                      <w:color w:val="auto"/>
                    </w:rPr>
                    <w:t>数量</w:t>
                  </w:r>
                </w:p>
              </w:tc>
              <w:tc>
                <w:tcPr>
                  <w:tcW w:w="466" w:type="pct"/>
                  <w:tcBorders>
                    <w:top w:val="single" w:color="auto" w:sz="4" w:space="0"/>
                    <w:left w:val="single" w:color="auto" w:sz="4" w:space="0"/>
                    <w:bottom w:val="single" w:color="auto" w:sz="4" w:space="0"/>
                    <w:right w:val="single" w:color="auto" w:sz="4" w:space="0"/>
                  </w:tcBorders>
                  <w:vAlign w:val="center"/>
                </w:tcPr>
                <w:p w14:paraId="2B3ECBA3">
                  <w:pPr>
                    <w:pStyle w:val="65"/>
                    <w:rPr>
                      <w:b/>
                      <w:bCs/>
                      <w:color w:val="auto"/>
                    </w:rPr>
                  </w:pPr>
                  <w:r>
                    <w:rPr>
                      <w:rFonts w:hint="eastAsia"/>
                      <w:b/>
                      <w:bCs/>
                      <w:color w:val="auto"/>
                    </w:rPr>
                    <w:t>单价</w:t>
                  </w:r>
                </w:p>
              </w:tc>
              <w:tc>
                <w:tcPr>
                  <w:tcW w:w="534" w:type="pct"/>
                  <w:tcBorders>
                    <w:top w:val="single" w:color="auto" w:sz="4" w:space="0"/>
                    <w:left w:val="single" w:color="auto" w:sz="4" w:space="0"/>
                    <w:bottom w:val="single" w:color="auto" w:sz="4" w:space="0"/>
                    <w:right w:val="single" w:color="auto" w:sz="4" w:space="0"/>
                  </w:tcBorders>
                  <w:vAlign w:val="center"/>
                </w:tcPr>
                <w:p w14:paraId="23170622">
                  <w:pPr>
                    <w:pStyle w:val="65"/>
                    <w:rPr>
                      <w:b/>
                      <w:bCs/>
                      <w:color w:val="auto"/>
                    </w:rPr>
                  </w:pPr>
                  <w:r>
                    <w:rPr>
                      <w:rFonts w:hint="eastAsia"/>
                      <w:b/>
                      <w:bCs/>
                      <w:color w:val="auto"/>
                    </w:rPr>
                    <w:t>估算投资</w:t>
                  </w:r>
                </w:p>
              </w:tc>
              <w:tc>
                <w:tcPr>
                  <w:tcW w:w="454" w:type="pct"/>
                  <w:tcBorders>
                    <w:top w:val="single" w:color="auto" w:sz="4" w:space="0"/>
                    <w:left w:val="single" w:color="auto" w:sz="4" w:space="0"/>
                    <w:bottom w:val="single" w:color="auto" w:sz="4" w:space="0"/>
                    <w:right w:val="single" w:color="auto" w:sz="4" w:space="0"/>
                  </w:tcBorders>
                  <w:vAlign w:val="center"/>
                </w:tcPr>
                <w:p w14:paraId="4552F8A1">
                  <w:pPr>
                    <w:pStyle w:val="65"/>
                    <w:rPr>
                      <w:b/>
                      <w:bCs/>
                      <w:color w:val="auto"/>
                    </w:rPr>
                  </w:pPr>
                  <w:r>
                    <w:rPr>
                      <w:rFonts w:hint="eastAsia"/>
                      <w:b/>
                      <w:bCs/>
                      <w:color w:val="auto"/>
                    </w:rPr>
                    <w:t>备注</w:t>
                  </w:r>
                </w:p>
              </w:tc>
            </w:tr>
            <w:tr w14:paraId="7D7A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3" w:type="pct"/>
                  <w:vMerge w:val="restart"/>
                  <w:tcBorders>
                    <w:top w:val="single" w:color="auto" w:sz="4" w:space="0"/>
                    <w:left w:val="single" w:color="auto" w:sz="4" w:space="0"/>
                    <w:bottom w:val="single" w:color="auto" w:sz="4" w:space="0"/>
                    <w:right w:val="single" w:color="auto" w:sz="4" w:space="0"/>
                  </w:tcBorders>
                  <w:vAlign w:val="center"/>
                </w:tcPr>
                <w:p w14:paraId="2B319A14">
                  <w:pPr>
                    <w:pStyle w:val="65"/>
                    <w:rPr>
                      <w:color w:val="auto"/>
                    </w:rPr>
                  </w:pPr>
                  <w:r>
                    <w:rPr>
                      <w:rFonts w:hint="eastAsia"/>
                      <w:color w:val="auto"/>
                    </w:rPr>
                    <w:t>施工期</w:t>
                  </w:r>
                </w:p>
              </w:tc>
              <w:tc>
                <w:tcPr>
                  <w:tcW w:w="606" w:type="pct"/>
                  <w:vMerge w:val="restart"/>
                  <w:tcBorders>
                    <w:top w:val="single" w:color="auto" w:sz="4" w:space="0"/>
                    <w:left w:val="single" w:color="auto" w:sz="4" w:space="0"/>
                    <w:bottom w:val="single" w:color="auto" w:sz="4" w:space="0"/>
                    <w:right w:val="single" w:color="auto" w:sz="4" w:space="0"/>
                  </w:tcBorders>
                  <w:vAlign w:val="center"/>
                </w:tcPr>
                <w:p w14:paraId="28F0B980">
                  <w:pPr>
                    <w:pStyle w:val="65"/>
                    <w:rPr>
                      <w:color w:val="auto"/>
                    </w:rPr>
                  </w:pPr>
                  <w:r>
                    <w:rPr>
                      <w:rFonts w:hint="eastAsia"/>
                      <w:color w:val="auto"/>
                    </w:rPr>
                    <w:t>废气</w:t>
                  </w:r>
                </w:p>
              </w:tc>
              <w:tc>
                <w:tcPr>
                  <w:tcW w:w="1575" w:type="pct"/>
                  <w:tcBorders>
                    <w:top w:val="single" w:color="auto" w:sz="4" w:space="0"/>
                    <w:left w:val="single" w:color="auto" w:sz="4" w:space="0"/>
                    <w:bottom w:val="single" w:color="auto" w:sz="4" w:space="0"/>
                    <w:right w:val="single" w:color="auto" w:sz="4" w:space="0"/>
                  </w:tcBorders>
                  <w:vAlign w:val="center"/>
                </w:tcPr>
                <w:p w14:paraId="36091ADF">
                  <w:pPr>
                    <w:pStyle w:val="65"/>
                    <w:rPr>
                      <w:color w:val="auto"/>
                    </w:rPr>
                  </w:pPr>
                  <w:r>
                    <w:rPr>
                      <w:rFonts w:hint="eastAsia"/>
                      <w:color w:val="auto"/>
                    </w:rPr>
                    <w:t>遮盖、洒水等</w:t>
                  </w:r>
                </w:p>
              </w:tc>
              <w:tc>
                <w:tcPr>
                  <w:tcW w:w="435" w:type="pct"/>
                  <w:tcBorders>
                    <w:top w:val="single" w:color="auto" w:sz="4" w:space="0"/>
                    <w:left w:val="single" w:color="auto" w:sz="4" w:space="0"/>
                    <w:bottom w:val="single" w:color="auto" w:sz="4" w:space="0"/>
                    <w:right w:val="single" w:color="auto" w:sz="4" w:space="0"/>
                  </w:tcBorders>
                  <w:vAlign w:val="center"/>
                </w:tcPr>
                <w:p w14:paraId="1658BFC5">
                  <w:pPr>
                    <w:pStyle w:val="65"/>
                    <w:rPr>
                      <w:color w:val="auto"/>
                    </w:rPr>
                  </w:pPr>
                  <w:r>
                    <w:rPr>
                      <w:color w:val="auto"/>
                    </w:rPr>
                    <w:t>/</w:t>
                  </w:r>
                </w:p>
              </w:tc>
              <w:tc>
                <w:tcPr>
                  <w:tcW w:w="427" w:type="pct"/>
                  <w:tcBorders>
                    <w:top w:val="single" w:color="auto" w:sz="4" w:space="0"/>
                    <w:left w:val="single" w:color="auto" w:sz="4" w:space="0"/>
                    <w:bottom w:val="single" w:color="auto" w:sz="4" w:space="0"/>
                    <w:right w:val="single" w:color="auto" w:sz="4" w:space="0"/>
                  </w:tcBorders>
                  <w:vAlign w:val="center"/>
                </w:tcPr>
                <w:p w14:paraId="65C1AB7A">
                  <w:pPr>
                    <w:pStyle w:val="65"/>
                    <w:rPr>
                      <w:color w:val="auto"/>
                    </w:rPr>
                  </w:pPr>
                  <w:r>
                    <w:rPr>
                      <w:color w:val="auto"/>
                    </w:rPr>
                    <w:t>/</w:t>
                  </w:r>
                </w:p>
              </w:tc>
              <w:tc>
                <w:tcPr>
                  <w:tcW w:w="466" w:type="pct"/>
                  <w:tcBorders>
                    <w:top w:val="single" w:color="auto" w:sz="4" w:space="0"/>
                    <w:left w:val="single" w:color="auto" w:sz="4" w:space="0"/>
                    <w:bottom w:val="single" w:color="auto" w:sz="4" w:space="0"/>
                    <w:right w:val="single" w:color="auto" w:sz="4" w:space="0"/>
                  </w:tcBorders>
                  <w:vAlign w:val="center"/>
                </w:tcPr>
                <w:p w14:paraId="51DC4907">
                  <w:pPr>
                    <w:pStyle w:val="65"/>
                    <w:rPr>
                      <w:color w:val="auto"/>
                    </w:rPr>
                  </w:pPr>
                  <w:r>
                    <w:rPr>
                      <w:color w:val="auto"/>
                    </w:rPr>
                    <w:t>/</w:t>
                  </w:r>
                </w:p>
              </w:tc>
              <w:tc>
                <w:tcPr>
                  <w:tcW w:w="534" w:type="pct"/>
                  <w:tcBorders>
                    <w:top w:val="single" w:color="auto" w:sz="4" w:space="0"/>
                    <w:left w:val="single" w:color="auto" w:sz="4" w:space="0"/>
                    <w:bottom w:val="single" w:color="auto" w:sz="4" w:space="0"/>
                    <w:right w:val="single" w:color="auto" w:sz="4" w:space="0"/>
                  </w:tcBorders>
                  <w:vAlign w:val="center"/>
                </w:tcPr>
                <w:p w14:paraId="0AEA65FE">
                  <w:pPr>
                    <w:pStyle w:val="65"/>
                    <w:rPr>
                      <w:color w:val="auto"/>
                    </w:rPr>
                  </w:pPr>
                  <w:r>
                    <w:rPr>
                      <w:color w:val="auto"/>
                    </w:rPr>
                    <w:t>6</w:t>
                  </w:r>
                </w:p>
              </w:tc>
              <w:tc>
                <w:tcPr>
                  <w:tcW w:w="454" w:type="pct"/>
                  <w:tcBorders>
                    <w:top w:val="single" w:color="auto" w:sz="4" w:space="0"/>
                    <w:left w:val="single" w:color="auto" w:sz="4" w:space="0"/>
                    <w:bottom w:val="single" w:color="auto" w:sz="4" w:space="0"/>
                    <w:right w:val="single" w:color="auto" w:sz="4" w:space="0"/>
                  </w:tcBorders>
                  <w:vAlign w:val="center"/>
                </w:tcPr>
                <w:p w14:paraId="5D576995">
                  <w:pPr>
                    <w:pStyle w:val="65"/>
                    <w:rPr>
                      <w:color w:val="auto"/>
                    </w:rPr>
                  </w:pPr>
                  <w:r>
                    <w:rPr>
                      <w:color w:val="auto"/>
                    </w:rPr>
                    <w:t>/</w:t>
                  </w:r>
                </w:p>
              </w:tc>
            </w:tr>
            <w:tr w14:paraId="6A77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CF555EA">
                  <w:pPr>
                    <w:pStyle w:val="65"/>
                    <w:rPr>
                      <w:color w:val="auto"/>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EDD523">
                  <w:pPr>
                    <w:pStyle w:val="65"/>
                    <w:rPr>
                      <w:color w:val="auto"/>
                    </w:rPr>
                  </w:pPr>
                </w:p>
              </w:tc>
              <w:tc>
                <w:tcPr>
                  <w:tcW w:w="1575" w:type="pct"/>
                  <w:tcBorders>
                    <w:top w:val="single" w:color="auto" w:sz="4" w:space="0"/>
                    <w:left w:val="single" w:color="auto" w:sz="4" w:space="0"/>
                    <w:bottom w:val="single" w:color="auto" w:sz="4" w:space="0"/>
                    <w:right w:val="single" w:color="auto" w:sz="4" w:space="0"/>
                  </w:tcBorders>
                  <w:vAlign w:val="center"/>
                </w:tcPr>
                <w:p w14:paraId="21168578">
                  <w:pPr>
                    <w:pStyle w:val="65"/>
                    <w:rPr>
                      <w:color w:val="auto"/>
                    </w:rPr>
                  </w:pPr>
                  <w:r>
                    <w:rPr>
                      <w:rFonts w:hint="eastAsia"/>
                      <w:color w:val="auto"/>
                    </w:rPr>
                    <w:t>洒水、清扫等</w:t>
                  </w:r>
                </w:p>
              </w:tc>
              <w:tc>
                <w:tcPr>
                  <w:tcW w:w="435" w:type="pct"/>
                  <w:tcBorders>
                    <w:top w:val="single" w:color="auto" w:sz="4" w:space="0"/>
                    <w:left w:val="single" w:color="auto" w:sz="4" w:space="0"/>
                    <w:bottom w:val="single" w:color="auto" w:sz="4" w:space="0"/>
                    <w:right w:val="single" w:color="auto" w:sz="4" w:space="0"/>
                  </w:tcBorders>
                  <w:vAlign w:val="center"/>
                </w:tcPr>
                <w:p w14:paraId="780B19B1">
                  <w:pPr>
                    <w:pStyle w:val="65"/>
                    <w:rPr>
                      <w:color w:val="auto"/>
                    </w:rPr>
                  </w:pPr>
                  <w:r>
                    <w:rPr>
                      <w:color w:val="auto"/>
                    </w:rPr>
                    <w:t>/</w:t>
                  </w:r>
                </w:p>
              </w:tc>
              <w:tc>
                <w:tcPr>
                  <w:tcW w:w="427" w:type="pct"/>
                  <w:tcBorders>
                    <w:top w:val="single" w:color="auto" w:sz="4" w:space="0"/>
                    <w:left w:val="single" w:color="auto" w:sz="4" w:space="0"/>
                    <w:bottom w:val="single" w:color="auto" w:sz="4" w:space="0"/>
                    <w:right w:val="single" w:color="auto" w:sz="4" w:space="0"/>
                  </w:tcBorders>
                  <w:vAlign w:val="center"/>
                </w:tcPr>
                <w:p w14:paraId="5CE597FB">
                  <w:pPr>
                    <w:pStyle w:val="65"/>
                    <w:rPr>
                      <w:color w:val="auto"/>
                    </w:rPr>
                  </w:pPr>
                  <w:r>
                    <w:rPr>
                      <w:color w:val="auto"/>
                    </w:rPr>
                    <w:t>/</w:t>
                  </w:r>
                </w:p>
              </w:tc>
              <w:tc>
                <w:tcPr>
                  <w:tcW w:w="466" w:type="pct"/>
                  <w:tcBorders>
                    <w:top w:val="single" w:color="auto" w:sz="4" w:space="0"/>
                    <w:left w:val="single" w:color="auto" w:sz="4" w:space="0"/>
                    <w:bottom w:val="single" w:color="auto" w:sz="4" w:space="0"/>
                    <w:right w:val="single" w:color="auto" w:sz="4" w:space="0"/>
                  </w:tcBorders>
                  <w:vAlign w:val="center"/>
                </w:tcPr>
                <w:p w14:paraId="6F045B9C">
                  <w:pPr>
                    <w:pStyle w:val="65"/>
                    <w:rPr>
                      <w:color w:val="auto"/>
                    </w:rPr>
                  </w:pPr>
                  <w:r>
                    <w:rPr>
                      <w:color w:val="auto"/>
                    </w:rPr>
                    <w:t>/</w:t>
                  </w:r>
                </w:p>
              </w:tc>
              <w:tc>
                <w:tcPr>
                  <w:tcW w:w="534" w:type="pct"/>
                  <w:tcBorders>
                    <w:top w:val="single" w:color="auto" w:sz="4" w:space="0"/>
                    <w:left w:val="single" w:color="auto" w:sz="4" w:space="0"/>
                    <w:bottom w:val="single" w:color="auto" w:sz="4" w:space="0"/>
                    <w:right w:val="single" w:color="auto" w:sz="4" w:space="0"/>
                  </w:tcBorders>
                  <w:vAlign w:val="center"/>
                </w:tcPr>
                <w:p w14:paraId="153B714D">
                  <w:pPr>
                    <w:pStyle w:val="65"/>
                    <w:rPr>
                      <w:color w:val="auto"/>
                    </w:rPr>
                  </w:pPr>
                  <w:r>
                    <w:rPr>
                      <w:color w:val="auto"/>
                    </w:rPr>
                    <w:t>5</w:t>
                  </w:r>
                </w:p>
              </w:tc>
              <w:tc>
                <w:tcPr>
                  <w:tcW w:w="454" w:type="pct"/>
                  <w:tcBorders>
                    <w:top w:val="single" w:color="auto" w:sz="4" w:space="0"/>
                    <w:left w:val="single" w:color="auto" w:sz="4" w:space="0"/>
                    <w:bottom w:val="single" w:color="auto" w:sz="4" w:space="0"/>
                    <w:right w:val="single" w:color="auto" w:sz="4" w:space="0"/>
                  </w:tcBorders>
                  <w:vAlign w:val="center"/>
                </w:tcPr>
                <w:p w14:paraId="247653BE">
                  <w:pPr>
                    <w:pStyle w:val="65"/>
                    <w:rPr>
                      <w:color w:val="auto"/>
                    </w:rPr>
                  </w:pPr>
                  <w:r>
                    <w:rPr>
                      <w:color w:val="auto"/>
                    </w:rPr>
                    <w:t>/</w:t>
                  </w:r>
                </w:p>
              </w:tc>
            </w:tr>
            <w:tr w14:paraId="399C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094329D">
                  <w:pPr>
                    <w:pStyle w:val="65"/>
                    <w:rPr>
                      <w:color w:val="auto"/>
                    </w:rPr>
                  </w:pPr>
                </w:p>
              </w:tc>
              <w:tc>
                <w:tcPr>
                  <w:tcW w:w="606" w:type="pct"/>
                  <w:vMerge w:val="restart"/>
                  <w:tcBorders>
                    <w:top w:val="single" w:color="auto" w:sz="4" w:space="0"/>
                    <w:left w:val="single" w:color="auto" w:sz="4" w:space="0"/>
                    <w:right w:val="single" w:color="auto" w:sz="4" w:space="0"/>
                  </w:tcBorders>
                  <w:vAlign w:val="center"/>
                </w:tcPr>
                <w:p w14:paraId="506660FD">
                  <w:pPr>
                    <w:pStyle w:val="65"/>
                    <w:rPr>
                      <w:color w:val="auto"/>
                    </w:rPr>
                  </w:pPr>
                  <w:r>
                    <w:rPr>
                      <w:rFonts w:hint="eastAsia"/>
                      <w:color w:val="auto"/>
                    </w:rPr>
                    <w:t>废水</w:t>
                  </w:r>
                </w:p>
              </w:tc>
              <w:tc>
                <w:tcPr>
                  <w:tcW w:w="1575" w:type="pct"/>
                  <w:tcBorders>
                    <w:top w:val="single" w:color="auto" w:sz="4" w:space="0"/>
                    <w:left w:val="single" w:color="auto" w:sz="4" w:space="0"/>
                    <w:bottom w:val="single" w:color="auto" w:sz="4" w:space="0"/>
                    <w:right w:val="single" w:color="auto" w:sz="4" w:space="0"/>
                  </w:tcBorders>
                  <w:vAlign w:val="center"/>
                </w:tcPr>
                <w:p w14:paraId="02A3AD58">
                  <w:pPr>
                    <w:pStyle w:val="65"/>
                    <w:rPr>
                      <w:color w:val="auto"/>
                    </w:rPr>
                  </w:pPr>
                  <w:r>
                    <w:rPr>
                      <w:rFonts w:hint="eastAsia"/>
                      <w:color w:val="auto"/>
                    </w:rPr>
                    <w:t>沉砂池</w:t>
                  </w:r>
                </w:p>
              </w:tc>
              <w:tc>
                <w:tcPr>
                  <w:tcW w:w="435" w:type="pct"/>
                  <w:tcBorders>
                    <w:top w:val="single" w:color="auto" w:sz="4" w:space="0"/>
                    <w:left w:val="single" w:color="auto" w:sz="4" w:space="0"/>
                    <w:bottom w:val="single" w:color="auto" w:sz="4" w:space="0"/>
                    <w:right w:val="single" w:color="auto" w:sz="4" w:space="0"/>
                  </w:tcBorders>
                  <w:vAlign w:val="center"/>
                </w:tcPr>
                <w:p w14:paraId="5C3DC955">
                  <w:pPr>
                    <w:pStyle w:val="65"/>
                    <w:rPr>
                      <w:color w:val="auto"/>
                    </w:rPr>
                  </w:pPr>
                  <w:r>
                    <w:rPr>
                      <w:rFonts w:hint="eastAsia"/>
                      <w:color w:val="auto"/>
                    </w:rPr>
                    <w:t>个</w:t>
                  </w:r>
                </w:p>
              </w:tc>
              <w:tc>
                <w:tcPr>
                  <w:tcW w:w="427" w:type="pct"/>
                  <w:tcBorders>
                    <w:top w:val="single" w:color="auto" w:sz="4" w:space="0"/>
                    <w:left w:val="single" w:color="auto" w:sz="4" w:space="0"/>
                    <w:bottom w:val="single" w:color="auto" w:sz="4" w:space="0"/>
                    <w:right w:val="single" w:color="auto" w:sz="4" w:space="0"/>
                  </w:tcBorders>
                  <w:vAlign w:val="center"/>
                </w:tcPr>
                <w:p w14:paraId="49619CD8">
                  <w:pPr>
                    <w:pStyle w:val="65"/>
                    <w:rPr>
                      <w:color w:val="auto"/>
                    </w:rPr>
                  </w:pPr>
                  <w:r>
                    <w:rPr>
                      <w:rFonts w:hint="eastAsia"/>
                      <w:color w:val="auto"/>
                    </w:rPr>
                    <w:t>18</w:t>
                  </w:r>
                </w:p>
              </w:tc>
              <w:tc>
                <w:tcPr>
                  <w:tcW w:w="466" w:type="pct"/>
                  <w:tcBorders>
                    <w:top w:val="single" w:color="auto" w:sz="4" w:space="0"/>
                    <w:left w:val="single" w:color="auto" w:sz="4" w:space="0"/>
                    <w:bottom w:val="single" w:color="auto" w:sz="4" w:space="0"/>
                    <w:right w:val="single" w:color="auto" w:sz="4" w:space="0"/>
                  </w:tcBorders>
                  <w:vAlign w:val="center"/>
                </w:tcPr>
                <w:p w14:paraId="40CAE894">
                  <w:pPr>
                    <w:pStyle w:val="65"/>
                    <w:rPr>
                      <w:color w:val="auto"/>
                    </w:rPr>
                  </w:pPr>
                  <w:r>
                    <w:rPr>
                      <w:color w:val="auto"/>
                    </w:rPr>
                    <w:t>0.</w:t>
                  </w:r>
                  <w:r>
                    <w:rPr>
                      <w:rFonts w:hint="eastAsia"/>
                      <w:color w:val="auto"/>
                    </w:rPr>
                    <w:t>86</w:t>
                  </w:r>
                </w:p>
              </w:tc>
              <w:tc>
                <w:tcPr>
                  <w:tcW w:w="534" w:type="pct"/>
                  <w:tcBorders>
                    <w:top w:val="single" w:color="auto" w:sz="4" w:space="0"/>
                    <w:left w:val="single" w:color="auto" w:sz="4" w:space="0"/>
                    <w:bottom w:val="single" w:color="auto" w:sz="4" w:space="0"/>
                    <w:right w:val="single" w:color="auto" w:sz="4" w:space="0"/>
                  </w:tcBorders>
                  <w:vAlign w:val="center"/>
                </w:tcPr>
                <w:p w14:paraId="43495500">
                  <w:pPr>
                    <w:pStyle w:val="65"/>
                    <w:rPr>
                      <w:color w:val="auto"/>
                    </w:rPr>
                  </w:pPr>
                  <w:r>
                    <w:rPr>
                      <w:color w:val="auto"/>
                    </w:rPr>
                    <w:t>15.5</w:t>
                  </w:r>
                </w:p>
              </w:tc>
              <w:tc>
                <w:tcPr>
                  <w:tcW w:w="454" w:type="pct"/>
                  <w:tcBorders>
                    <w:top w:val="single" w:color="auto" w:sz="4" w:space="0"/>
                    <w:left w:val="single" w:color="auto" w:sz="4" w:space="0"/>
                    <w:bottom w:val="single" w:color="auto" w:sz="4" w:space="0"/>
                    <w:right w:val="single" w:color="auto" w:sz="4" w:space="0"/>
                  </w:tcBorders>
                  <w:vAlign w:val="center"/>
                </w:tcPr>
                <w:p w14:paraId="6F4EB5AB">
                  <w:pPr>
                    <w:pStyle w:val="65"/>
                    <w:rPr>
                      <w:color w:val="auto"/>
                    </w:rPr>
                  </w:pPr>
                </w:p>
              </w:tc>
            </w:tr>
            <w:tr w14:paraId="5BFA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C996207">
                  <w:pPr>
                    <w:pStyle w:val="65"/>
                    <w:rPr>
                      <w:color w:val="auto"/>
                    </w:rPr>
                  </w:pPr>
                </w:p>
              </w:tc>
              <w:tc>
                <w:tcPr>
                  <w:tcW w:w="606" w:type="pct"/>
                  <w:vMerge w:val="continue"/>
                  <w:tcBorders>
                    <w:left w:val="single" w:color="auto" w:sz="4" w:space="0"/>
                    <w:bottom w:val="single" w:color="auto" w:sz="4" w:space="0"/>
                    <w:right w:val="single" w:color="auto" w:sz="4" w:space="0"/>
                  </w:tcBorders>
                  <w:vAlign w:val="center"/>
                </w:tcPr>
                <w:p w14:paraId="23529238">
                  <w:pPr>
                    <w:pStyle w:val="65"/>
                    <w:rPr>
                      <w:color w:val="auto"/>
                    </w:rPr>
                  </w:pPr>
                </w:p>
              </w:tc>
              <w:tc>
                <w:tcPr>
                  <w:tcW w:w="1575" w:type="pct"/>
                  <w:tcBorders>
                    <w:top w:val="single" w:color="auto" w:sz="4" w:space="0"/>
                    <w:left w:val="single" w:color="auto" w:sz="4" w:space="0"/>
                    <w:bottom w:val="single" w:color="auto" w:sz="4" w:space="0"/>
                    <w:right w:val="single" w:color="auto" w:sz="4" w:space="0"/>
                  </w:tcBorders>
                  <w:vAlign w:val="center"/>
                </w:tcPr>
                <w:p w14:paraId="31C02292">
                  <w:pPr>
                    <w:pStyle w:val="65"/>
                    <w:rPr>
                      <w:color w:val="auto"/>
                    </w:rPr>
                  </w:pPr>
                  <w:r>
                    <w:rPr>
                      <w:rFonts w:hint="eastAsia"/>
                      <w:color w:val="auto"/>
                    </w:rPr>
                    <w:t>C20混凝土排水边沟、φ1000圆管涵、截水沟</w:t>
                  </w:r>
                </w:p>
              </w:tc>
              <w:tc>
                <w:tcPr>
                  <w:tcW w:w="435" w:type="pct"/>
                  <w:tcBorders>
                    <w:top w:val="single" w:color="auto" w:sz="4" w:space="0"/>
                    <w:left w:val="single" w:color="auto" w:sz="4" w:space="0"/>
                    <w:bottom w:val="single" w:color="auto" w:sz="4" w:space="0"/>
                    <w:right w:val="single" w:color="auto" w:sz="4" w:space="0"/>
                  </w:tcBorders>
                  <w:vAlign w:val="center"/>
                </w:tcPr>
                <w:p w14:paraId="32FB05AB">
                  <w:pPr>
                    <w:pStyle w:val="65"/>
                    <w:rPr>
                      <w:color w:val="auto"/>
                    </w:rPr>
                  </w:pPr>
                  <w:r>
                    <w:rPr>
                      <w:rFonts w:hint="eastAsia"/>
                      <w:color w:val="auto"/>
                    </w:rPr>
                    <w:t>/</w:t>
                  </w:r>
                </w:p>
              </w:tc>
              <w:tc>
                <w:tcPr>
                  <w:tcW w:w="427" w:type="pct"/>
                  <w:tcBorders>
                    <w:top w:val="single" w:color="auto" w:sz="4" w:space="0"/>
                    <w:left w:val="single" w:color="auto" w:sz="4" w:space="0"/>
                    <w:bottom w:val="single" w:color="auto" w:sz="4" w:space="0"/>
                    <w:right w:val="single" w:color="auto" w:sz="4" w:space="0"/>
                  </w:tcBorders>
                  <w:vAlign w:val="center"/>
                </w:tcPr>
                <w:p w14:paraId="631547A9">
                  <w:pPr>
                    <w:pStyle w:val="65"/>
                    <w:rPr>
                      <w:color w:val="auto"/>
                    </w:rPr>
                  </w:pPr>
                  <w:r>
                    <w:rPr>
                      <w:rFonts w:hint="eastAsia"/>
                      <w:color w:val="auto"/>
                    </w:rPr>
                    <w:t>/</w:t>
                  </w:r>
                </w:p>
              </w:tc>
              <w:tc>
                <w:tcPr>
                  <w:tcW w:w="466" w:type="pct"/>
                  <w:tcBorders>
                    <w:top w:val="single" w:color="auto" w:sz="4" w:space="0"/>
                    <w:left w:val="single" w:color="auto" w:sz="4" w:space="0"/>
                    <w:bottom w:val="single" w:color="auto" w:sz="4" w:space="0"/>
                    <w:right w:val="single" w:color="auto" w:sz="4" w:space="0"/>
                  </w:tcBorders>
                  <w:vAlign w:val="center"/>
                </w:tcPr>
                <w:p w14:paraId="426B16BB">
                  <w:pPr>
                    <w:pStyle w:val="65"/>
                    <w:rPr>
                      <w:color w:val="auto"/>
                    </w:rPr>
                  </w:pPr>
                  <w:r>
                    <w:rPr>
                      <w:rFonts w:hint="eastAsia"/>
                      <w:color w:val="auto"/>
                    </w:rPr>
                    <w:t>/</w:t>
                  </w:r>
                </w:p>
              </w:tc>
              <w:tc>
                <w:tcPr>
                  <w:tcW w:w="534" w:type="pct"/>
                  <w:tcBorders>
                    <w:top w:val="single" w:color="auto" w:sz="4" w:space="0"/>
                    <w:left w:val="single" w:color="auto" w:sz="4" w:space="0"/>
                    <w:bottom w:val="single" w:color="auto" w:sz="4" w:space="0"/>
                    <w:right w:val="single" w:color="auto" w:sz="4" w:space="0"/>
                  </w:tcBorders>
                  <w:vAlign w:val="center"/>
                </w:tcPr>
                <w:p w14:paraId="2153D2D6">
                  <w:pPr>
                    <w:pStyle w:val="65"/>
                    <w:rPr>
                      <w:color w:val="auto"/>
                    </w:rPr>
                  </w:pPr>
                  <w:r>
                    <w:rPr>
                      <w:rFonts w:hint="eastAsia"/>
                      <w:color w:val="auto"/>
                    </w:rPr>
                    <w:t>/</w:t>
                  </w:r>
                </w:p>
              </w:tc>
              <w:tc>
                <w:tcPr>
                  <w:tcW w:w="454" w:type="pct"/>
                  <w:tcBorders>
                    <w:top w:val="single" w:color="auto" w:sz="4" w:space="0"/>
                    <w:left w:val="single" w:color="auto" w:sz="4" w:space="0"/>
                    <w:bottom w:val="single" w:color="auto" w:sz="4" w:space="0"/>
                    <w:right w:val="single" w:color="auto" w:sz="4" w:space="0"/>
                  </w:tcBorders>
                  <w:vAlign w:val="center"/>
                </w:tcPr>
                <w:p w14:paraId="27CC197C">
                  <w:pPr>
                    <w:pStyle w:val="65"/>
                    <w:rPr>
                      <w:color w:val="auto"/>
                    </w:rPr>
                  </w:pPr>
                  <w:r>
                    <w:rPr>
                      <w:rFonts w:hint="eastAsia"/>
                      <w:color w:val="auto"/>
                    </w:rPr>
                    <w:t>计入水保</w:t>
                  </w:r>
                </w:p>
              </w:tc>
            </w:tr>
            <w:tr w14:paraId="6775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B04704D">
                  <w:pPr>
                    <w:pStyle w:val="65"/>
                    <w:rPr>
                      <w:color w:val="auto"/>
                    </w:rPr>
                  </w:pPr>
                </w:p>
              </w:tc>
              <w:tc>
                <w:tcPr>
                  <w:tcW w:w="606" w:type="pct"/>
                  <w:tcBorders>
                    <w:top w:val="single" w:color="auto" w:sz="4" w:space="0"/>
                    <w:left w:val="single" w:color="auto" w:sz="4" w:space="0"/>
                    <w:bottom w:val="single" w:color="auto" w:sz="4" w:space="0"/>
                    <w:right w:val="single" w:color="auto" w:sz="4" w:space="0"/>
                  </w:tcBorders>
                  <w:vAlign w:val="center"/>
                </w:tcPr>
                <w:p w14:paraId="34551BAE">
                  <w:pPr>
                    <w:pStyle w:val="65"/>
                    <w:rPr>
                      <w:color w:val="auto"/>
                    </w:rPr>
                  </w:pPr>
                  <w:r>
                    <w:rPr>
                      <w:rFonts w:hint="eastAsia"/>
                      <w:color w:val="auto"/>
                    </w:rPr>
                    <w:t>噪声</w:t>
                  </w:r>
                </w:p>
              </w:tc>
              <w:tc>
                <w:tcPr>
                  <w:tcW w:w="1575" w:type="pct"/>
                  <w:tcBorders>
                    <w:top w:val="single" w:color="auto" w:sz="4" w:space="0"/>
                    <w:left w:val="single" w:color="auto" w:sz="4" w:space="0"/>
                    <w:bottom w:val="single" w:color="auto" w:sz="4" w:space="0"/>
                    <w:right w:val="single" w:color="auto" w:sz="4" w:space="0"/>
                  </w:tcBorders>
                  <w:vAlign w:val="center"/>
                </w:tcPr>
                <w:p w14:paraId="4013B6A8">
                  <w:pPr>
                    <w:pStyle w:val="65"/>
                    <w:rPr>
                      <w:color w:val="auto"/>
                    </w:rPr>
                  </w:pPr>
                  <w:r>
                    <w:rPr>
                      <w:rFonts w:hint="eastAsia"/>
                      <w:color w:val="auto"/>
                    </w:rPr>
                    <w:t>选用低噪声机械设备；合理总图布局；合理安排作业时间；加强运输车辆的保养维护；噪声跟踪监测等</w:t>
                  </w:r>
                </w:p>
              </w:tc>
              <w:tc>
                <w:tcPr>
                  <w:tcW w:w="435" w:type="pct"/>
                  <w:tcBorders>
                    <w:top w:val="single" w:color="auto" w:sz="4" w:space="0"/>
                    <w:left w:val="single" w:color="auto" w:sz="4" w:space="0"/>
                    <w:bottom w:val="single" w:color="auto" w:sz="4" w:space="0"/>
                    <w:right w:val="single" w:color="auto" w:sz="4" w:space="0"/>
                  </w:tcBorders>
                  <w:vAlign w:val="center"/>
                </w:tcPr>
                <w:p w14:paraId="4F5319B5">
                  <w:pPr>
                    <w:pStyle w:val="65"/>
                    <w:rPr>
                      <w:color w:val="auto"/>
                    </w:rPr>
                  </w:pPr>
                  <w:r>
                    <w:rPr>
                      <w:color w:val="auto"/>
                    </w:rPr>
                    <w:t>/</w:t>
                  </w:r>
                </w:p>
              </w:tc>
              <w:tc>
                <w:tcPr>
                  <w:tcW w:w="427" w:type="pct"/>
                  <w:tcBorders>
                    <w:top w:val="single" w:color="auto" w:sz="4" w:space="0"/>
                    <w:left w:val="single" w:color="auto" w:sz="4" w:space="0"/>
                    <w:bottom w:val="single" w:color="auto" w:sz="4" w:space="0"/>
                    <w:right w:val="single" w:color="auto" w:sz="4" w:space="0"/>
                  </w:tcBorders>
                  <w:vAlign w:val="center"/>
                </w:tcPr>
                <w:p w14:paraId="420E03F4">
                  <w:pPr>
                    <w:pStyle w:val="65"/>
                    <w:rPr>
                      <w:color w:val="auto"/>
                    </w:rPr>
                  </w:pPr>
                  <w:r>
                    <w:rPr>
                      <w:color w:val="auto"/>
                    </w:rPr>
                    <w:t>/</w:t>
                  </w:r>
                </w:p>
              </w:tc>
              <w:tc>
                <w:tcPr>
                  <w:tcW w:w="466" w:type="pct"/>
                  <w:tcBorders>
                    <w:top w:val="single" w:color="auto" w:sz="4" w:space="0"/>
                    <w:left w:val="single" w:color="auto" w:sz="4" w:space="0"/>
                    <w:bottom w:val="single" w:color="auto" w:sz="4" w:space="0"/>
                    <w:right w:val="single" w:color="auto" w:sz="4" w:space="0"/>
                  </w:tcBorders>
                  <w:vAlign w:val="center"/>
                </w:tcPr>
                <w:p w14:paraId="2EBA8142">
                  <w:pPr>
                    <w:pStyle w:val="65"/>
                    <w:rPr>
                      <w:color w:val="auto"/>
                    </w:rPr>
                  </w:pPr>
                  <w:r>
                    <w:rPr>
                      <w:color w:val="auto"/>
                    </w:rPr>
                    <w:t>/</w:t>
                  </w:r>
                </w:p>
              </w:tc>
              <w:tc>
                <w:tcPr>
                  <w:tcW w:w="534" w:type="pct"/>
                  <w:tcBorders>
                    <w:top w:val="single" w:color="auto" w:sz="4" w:space="0"/>
                    <w:left w:val="single" w:color="auto" w:sz="4" w:space="0"/>
                    <w:bottom w:val="single" w:color="auto" w:sz="4" w:space="0"/>
                    <w:right w:val="single" w:color="auto" w:sz="4" w:space="0"/>
                  </w:tcBorders>
                  <w:vAlign w:val="center"/>
                </w:tcPr>
                <w:p w14:paraId="43FD7DBE">
                  <w:pPr>
                    <w:pStyle w:val="65"/>
                    <w:rPr>
                      <w:color w:val="auto"/>
                    </w:rPr>
                  </w:pPr>
                  <w:r>
                    <w:rPr>
                      <w:color w:val="auto"/>
                    </w:rPr>
                    <w:t>15</w:t>
                  </w:r>
                </w:p>
              </w:tc>
              <w:tc>
                <w:tcPr>
                  <w:tcW w:w="454" w:type="pct"/>
                  <w:tcBorders>
                    <w:top w:val="single" w:color="auto" w:sz="4" w:space="0"/>
                    <w:left w:val="single" w:color="auto" w:sz="4" w:space="0"/>
                    <w:bottom w:val="single" w:color="auto" w:sz="4" w:space="0"/>
                    <w:right w:val="single" w:color="auto" w:sz="4" w:space="0"/>
                  </w:tcBorders>
                  <w:vAlign w:val="center"/>
                </w:tcPr>
                <w:p w14:paraId="6ECDC7C6">
                  <w:pPr>
                    <w:pStyle w:val="65"/>
                    <w:rPr>
                      <w:color w:val="auto"/>
                    </w:rPr>
                  </w:pPr>
                  <w:r>
                    <w:rPr>
                      <w:color w:val="auto"/>
                    </w:rPr>
                    <w:t>/</w:t>
                  </w:r>
                </w:p>
              </w:tc>
            </w:tr>
            <w:tr w14:paraId="5837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1ADFB16">
                  <w:pPr>
                    <w:pStyle w:val="65"/>
                    <w:rPr>
                      <w:color w:val="auto"/>
                    </w:rPr>
                  </w:pPr>
                </w:p>
              </w:tc>
              <w:tc>
                <w:tcPr>
                  <w:tcW w:w="606" w:type="pct"/>
                  <w:tcBorders>
                    <w:top w:val="single" w:color="auto" w:sz="4" w:space="0"/>
                    <w:left w:val="single" w:color="auto" w:sz="4" w:space="0"/>
                    <w:bottom w:val="single" w:color="auto" w:sz="4" w:space="0"/>
                    <w:right w:val="single" w:color="auto" w:sz="4" w:space="0"/>
                  </w:tcBorders>
                  <w:vAlign w:val="center"/>
                </w:tcPr>
                <w:p w14:paraId="7A863F06">
                  <w:pPr>
                    <w:pStyle w:val="65"/>
                    <w:rPr>
                      <w:color w:val="auto"/>
                    </w:rPr>
                  </w:pPr>
                  <w:r>
                    <w:rPr>
                      <w:rFonts w:hint="eastAsia"/>
                      <w:color w:val="auto"/>
                    </w:rPr>
                    <w:t>固废</w:t>
                  </w:r>
                </w:p>
              </w:tc>
              <w:tc>
                <w:tcPr>
                  <w:tcW w:w="1575" w:type="pct"/>
                  <w:tcBorders>
                    <w:top w:val="single" w:color="auto" w:sz="4" w:space="0"/>
                    <w:left w:val="single" w:color="auto" w:sz="4" w:space="0"/>
                    <w:bottom w:val="single" w:color="auto" w:sz="4" w:space="0"/>
                    <w:right w:val="single" w:color="auto" w:sz="4" w:space="0"/>
                  </w:tcBorders>
                  <w:vAlign w:val="center"/>
                </w:tcPr>
                <w:p w14:paraId="0B2CC6B0">
                  <w:pPr>
                    <w:pStyle w:val="65"/>
                    <w:rPr>
                      <w:color w:val="auto"/>
                    </w:rPr>
                  </w:pPr>
                  <w:r>
                    <w:rPr>
                      <w:rFonts w:hint="eastAsia"/>
                      <w:color w:val="auto"/>
                    </w:rPr>
                    <w:t>建筑垃圾优先回收利用，利用不完的由建筑垃圾处置单位运输至主管部门规定地点进行处置</w:t>
                  </w:r>
                </w:p>
              </w:tc>
              <w:tc>
                <w:tcPr>
                  <w:tcW w:w="435" w:type="pct"/>
                  <w:tcBorders>
                    <w:top w:val="single" w:color="auto" w:sz="4" w:space="0"/>
                    <w:left w:val="single" w:color="auto" w:sz="4" w:space="0"/>
                    <w:bottom w:val="single" w:color="auto" w:sz="4" w:space="0"/>
                    <w:right w:val="single" w:color="auto" w:sz="4" w:space="0"/>
                  </w:tcBorders>
                  <w:vAlign w:val="center"/>
                </w:tcPr>
                <w:p w14:paraId="4FCF0B01">
                  <w:pPr>
                    <w:pStyle w:val="65"/>
                    <w:rPr>
                      <w:color w:val="auto"/>
                    </w:rPr>
                  </w:pPr>
                  <w:r>
                    <w:rPr>
                      <w:color w:val="auto"/>
                    </w:rPr>
                    <w:t>/</w:t>
                  </w:r>
                </w:p>
              </w:tc>
              <w:tc>
                <w:tcPr>
                  <w:tcW w:w="427" w:type="pct"/>
                  <w:tcBorders>
                    <w:top w:val="single" w:color="auto" w:sz="4" w:space="0"/>
                    <w:left w:val="single" w:color="auto" w:sz="4" w:space="0"/>
                    <w:bottom w:val="single" w:color="auto" w:sz="4" w:space="0"/>
                    <w:right w:val="single" w:color="auto" w:sz="4" w:space="0"/>
                  </w:tcBorders>
                  <w:vAlign w:val="center"/>
                </w:tcPr>
                <w:p w14:paraId="54E600A0">
                  <w:pPr>
                    <w:pStyle w:val="65"/>
                    <w:rPr>
                      <w:color w:val="auto"/>
                    </w:rPr>
                  </w:pPr>
                  <w:r>
                    <w:rPr>
                      <w:color w:val="auto"/>
                    </w:rPr>
                    <w:t>/</w:t>
                  </w:r>
                </w:p>
              </w:tc>
              <w:tc>
                <w:tcPr>
                  <w:tcW w:w="466" w:type="pct"/>
                  <w:tcBorders>
                    <w:top w:val="single" w:color="auto" w:sz="4" w:space="0"/>
                    <w:left w:val="single" w:color="auto" w:sz="4" w:space="0"/>
                    <w:bottom w:val="single" w:color="auto" w:sz="4" w:space="0"/>
                    <w:right w:val="single" w:color="auto" w:sz="4" w:space="0"/>
                  </w:tcBorders>
                  <w:vAlign w:val="center"/>
                </w:tcPr>
                <w:p w14:paraId="16B2DD1C">
                  <w:pPr>
                    <w:pStyle w:val="65"/>
                    <w:rPr>
                      <w:color w:val="auto"/>
                    </w:rPr>
                  </w:pPr>
                  <w:r>
                    <w:rPr>
                      <w:color w:val="auto"/>
                    </w:rPr>
                    <w:t>/</w:t>
                  </w:r>
                </w:p>
              </w:tc>
              <w:tc>
                <w:tcPr>
                  <w:tcW w:w="534" w:type="pct"/>
                  <w:tcBorders>
                    <w:top w:val="single" w:color="auto" w:sz="4" w:space="0"/>
                    <w:left w:val="single" w:color="auto" w:sz="4" w:space="0"/>
                    <w:bottom w:val="single" w:color="auto" w:sz="4" w:space="0"/>
                    <w:right w:val="single" w:color="auto" w:sz="4" w:space="0"/>
                  </w:tcBorders>
                  <w:vAlign w:val="center"/>
                </w:tcPr>
                <w:p w14:paraId="66D92C9F">
                  <w:pPr>
                    <w:pStyle w:val="65"/>
                    <w:rPr>
                      <w:color w:val="auto"/>
                    </w:rPr>
                  </w:pPr>
                  <w:r>
                    <w:rPr>
                      <w:color w:val="auto"/>
                    </w:rPr>
                    <w:t>8.6</w:t>
                  </w:r>
                </w:p>
              </w:tc>
              <w:tc>
                <w:tcPr>
                  <w:tcW w:w="454" w:type="pct"/>
                  <w:tcBorders>
                    <w:top w:val="single" w:color="auto" w:sz="4" w:space="0"/>
                    <w:left w:val="single" w:color="auto" w:sz="4" w:space="0"/>
                    <w:bottom w:val="single" w:color="auto" w:sz="4" w:space="0"/>
                    <w:right w:val="single" w:color="auto" w:sz="4" w:space="0"/>
                  </w:tcBorders>
                  <w:vAlign w:val="center"/>
                </w:tcPr>
                <w:p w14:paraId="3491CB78">
                  <w:pPr>
                    <w:pStyle w:val="65"/>
                    <w:rPr>
                      <w:color w:val="auto"/>
                    </w:rPr>
                  </w:pPr>
                  <w:r>
                    <w:rPr>
                      <w:color w:val="auto"/>
                    </w:rPr>
                    <w:t>/</w:t>
                  </w:r>
                </w:p>
              </w:tc>
            </w:tr>
            <w:tr w14:paraId="78DE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6A25F5E">
                  <w:pPr>
                    <w:pStyle w:val="65"/>
                    <w:rPr>
                      <w:color w:val="auto"/>
                    </w:rPr>
                  </w:pPr>
                </w:p>
              </w:tc>
              <w:tc>
                <w:tcPr>
                  <w:tcW w:w="606" w:type="pct"/>
                  <w:tcBorders>
                    <w:top w:val="single" w:color="auto" w:sz="4" w:space="0"/>
                    <w:left w:val="single" w:color="auto" w:sz="4" w:space="0"/>
                    <w:bottom w:val="single" w:color="auto" w:sz="4" w:space="0"/>
                    <w:right w:val="single" w:color="auto" w:sz="4" w:space="0"/>
                  </w:tcBorders>
                  <w:vAlign w:val="center"/>
                </w:tcPr>
                <w:p w14:paraId="7E317741">
                  <w:pPr>
                    <w:pStyle w:val="65"/>
                    <w:rPr>
                      <w:color w:val="auto"/>
                    </w:rPr>
                  </w:pPr>
                  <w:r>
                    <w:rPr>
                      <w:rFonts w:hint="eastAsia"/>
                      <w:color w:val="auto"/>
                    </w:rPr>
                    <w:t>生态环境</w:t>
                  </w:r>
                </w:p>
              </w:tc>
              <w:tc>
                <w:tcPr>
                  <w:tcW w:w="1575" w:type="pct"/>
                  <w:tcBorders>
                    <w:top w:val="single" w:color="auto" w:sz="4" w:space="0"/>
                    <w:left w:val="single" w:color="auto" w:sz="4" w:space="0"/>
                    <w:bottom w:val="single" w:color="auto" w:sz="4" w:space="0"/>
                    <w:right w:val="single" w:color="auto" w:sz="4" w:space="0"/>
                  </w:tcBorders>
                  <w:vAlign w:val="center"/>
                </w:tcPr>
                <w:p w14:paraId="4AB8FE36">
                  <w:pPr>
                    <w:pStyle w:val="65"/>
                    <w:rPr>
                      <w:color w:val="auto"/>
                    </w:rPr>
                  </w:pPr>
                  <w:r>
                    <w:rPr>
                      <w:rFonts w:hint="eastAsia"/>
                      <w:color w:val="auto"/>
                    </w:rPr>
                    <w:t>对土石方临时堆放地进行遮盖处理；及时清除施工废料，施工场地应进行绿化；临时工程分层开挖、分层堆放、分层回填，进行表土剥离；按照项目编制的水土保持方案实施施工期水土保持措施等</w:t>
                  </w:r>
                </w:p>
              </w:tc>
              <w:tc>
                <w:tcPr>
                  <w:tcW w:w="435" w:type="pct"/>
                  <w:tcBorders>
                    <w:top w:val="single" w:color="auto" w:sz="4" w:space="0"/>
                    <w:left w:val="single" w:color="auto" w:sz="4" w:space="0"/>
                    <w:bottom w:val="single" w:color="auto" w:sz="4" w:space="0"/>
                    <w:right w:val="single" w:color="auto" w:sz="4" w:space="0"/>
                  </w:tcBorders>
                  <w:vAlign w:val="center"/>
                </w:tcPr>
                <w:p w14:paraId="35FD325D">
                  <w:pPr>
                    <w:pStyle w:val="65"/>
                    <w:rPr>
                      <w:color w:val="auto"/>
                    </w:rPr>
                  </w:pPr>
                  <w:r>
                    <w:rPr>
                      <w:color w:val="auto"/>
                    </w:rPr>
                    <w:t>/</w:t>
                  </w:r>
                </w:p>
              </w:tc>
              <w:tc>
                <w:tcPr>
                  <w:tcW w:w="427" w:type="pct"/>
                  <w:tcBorders>
                    <w:top w:val="single" w:color="auto" w:sz="4" w:space="0"/>
                    <w:left w:val="single" w:color="auto" w:sz="4" w:space="0"/>
                    <w:bottom w:val="single" w:color="auto" w:sz="4" w:space="0"/>
                    <w:right w:val="single" w:color="auto" w:sz="4" w:space="0"/>
                  </w:tcBorders>
                  <w:vAlign w:val="center"/>
                </w:tcPr>
                <w:p w14:paraId="4D81DDF8">
                  <w:pPr>
                    <w:pStyle w:val="65"/>
                    <w:rPr>
                      <w:color w:val="auto"/>
                    </w:rPr>
                  </w:pPr>
                  <w:r>
                    <w:rPr>
                      <w:color w:val="auto"/>
                    </w:rPr>
                    <w:t>/</w:t>
                  </w:r>
                </w:p>
              </w:tc>
              <w:tc>
                <w:tcPr>
                  <w:tcW w:w="466" w:type="pct"/>
                  <w:tcBorders>
                    <w:top w:val="single" w:color="auto" w:sz="4" w:space="0"/>
                    <w:left w:val="single" w:color="auto" w:sz="4" w:space="0"/>
                    <w:bottom w:val="single" w:color="auto" w:sz="4" w:space="0"/>
                    <w:right w:val="single" w:color="auto" w:sz="4" w:space="0"/>
                  </w:tcBorders>
                  <w:vAlign w:val="center"/>
                </w:tcPr>
                <w:p w14:paraId="0A2D582D">
                  <w:pPr>
                    <w:pStyle w:val="65"/>
                    <w:rPr>
                      <w:color w:val="auto"/>
                    </w:rPr>
                  </w:pPr>
                  <w:r>
                    <w:rPr>
                      <w:color w:val="auto"/>
                    </w:rPr>
                    <w:t>/</w:t>
                  </w:r>
                </w:p>
              </w:tc>
              <w:tc>
                <w:tcPr>
                  <w:tcW w:w="534" w:type="pct"/>
                  <w:tcBorders>
                    <w:top w:val="single" w:color="auto" w:sz="4" w:space="0"/>
                    <w:left w:val="single" w:color="auto" w:sz="4" w:space="0"/>
                    <w:bottom w:val="single" w:color="auto" w:sz="4" w:space="0"/>
                    <w:right w:val="single" w:color="auto" w:sz="4" w:space="0"/>
                  </w:tcBorders>
                  <w:vAlign w:val="center"/>
                </w:tcPr>
                <w:p w14:paraId="089C6B1A">
                  <w:pPr>
                    <w:pStyle w:val="65"/>
                    <w:rPr>
                      <w:color w:val="auto"/>
                    </w:rPr>
                  </w:pPr>
                  <w:r>
                    <w:rPr>
                      <w:rFonts w:hint="eastAsia"/>
                      <w:color w:val="auto"/>
                    </w:rPr>
                    <w:t>25</w:t>
                  </w:r>
                </w:p>
              </w:tc>
              <w:tc>
                <w:tcPr>
                  <w:tcW w:w="454" w:type="pct"/>
                  <w:tcBorders>
                    <w:top w:val="single" w:color="auto" w:sz="4" w:space="0"/>
                    <w:left w:val="single" w:color="auto" w:sz="4" w:space="0"/>
                    <w:bottom w:val="single" w:color="auto" w:sz="4" w:space="0"/>
                    <w:right w:val="single" w:color="auto" w:sz="4" w:space="0"/>
                  </w:tcBorders>
                  <w:vAlign w:val="center"/>
                </w:tcPr>
                <w:p w14:paraId="73C5731F">
                  <w:pPr>
                    <w:pStyle w:val="65"/>
                    <w:rPr>
                      <w:color w:val="auto"/>
                    </w:rPr>
                  </w:pPr>
                  <w:r>
                    <w:rPr>
                      <w:color w:val="auto"/>
                    </w:rPr>
                    <w:t>/</w:t>
                  </w:r>
                </w:p>
              </w:tc>
            </w:tr>
            <w:tr w14:paraId="7156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8E27852">
                  <w:pPr>
                    <w:pStyle w:val="65"/>
                    <w:rPr>
                      <w:color w:val="auto"/>
                    </w:rPr>
                  </w:pPr>
                </w:p>
              </w:tc>
              <w:tc>
                <w:tcPr>
                  <w:tcW w:w="606" w:type="pct"/>
                  <w:tcBorders>
                    <w:top w:val="single" w:color="auto" w:sz="4" w:space="0"/>
                    <w:left w:val="single" w:color="auto" w:sz="4" w:space="0"/>
                    <w:bottom w:val="single" w:color="auto" w:sz="4" w:space="0"/>
                    <w:right w:val="single" w:color="auto" w:sz="4" w:space="0"/>
                  </w:tcBorders>
                  <w:vAlign w:val="center"/>
                </w:tcPr>
                <w:p w14:paraId="732EA60C">
                  <w:pPr>
                    <w:pStyle w:val="65"/>
                    <w:rPr>
                      <w:color w:val="auto"/>
                    </w:rPr>
                  </w:pPr>
                  <w:r>
                    <w:rPr>
                      <w:rFonts w:hint="eastAsia"/>
                      <w:color w:val="auto"/>
                    </w:rPr>
                    <w:t>风险</w:t>
                  </w:r>
                </w:p>
              </w:tc>
              <w:tc>
                <w:tcPr>
                  <w:tcW w:w="1575" w:type="pct"/>
                  <w:tcBorders>
                    <w:top w:val="single" w:color="auto" w:sz="4" w:space="0"/>
                    <w:left w:val="single" w:color="auto" w:sz="4" w:space="0"/>
                    <w:bottom w:val="single" w:color="auto" w:sz="4" w:space="0"/>
                    <w:right w:val="single" w:color="auto" w:sz="4" w:space="0"/>
                  </w:tcBorders>
                  <w:vAlign w:val="center"/>
                </w:tcPr>
                <w:p w14:paraId="5FA50668">
                  <w:pPr>
                    <w:pStyle w:val="65"/>
                    <w:rPr>
                      <w:color w:val="auto"/>
                    </w:rPr>
                  </w:pPr>
                  <w:r>
                    <w:rPr>
                      <w:rFonts w:hint="eastAsia"/>
                      <w:color w:val="auto"/>
                    </w:rPr>
                    <w:t>箱变事故油池（含防渗）</w:t>
                  </w:r>
                </w:p>
              </w:tc>
              <w:tc>
                <w:tcPr>
                  <w:tcW w:w="435" w:type="pct"/>
                  <w:tcBorders>
                    <w:top w:val="single" w:color="auto" w:sz="4" w:space="0"/>
                    <w:left w:val="single" w:color="auto" w:sz="4" w:space="0"/>
                    <w:bottom w:val="single" w:color="auto" w:sz="4" w:space="0"/>
                    <w:right w:val="single" w:color="auto" w:sz="4" w:space="0"/>
                  </w:tcBorders>
                  <w:vAlign w:val="center"/>
                </w:tcPr>
                <w:p w14:paraId="58F39AEC">
                  <w:pPr>
                    <w:pStyle w:val="65"/>
                    <w:rPr>
                      <w:color w:val="auto"/>
                    </w:rPr>
                  </w:pPr>
                  <w:r>
                    <w:rPr>
                      <w:color w:val="auto"/>
                    </w:rPr>
                    <w:t>/</w:t>
                  </w:r>
                </w:p>
              </w:tc>
              <w:tc>
                <w:tcPr>
                  <w:tcW w:w="427" w:type="pct"/>
                  <w:tcBorders>
                    <w:top w:val="single" w:color="auto" w:sz="4" w:space="0"/>
                    <w:left w:val="single" w:color="auto" w:sz="4" w:space="0"/>
                    <w:bottom w:val="single" w:color="auto" w:sz="4" w:space="0"/>
                    <w:right w:val="single" w:color="auto" w:sz="4" w:space="0"/>
                  </w:tcBorders>
                  <w:vAlign w:val="center"/>
                </w:tcPr>
                <w:p w14:paraId="148B3318">
                  <w:pPr>
                    <w:pStyle w:val="65"/>
                    <w:rPr>
                      <w:color w:val="auto"/>
                    </w:rPr>
                  </w:pPr>
                  <w:r>
                    <w:rPr>
                      <w:color w:val="auto"/>
                    </w:rPr>
                    <w:t>/</w:t>
                  </w:r>
                </w:p>
              </w:tc>
              <w:tc>
                <w:tcPr>
                  <w:tcW w:w="466" w:type="pct"/>
                  <w:tcBorders>
                    <w:top w:val="single" w:color="auto" w:sz="4" w:space="0"/>
                    <w:left w:val="single" w:color="auto" w:sz="4" w:space="0"/>
                    <w:bottom w:val="single" w:color="auto" w:sz="4" w:space="0"/>
                    <w:right w:val="single" w:color="auto" w:sz="4" w:space="0"/>
                  </w:tcBorders>
                  <w:vAlign w:val="center"/>
                </w:tcPr>
                <w:p w14:paraId="3B33CDA7">
                  <w:pPr>
                    <w:pStyle w:val="65"/>
                    <w:rPr>
                      <w:color w:val="auto"/>
                    </w:rPr>
                  </w:pPr>
                  <w:r>
                    <w:rPr>
                      <w:color w:val="auto"/>
                    </w:rPr>
                    <w:t>/</w:t>
                  </w:r>
                </w:p>
              </w:tc>
              <w:tc>
                <w:tcPr>
                  <w:tcW w:w="534" w:type="pct"/>
                  <w:tcBorders>
                    <w:top w:val="single" w:color="auto" w:sz="4" w:space="0"/>
                    <w:left w:val="single" w:color="auto" w:sz="4" w:space="0"/>
                    <w:bottom w:val="single" w:color="auto" w:sz="4" w:space="0"/>
                    <w:right w:val="single" w:color="auto" w:sz="4" w:space="0"/>
                  </w:tcBorders>
                  <w:vAlign w:val="center"/>
                </w:tcPr>
                <w:p w14:paraId="4D654068">
                  <w:pPr>
                    <w:pStyle w:val="65"/>
                    <w:rPr>
                      <w:color w:val="auto"/>
                    </w:rPr>
                  </w:pPr>
                  <w:r>
                    <w:rPr>
                      <w:color w:val="auto"/>
                    </w:rPr>
                    <w:t>4</w:t>
                  </w:r>
                  <w:r>
                    <w:rPr>
                      <w:rFonts w:hint="eastAsia"/>
                      <w:color w:val="auto"/>
                    </w:rPr>
                    <w:t>4</w:t>
                  </w:r>
                </w:p>
              </w:tc>
              <w:tc>
                <w:tcPr>
                  <w:tcW w:w="454" w:type="pct"/>
                  <w:tcBorders>
                    <w:top w:val="single" w:color="auto" w:sz="4" w:space="0"/>
                    <w:left w:val="single" w:color="auto" w:sz="4" w:space="0"/>
                    <w:bottom w:val="single" w:color="auto" w:sz="4" w:space="0"/>
                    <w:right w:val="single" w:color="auto" w:sz="4" w:space="0"/>
                  </w:tcBorders>
                  <w:vAlign w:val="center"/>
                </w:tcPr>
                <w:p w14:paraId="4064AD39">
                  <w:pPr>
                    <w:pStyle w:val="65"/>
                    <w:rPr>
                      <w:color w:val="auto"/>
                    </w:rPr>
                  </w:pPr>
                  <w:r>
                    <w:rPr>
                      <w:color w:val="auto"/>
                    </w:rPr>
                    <w:t>/</w:t>
                  </w:r>
                </w:p>
              </w:tc>
            </w:tr>
            <w:tr w14:paraId="2CAF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45E9737">
                  <w:pPr>
                    <w:pStyle w:val="65"/>
                    <w:rPr>
                      <w:color w:val="auto"/>
                    </w:rPr>
                  </w:pPr>
                </w:p>
              </w:tc>
              <w:tc>
                <w:tcPr>
                  <w:tcW w:w="606" w:type="pct"/>
                  <w:tcBorders>
                    <w:top w:val="single" w:color="auto" w:sz="4" w:space="0"/>
                    <w:left w:val="single" w:color="auto" w:sz="4" w:space="0"/>
                    <w:bottom w:val="single" w:color="auto" w:sz="4" w:space="0"/>
                    <w:right w:val="single" w:color="auto" w:sz="4" w:space="0"/>
                  </w:tcBorders>
                  <w:vAlign w:val="center"/>
                </w:tcPr>
                <w:p w14:paraId="0BDBDB4C">
                  <w:pPr>
                    <w:pStyle w:val="65"/>
                    <w:rPr>
                      <w:color w:val="auto"/>
                    </w:rPr>
                  </w:pPr>
                  <w:r>
                    <w:rPr>
                      <w:rFonts w:hint="eastAsia"/>
                      <w:color w:val="auto"/>
                    </w:rPr>
                    <w:t>噪声</w:t>
                  </w:r>
                </w:p>
              </w:tc>
              <w:tc>
                <w:tcPr>
                  <w:tcW w:w="1575" w:type="pct"/>
                  <w:tcBorders>
                    <w:top w:val="single" w:color="auto" w:sz="4" w:space="0"/>
                    <w:left w:val="single" w:color="auto" w:sz="4" w:space="0"/>
                    <w:bottom w:val="single" w:color="auto" w:sz="4" w:space="0"/>
                    <w:right w:val="single" w:color="auto" w:sz="4" w:space="0"/>
                  </w:tcBorders>
                  <w:vAlign w:val="center"/>
                </w:tcPr>
                <w:p w14:paraId="0C789C93">
                  <w:pPr>
                    <w:pStyle w:val="65"/>
                    <w:rPr>
                      <w:color w:val="auto"/>
                    </w:rPr>
                  </w:pPr>
                  <w:r>
                    <w:rPr>
                      <w:rFonts w:hint="eastAsia"/>
                      <w:color w:val="auto"/>
                    </w:rPr>
                    <w:t>设备基础减震、围墙隔声、距离衰减</w:t>
                  </w:r>
                </w:p>
              </w:tc>
              <w:tc>
                <w:tcPr>
                  <w:tcW w:w="435" w:type="pct"/>
                  <w:tcBorders>
                    <w:top w:val="single" w:color="auto" w:sz="4" w:space="0"/>
                    <w:left w:val="single" w:color="auto" w:sz="4" w:space="0"/>
                    <w:bottom w:val="single" w:color="auto" w:sz="4" w:space="0"/>
                    <w:right w:val="single" w:color="auto" w:sz="4" w:space="0"/>
                  </w:tcBorders>
                  <w:vAlign w:val="center"/>
                </w:tcPr>
                <w:p w14:paraId="0A1B5C18">
                  <w:pPr>
                    <w:pStyle w:val="65"/>
                    <w:rPr>
                      <w:color w:val="auto"/>
                    </w:rPr>
                  </w:pPr>
                  <w:r>
                    <w:rPr>
                      <w:color w:val="auto"/>
                    </w:rPr>
                    <w:t>/</w:t>
                  </w:r>
                </w:p>
              </w:tc>
              <w:tc>
                <w:tcPr>
                  <w:tcW w:w="427" w:type="pct"/>
                  <w:tcBorders>
                    <w:top w:val="single" w:color="auto" w:sz="4" w:space="0"/>
                    <w:left w:val="single" w:color="auto" w:sz="4" w:space="0"/>
                    <w:bottom w:val="single" w:color="auto" w:sz="4" w:space="0"/>
                    <w:right w:val="single" w:color="auto" w:sz="4" w:space="0"/>
                  </w:tcBorders>
                  <w:vAlign w:val="center"/>
                </w:tcPr>
                <w:p w14:paraId="56A8AA08">
                  <w:pPr>
                    <w:pStyle w:val="65"/>
                    <w:rPr>
                      <w:color w:val="auto"/>
                    </w:rPr>
                  </w:pPr>
                  <w:r>
                    <w:rPr>
                      <w:color w:val="auto"/>
                    </w:rPr>
                    <w:t>/</w:t>
                  </w:r>
                </w:p>
              </w:tc>
              <w:tc>
                <w:tcPr>
                  <w:tcW w:w="466" w:type="pct"/>
                  <w:tcBorders>
                    <w:top w:val="single" w:color="auto" w:sz="4" w:space="0"/>
                    <w:left w:val="single" w:color="auto" w:sz="4" w:space="0"/>
                    <w:bottom w:val="single" w:color="auto" w:sz="4" w:space="0"/>
                    <w:right w:val="single" w:color="auto" w:sz="4" w:space="0"/>
                  </w:tcBorders>
                  <w:vAlign w:val="center"/>
                </w:tcPr>
                <w:p w14:paraId="1F8FE048">
                  <w:pPr>
                    <w:pStyle w:val="65"/>
                    <w:rPr>
                      <w:color w:val="auto"/>
                    </w:rPr>
                  </w:pPr>
                  <w:r>
                    <w:rPr>
                      <w:color w:val="auto"/>
                    </w:rPr>
                    <w:t>/</w:t>
                  </w:r>
                </w:p>
              </w:tc>
              <w:tc>
                <w:tcPr>
                  <w:tcW w:w="534" w:type="pct"/>
                  <w:tcBorders>
                    <w:top w:val="single" w:color="auto" w:sz="4" w:space="0"/>
                    <w:left w:val="single" w:color="auto" w:sz="4" w:space="0"/>
                    <w:bottom w:val="single" w:color="auto" w:sz="4" w:space="0"/>
                    <w:right w:val="single" w:color="auto" w:sz="4" w:space="0"/>
                  </w:tcBorders>
                  <w:vAlign w:val="center"/>
                </w:tcPr>
                <w:p w14:paraId="6D9BE8CB">
                  <w:pPr>
                    <w:pStyle w:val="65"/>
                    <w:rPr>
                      <w:color w:val="auto"/>
                    </w:rPr>
                  </w:pPr>
                  <w:r>
                    <w:rPr>
                      <w:color w:val="auto"/>
                    </w:rPr>
                    <w:t>/</w:t>
                  </w:r>
                </w:p>
              </w:tc>
              <w:tc>
                <w:tcPr>
                  <w:tcW w:w="454" w:type="pct"/>
                  <w:tcBorders>
                    <w:top w:val="single" w:color="auto" w:sz="4" w:space="0"/>
                    <w:left w:val="single" w:color="auto" w:sz="4" w:space="0"/>
                    <w:bottom w:val="single" w:color="auto" w:sz="4" w:space="0"/>
                    <w:right w:val="single" w:color="auto" w:sz="4" w:space="0"/>
                  </w:tcBorders>
                  <w:vAlign w:val="center"/>
                </w:tcPr>
                <w:p w14:paraId="113EAE42">
                  <w:pPr>
                    <w:pStyle w:val="65"/>
                    <w:rPr>
                      <w:color w:val="auto"/>
                    </w:rPr>
                  </w:pPr>
                  <w:r>
                    <w:rPr>
                      <w:rFonts w:hint="eastAsia"/>
                      <w:color w:val="auto"/>
                    </w:rPr>
                    <w:t>计入工程投资</w:t>
                  </w:r>
                </w:p>
              </w:tc>
            </w:tr>
            <w:tr w14:paraId="007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F52ADD8">
                  <w:pPr>
                    <w:pStyle w:val="65"/>
                    <w:rPr>
                      <w:color w:val="auto"/>
                    </w:rPr>
                  </w:pPr>
                </w:p>
              </w:tc>
              <w:tc>
                <w:tcPr>
                  <w:tcW w:w="606" w:type="pct"/>
                  <w:tcBorders>
                    <w:top w:val="single" w:color="auto" w:sz="4" w:space="0"/>
                    <w:left w:val="single" w:color="auto" w:sz="4" w:space="0"/>
                    <w:bottom w:val="single" w:color="auto" w:sz="4" w:space="0"/>
                    <w:right w:val="single" w:color="auto" w:sz="4" w:space="0"/>
                  </w:tcBorders>
                  <w:vAlign w:val="center"/>
                </w:tcPr>
                <w:p w14:paraId="51E431D3">
                  <w:pPr>
                    <w:pStyle w:val="65"/>
                    <w:rPr>
                      <w:color w:val="auto"/>
                    </w:rPr>
                  </w:pPr>
                  <w:r>
                    <w:rPr>
                      <w:rFonts w:hint="eastAsia"/>
                      <w:color w:val="auto"/>
                    </w:rPr>
                    <w:t>生态恢复</w:t>
                  </w:r>
                </w:p>
              </w:tc>
              <w:tc>
                <w:tcPr>
                  <w:tcW w:w="1575" w:type="pct"/>
                  <w:tcBorders>
                    <w:top w:val="single" w:color="auto" w:sz="4" w:space="0"/>
                    <w:left w:val="single" w:color="auto" w:sz="4" w:space="0"/>
                    <w:bottom w:val="single" w:color="auto" w:sz="4" w:space="0"/>
                    <w:right w:val="single" w:color="auto" w:sz="4" w:space="0"/>
                  </w:tcBorders>
                  <w:vAlign w:val="center"/>
                </w:tcPr>
                <w:p w14:paraId="3A585D52">
                  <w:pPr>
                    <w:pStyle w:val="65"/>
                    <w:rPr>
                      <w:color w:val="auto"/>
                    </w:rPr>
                  </w:pPr>
                  <w:r>
                    <w:rPr>
                      <w:rFonts w:hint="eastAsia"/>
                      <w:color w:val="auto"/>
                    </w:rPr>
                    <w:t>临时占地区域绿化</w:t>
                  </w:r>
                </w:p>
              </w:tc>
              <w:tc>
                <w:tcPr>
                  <w:tcW w:w="435" w:type="pct"/>
                  <w:tcBorders>
                    <w:top w:val="single" w:color="auto" w:sz="4" w:space="0"/>
                    <w:left w:val="single" w:color="auto" w:sz="4" w:space="0"/>
                    <w:bottom w:val="single" w:color="auto" w:sz="4" w:space="0"/>
                    <w:right w:val="single" w:color="auto" w:sz="4" w:space="0"/>
                  </w:tcBorders>
                  <w:vAlign w:val="center"/>
                </w:tcPr>
                <w:p w14:paraId="6B00DB51">
                  <w:pPr>
                    <w:pStyle w:val="65"/>
                    <w:rPr>
                      <w:color w:val="auto"/>
                    </w:rPr>
                  </w:pPr>
                  <w:r>
                    <w:rPr>
                      <w:rFonts w:hint="eastAsia"/>
                      <w:color w:val="auto"/>
                    </w:rPr>
                    <w:t>项</w:t>
                  </w:r>
                </w:p>
              </w:tc>
              <w:tc>
                <w:tcPr>
                  <w:tcW w:w="427" w:type="pct"/>
                  <w:tcBorders>
                    <w:top w:val="single" w:color="auto" w:sz="4" w:space="0"/>
                    <w:left w:val="single" w:color="auto" w:sz="4" w:space="0"/>
                    <w:bottom w:val="single" w:color="auto" w:sz="4" w:space="0"/>
                    <w:right w:val="single" w:color="auto" w:sz="4" w:space="0"/>
                  </w:tcBorders>
                  <w:vAlign w:val="center"/>
                </w:tcPr>
                <w:p w14:paraId="1AEAAC09">
                  <w:pPr>
                    <w:pStyle w:val="65"/>
                    <w:rPr>
                      <w:color w:val="auto"/>
                    </w:rPr>
                  </w:pPr>
                  <w:r>
                    <w:rPr>
                      <w:color w:val="auto"/>
                    </w:rPr>
                    <w:t>1</w:t>
                  </w:r>
                </w:p>
              </w:tc>
              <w:tc>
                <w:tcPr>
                  <w:tcW w:w="466" w:type="pct"/>
                  <w:tcBorders>
                    <w:top w:val="single" w:color="auto" w:sz="4" w:space="0"/>
                    <w:left w:val="single" w:color="auto" w:sz="4" w:space="0"/>
                    <w:bottom w:val="single" w:color="auto" w:sz="4" w:space="0"/>
                    <w:right w:val="single" w:color="auto" w:sz="4" w:space="0"/>
                  </w:tcBorders>
                  <w:vAlign w:val="center"/>
                </w:tcPr>
                <w:p w14:paraId="37D6A79E">
                  <w:pPr>
                    <w:pStyle w:val="65"/>
                    <w:rPr>
                      <w:color w:val="auto"/>
                    </w:rPr>
                  </w:pPr>
                  <w:r>
                    <w:rPr>
                      <w:color w:val="auto"/>
                    </w:rPr>
                    <w:t>44</w:t>
                  </w:r>
                </w:p>
              </w:tc>
              <w:tc>
                <w:tcPr>
                  <w:tcW w:w="534" w:type="pct"/>
                  <w:tcBorders>
                    <w:top w:val="single" w:color="auto" w:sz="4" w:space="0"/>
                    <w:left w:val="single" w:color="auto" w:sz="4" w:space="0"/>
                    <w:bottom w:val="single" w:color="auto" w:sz="4" w:space="0"/>
                    <w:right w:val="single" w:color="auto" w:sz="4" w:space="0"/>
                  </w:tcBorders>
                  <w:vAlign w:val="center"/>
                </w:tcPr>
                <w:p w14:paraId="40E923C7">
                  <w:pPr>
                    <w:pStyle w:val="65"/>
                    <w:rPr>
                      <w:color w:val="auto"/>
                    </w:rPr>
                  </w:pPr>
                  <w:r>
                    <w:rPr>
                      <w:color w:val="auto"/>
                    </w:rPr>
                    <w:t>44</w:t>
                  </w:r>
                </w:p>
              </w:tc>
              <w:tc>
                <w:tcPr>
                  <w:tcW w:w="454" w:type="pct"/>
                  <w:tcBorders>
                    <w:top w:val="single" w:color="auto" w:sz="4" w:space="0"/>
                    <w:left w:val="single" w:color="auto" w:sz="4" w:space="0"/>
                    <w:bottom w:val="single" w:color="auto" w:sz="4" w:space="0"/>
                    <w:right w:val="single" w:color="auto" w:sz="4" w:space="0"/>
                  </w:tcBorders>
                  <w:vAlign w:val="center"/>
                </w:tcPr>
                <w:p w14:paraId="4B0E58CB">
                  <w:pPr>
                    <w:pStyle w:val="65"/>
                    <w:rPr>
                      <w:color w:val="auto"/>
                    </w:rPr>
                  </w:pPr>
                  <w:r>
                    <w:rPr>
                      <w:color w:val="auto"/>
                    </w:rPr>
                    <w:t>/</w:t>
                  </w:r>
                </w:p>
              </w:tc>
            </w:tr>
            <w:tr w14:paraId="1FC6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1B967A9">
                  <w:pPr>
                    <w:pStyle w:val="65"/>
                    <w:rPr>
                      <w:color w:val="auto"/>
                    </w:rPr>
                  </w:pPr>
                </w:p>
              </w:tc>
              <w:tc>
                <w:tcPr>
                  <w:tcW w:w="606" w:type="pct"/>
                  <w:tcBorders>
                    <w:top w:val="single" w:color="auto" w:sz="4" w:space="0"/>
                    <w:left w:val="single" w:color="auto" w:sz="4" w:space="0"/>
                    <w:bottom w:val="single" w:color="auto" w:sz="4" w:space="0"/>
                    <w:right w:val="single" w:color="auto" w:sz="4" w:space="0"/>
                  </w:tcBorders>
                  <w:vAlign w:val="center"/>
                </w:tcPr>
                <w:p w14:paraId="10CA7F49">
                  <w:pPr>
                    <w:pStyle w:val="65"/>
                    <w:rPr>
                      <w:color w:val="auto"/>
                    </w:rPr>
                  </w:pPr>
                  <w:r>
                    <w:rPr>
                      <w:rFonts w:hint="eastAsia"/>
                      <w:color w:val="auto"/>
                    </w:rPr>
                    <w:t>环境管理</w:t>
                  </w:r>
                </w:p>
              </w:tc>
              <w:tc>
                <w:tcPr>
                  <w:tcW w:w="1575" w:type="pct"/>
                  <w:tcBorders>
                    <w:top w:val="single" w:color="auto" w:sz="4" w:space="0"/>
                    <w:left w:val="single" w:color="auto" w:sz="4" w:space="0"/>
                    <w:bottom w:val="single" w:color="auto" w:sz="4" w:space="0"/>
                    <w:right w:val="single" w:color="auto" w:sz="4" w:space="0"/>
                  </w:tcBorders>
                  <w:vAlign w:val="center"/>
                </w:tcPr>
                <w:p w14:paraId="4381DE09">
                  <w:pPr>
                    <w:pStyle w:val="65"/>
                    <w:rPr>
                      <w:color w:val="auto"/>
                    </w:rPr>
                  </w:pPr>
                  <w:r>
                    <w:rPr>
                      <w:rFonts w:hint="eastAsia"/>
                      <w:color w:val="auto"/>
                    </w:rPr>
                    <w:t>加强管理，宣传教育等</w:t>
                  </w:r>
                </w:p>
              </w:tc>
              <w:tc>
                <w:tcPr>
                  <w:tcW w:w="435" w:type="pct"/>
                  <w:tcBorders>
                    <w:top w:val="single" w:color="auto" w:sz="4" w:space="0"/>
                    <w:left w:val="single" w:color="auto" w:sz="4" w:space="0"/>
                    <w:bottom w:val="single" w:color="auto" w:sz="4" w:space="0"/>
                    <w:right w:val="single" w:color="auto" w:sz="4" w:space="0"/>
                  </w:tcBorders>
                  <w:vAlign w:val="center"/>
                </w:tcPr>
                <w:p w14:paraId="682FDE8A">
                  <w:pPr>
                    <w:pStyle w:val="65"/>
                    <w:rPr>
                      <w:color w:val="auto"/>
                    </w:rPr>
                  </w:pPr>
                  <w:r>
                    <w:rPr>
                      <w:color w:val="auto"/>
                    </w:rPr>
                    <w:t>/</w:t>
                  </w:r>
                </w:p>
              </w:tc>
              <w:tc>
                <w:tcPr>
                  <w:tcW w:w="427" w:type="pct"/>
                  <w:tcBorders>
                    <w:top w:val="single" w:color="auto" w:sz="4" w:space="0"/>
                    <w:left w:val="single" w:color="auto" w:sz="4" w:space="0"/>
                    <w:bottom w:val="single" w:color="auto" w:sz="4" w:space="0"/>
                    <w:right w:val="single" w:color="auto" w:sz="4" w:space="0"/>
                  </w:tcBorders>
                  <w:vAlign w:val="center"/>
                </w:tcPr>
                <w:p w14:paraId="0F793F6F">
                  <w:pPr>
                    <w:pStyle w:val="65"/>
                    <w:rPr>
                      <w:color w:val="auto"/>
                    </w:rPr>
                  </w:pPr>
                  <w:r>
                    <w:rPr>
                      <w:color w:val="auto"/>
                    </w:rPr>
                    <w:t>/</w:t>
                  </w:r>
                </w:p>
              </w:tc>
              <w:tc>
                <w:tcPr>
                  <w:tcW w:w="466" w:type="pct"/>
                  <w:tcBorders>
                    <w:top w:val="single" w:color="auto" w:sz="4" w:space="0"/>
                    <w:left w:val="single" w:color="auto" w:sz="4" w:space="0"/>
                    <w:bottom w:val="single" w:color="auto" w:sz="4" w:space="0"/>
                    <w:right w:val="single" w:color="auto" w:sz="4" w:space="0"/>
                  </w:tcBorders>
                  <w:vAlign w:val="center"/>
                </w:tcPr>
                <w:p w14:paraId="39833CFF">
                  <w:pPr>
                    <w:pStyle w:val="65"/>
                    <w:rPr>
                      <w:color w:val="auto"/>
                    </w:rPr>
                  </w:pPr>
                  <w:r>
                    <w:rPr>
                      <w:color w:val="auto"/>
                    </w:rPr>
                    <w:t>/</w:t>
                  </w:r>
                </w:p>
              </w:tc>
              <w:tc>
                <w:tcPr>
                  <w:tcW w:w="534" w:type="pct"/>
                  <w:tcBorders>
                    <w:top w:val="single" w:color="auto" w:sz="4" w:space="0"/>
                    <w:left w:val="single" w:color="auto" w:sz="4" w:space="0"/>
                    <w:bottom w:val="single" w:color="auto" w:sz="4" w:space="0"/>
                    <w:right w:val="single" w:color="auto" w:sz="4" w:space="0"/>
                  </w:tcBorders>
                  <w:vAlign w:val="center"/>
                </w:tcPr>
                <w:p w14:paraId="7AC7DAE6">
                  <w:pPr>
                    <w:pStyle w:val="65"/>
                    <w:rPr>
                      <w:color w:val="auto"/>
                    </w:rPr>
                  </w:pPr>
                  <w:r>
                    <w:rPr>
                      <w:color w:val="auto"/>
                    </w:rPr>
                    <w:t>1</w:t>
                  </w:r>
                </w:p>
              </w:tc>
              <w:tc>
                <w:tcPr>
                  <w:tcW w:w="454" w:type="pct"/>
                  <w:tcBorders>
                    <w:top w:val="single" w:color="auto" w:sz="4" w:space="0"/>
                    <w:left w:val="single" w:color="auto" w:sz="4" w:space="0"/>
                    <w:bottom w:val="single" w:color="auto" w:sz="4" w:space="0"/>
                    <w:right w:val="single" w:color="auto" w:sz="4" w:space="0"/>
                  </w:tcBorders>
                  <w:vAlign w:val="center"/>
                </w:tcPr>
                <w:p w14:paraId="6025A8B5">
                  <w:pPr>
                    <w:pStyle w:val="65"/>
                    <w:rPr>
                      <w:color w:val="auto"/>
                    </w:rPr>
                  </w:pPr>
                  <w:r>
                    <w:rPr>
                      <w:color w:val="auto"/>
                    </w:rPr>
                    <w:t>/</w:t>
                  </w:r>
                </w:p>
              </w:tc>
            </w:tr>
            <w:tr w14:paraId="062F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3" w:type="pct"/>
                  <w:vMerge w:val="restart"/>
                  <w:tcBorders>
                    <w:top w:val="single" w:color="auto" w:sz="4" w:space="0"/>
                    <w:left w:val="single" w:color="auto" w:sz="4" w:space="0"/>
                    <w:bottom w:val="single" w:color="auto" w:sz="4" w:space="0"/>
                    <w:right w:val="single" w:color="auto" w:sz="4" w:space="0"/>
                  </w:tcBorders>
                  <w:vAlign w:val="center"/>
                </w:tcPr>
                <w:p w14:paraId="0BA22599">
                  <w:pPr>
                    <w:pStyle w:val="65"/>
                    <w:rPr>
                      <w:color w:val="auto"/>
                    </w:rPr>
                  </w:pPr>
                  <w:r>
                    <w:rPr>
                      <w:rFonts w:hint="eastAsia"/>
                      <w:color w:val="auto"/>
                    </w:rPr>
                    <w:t>服务期满后</w:t>
                  </w:r>
                </w:p>
              </w:tc>
              <w:tc>
                <w:tcPr>
                  <w:tcW w:w="606" w:type="pct"/>
                  <w:tcBorders>
                    <w:top w:val="single" w:color="auto" w:sz="4" w:space="0"/>
                    <w:left w:val="single" w:color="auto" w:sz="4" w:space="0"/>
                    <w:bottom w:val="single" w:color="auto" w:sz="4" w:space="0"/>
                    <w:right w:val="single" w:color="auto" w:sz="4" w:space="0"/>
                  </w:tcBorders>
                  <w:vAlign w:val="center"/>
                </w:tcPr>
                <w:p w14:paraId="66892370">
                  <w:pPr>
                    <w:pStyle w:val="65"/>
                    <w:rPr>
                      <w:color w:val="auto"/>
                    </w:rPr>
                  </w:pPr>
                  <w:r>
                    <w:rPr>
                      <w:rFonts w:hint="eastAsia"/>
                      <w:color w:val="auto"/>
                    </w:rPr>
                    <w:t>建构筑物拆除</w:t>
                  </w:r>
                </w:p>
              </w:tc>
              <w:tc>
                <w:tcPr>
                  <w:tcW w:w="1575" w:type="pct"/>
                  <w:tcBorders>
                    <w:top w:val="single" w:color="auto" w:sz="4" w:space="0"/>
                    <w:left w:val="single" w:color="auto" w:sz="4" w:space="0"/>
                    <w:bottom w:val="single" w:color="auto" w:sz="4" w:space="0"/>
                    <w:right w:val="single" w:color="auto" w:sz="4" w:space="0"/>
                  </w:tcBorders>
                  <w:vAlign w:val="center"/>
                </w:tcPr>
                <w:p w14:paraId="36217D1E">
                  <w:pPr>
                    <w:pStyle w:val="65"/>
                    <w:rPr>
                      <w:color w:val="auto"/>
                    </w:rPr>
                  </w:pPr>
                  <w:r>
                    <w:rPr>
                      <w:rFonts w:hint="eastAsia"/>
                      <w:color w:val="auto"/>
                    </w:rPr>
                    <w:t>拆除光伏方阵区支架、逆变器、箱变等混凝土基础</w:t>
                  </w:r>
                </w:p>
              </w:tc>
              <w:tc>
                <w:tcPr>
                  <w:tcW w:w="435" w:type="pct"/>
                  <w:tcBorders>
                    <w:top w:val="single" w:color="auto" w:sz="4" w:space="0"/>
                    <w:left w:val="single" w:color="auto" w:sz="4" w:space="0"/>
                    <w:bottom w:val="single" w:color="auto" w:sz="4" w:space="0"/>
                    <w:right w:val="single" w:color="auto" w:sz="4" w:space="0"/>
                  </w:tcBorders>
                  <w:vAlign w:val="center"/>
                </w:tcPr>
                <w:p w14:paraId="3DC9C449">
                  <w:pPr>
                    <w:pStyle w:val="65"/>
                    <w:rPr>
                      <w:color w:val="auto"/>
                    </w:rPr>
                  </w:pPr>
                  <w:r>
                    <w:rPr>
                      <w:color w:val="auto"/>
                    </w:rPr>
                    <w:t>/</w:t>
                  </w:r>
                </w:p>
              </w:tc>
              <w:tc>
                <w:tcPr>
                  <w:tcW w:w="427" w:type="pct"/>
                  <w:tcBorders>
                    <w:top w:val="single" w:color="auto" w:sz="4" w:space="0"/>
                    <w:left w:val="single" w:color="auto" w:sz="4" w:space="0"/>
                    <w:bottom w:val="single" w:color="auto" w:sz="4" w:space="0"/>
                    <w:right w:val="single" w:color="auto" w:sz="4" w:space="0"/>
                  </w:tcBorders>
                  <w:vAlign w:val="center"/>
                </w:tcPr>
                <w:p w14:paraId="007BFCF0">
                  <w:pPr>
                    <w:pStyle w:val="65"/>
                    <w:rPr>
                      <w:color w:val="auto"/>
                    </w:rPr>
                  </w:pPr>
                  <w:r>
                    <w:rPr>
                      <w:color w:val="auto"/>
                    </w:rPr>
                    <w:t>/</w:t>
                  </w:r>
                </w:p>
              </w:tc>
              <w:tc>
                <w:tcPr>
                  <w:tcW w:w="466" w:type="pct"/>
                  <w:tcBorders>
                    <w:top w:val="single" w:color="auto" w:sz="4" w:space="0"/>
                    <w:left w:val="single" w:color="auto" w:sz="4" w:space="0"/>
                    <w:bottom w:val="single" w:color="auto" w:sz="4" w:space="0"/>
                    <w:right w:val="single" w:color="auto" w:sz="4" w:space="0"/>
                  </w:tcBorders>
                  <w:vAlign w:val="center"/>
                </w:tcPr>
                <w:p w14:paraId="2FA3438D">
                  <w:pPr>
                    <w:pStyle w:val="65"/>
                    <w:rPr>
                      <w:color w:val="auto"/>
                    </w:rPr>
                  </w:pPr>
                  <w:r>
                    <w:rPr>
                      <w:color w:val="auto"/>
                    </w:rPr>
                    <w:t>/</w:t>
                  </w:r>
                </w:p>
              </w:tc>
              <w:tc>
                <w:tcPr>
                  <w:tcW w:w="534" w:type="pct"/>
                  <w:tcBorders>
                    <w:top w:val="single" w:color="auto" w:sz="4" w:space="0"/>
                    <w:left w:val="single" w:color="auto" w:sz="4" w:space="0"/>
                    <w:bottom w:val="single" w:color="auto" w:sz="4" w:space="0"/>
                    <w:right w:val="single" w:color="auto" w:sz="4" w:space="0"/>
                  </w:tcBorders>
                  <w:vAlign w:val="center"/>
                </w:tcPr>
                <w:p w14:paraId="25635330">
                  <w:pPr>
                    <w:pStyle w:val="65"/>
                    <w:rPr>
                      <w:color w:val="auto"/>
                    </w:rPr>
                  </w:pPr>
                  <w:r>
                    <w:rPr>
                      <w:color w:val="auto"/>
                    </w:rPr>
                    <w:t>16</w:t>
                  </w:r>
                </w:p>
              </w:tc>
              <w:tc>
                <w:tcPr>
                  <w:tcW w:w="454" w:type="pct"/>
                  <w:tcBorders>
                    <w:top w:val="single" w:color="auto" w:sz="4" w:space="0"/>
                    <w:left w:val="single" w:color="auto" w:sz="4" w:space="0"/>
                    <w:bottom w:val="single" w:color="auto" w:sz="4" w:space="0"/>
                    <w:right w:val="single" w:color="auto" w:sz="4" w:space="0"/>
                  </w:tcBorders>
                  <w:vAlign w:val="center"/>
                </w:tcPr>
                <w:p w14:paraId="6E7B2B0B">
                  <w:pPr>
                    <w:pStyle w:val="65"/>
                    <w:rPr>
                      <w:color w:val="auto"/>
                    </w:rPr>
                  </w:pPr>
                  <w:r>
                    <w:rPr>
                      <w:color w:val="auto"/>
                    </w:rPr>
                    <w:t>/</w:t>
                  </w:r>
                </w:p>
              </w:tc>
            </w:tr>
            <w:tr w14:paraId="7E5F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D1B8735">
                  <w:pPr>
                    <w:pStyle w:val="65"/>
                    <w:rPr>
                      <w:color w:val="auto"/>
                    </w:rPr>
                  </w:pPr>
                </w:p>
              </w:tc>
              <w:tc>
                <w:tcPr>
                  <w:tcW w:w="606" w:type="pct"/>
                  <w:tcBorders>
                    <w:top w:val="single" w:color="auto" w:sz="4" w:space="0"/>
                    <w:left w:val="single" w:color="auto" w:sz="4" w:space="0"/>
                    <w:bottom w:val="single" w:color="auto" w:sz="4" w:space="0"/>
                    <w:right w:val="single" w:color="auto" w:sz="4" w:space="0"/>
                  </w:tcBorders>
                  <w:vAlign w:val="center"/>
                </w:tcPr>
                <w:p w14:paraId="041EE35C">
                  <w:pPr>
                    <w:pStyle w:val="65"/>
                    <w:rPr>
                      <w:color w:val="auto"/>
                    </w:rPr>
                  </w:pPr>
                  <w:r>
                    <w:rPr>
                      <w:rFonts w:hint="eastAsia"/>
                      <w:color w:val="auto"/>
                    </w:rPr>
                    <w:t>生态恢复</w:t>
                  </w:r>
                </w:p>
              </w:tc>
              <w:tc>
                <w:tcPr>
                  <w:tcW w:w="1575" w:type="pct"/>
                  <w:tcBorders>
                    <w:top w:val="single" w:color="auto" w:sz="4" w:space="0"/>
                    <w:left w:val="single" w:color="auto" w:sz="4" w:space="0"/>
                    <w:bottom w:val="single" w:color="auto" w:sz="4" w:space="0"/>
                    <w:right w:val="single" w:color="auto" w:sz="4" w:space="0"/>
                  </w:tcBorders>
                  <w:vAlign w:val="center"/>
                </w:tcPr>
                <w:p w14:paraId="3004F180">
                  <w:pPr>
                    <w:pStyle w:val="65"/>
                    <w:rPr>
                      <w:color w:val="auto"/>
                    </w:rPr>
                  </w:pPr>
                  <w:r>
                    <w:rPr>
                      <w:rFonts w:hint="eastAsia"/>
                      <w:color w:val="auto"/>
                    </w:rPr>
                    <w:t>进行植被恢复</w:t>
                  </w:r>
                </w:p>
              </w:tc>
              <w:tc>
                <w:tcPr>
                  <w:tcW w:w="435" w:type="pct"/>
                  <w:tcBorders>
                    <w:top w:val="single" w:color="auto" w:sz="4" w:space="0"/>
                    <w:left w:val="single" w:color="auto" w:sz="4" w:space="0"/>
                    <w:bottom w:val="single" w:color="auto" w:sz="4" w:space="0"/>
                    <w:right w:val="single" w:color="auto" w:sz="4" w:space="0"/>
                  </w:tcBorders>
                  <w:vAlign w:val="center"/>
                </w:tcPr>
                <w:p w14:paraId="48B1945D">
                  <w:pPr>
                    <w:pStyle w:val="65"/>
                    <w:rPr>
                      <w:color w:val="auto"/>
                    </w:rPr>
                  </w:pPr>
                  <w:r>
                    <w:rPr>
                      <w:color w:val="auto"/>
                    </w:rPr>
                    <w:t>/</w:t>
                  </w:r>
                </w:p>
              </w:tc>
              <w:tc>
                <w:tcPr>
                  <w:tcW w:w="427" w:type="pct"/>
                  <w:tcBorders>
                    <w:top w:val="single" w:color="auto" w:sz="4" w:space="0"/>
                    <w:left w:val="single" w:color="auto" w:sz="4" w:space="0"/>
                    <w:bottom w:val="single" w:color="auto" w:sz="4" w:space="0"/>
                    <w:right w:val="single" w:color="auto" w:sz="4" w:space="0"/>
                  </w:tcBorders>
                  <w:vAlign w:val="center"/>
                </w:tcPr>
                <w:p w14:paraId="5F959DF5">
                  <w:pPr>
                    <w:pStyle w:val="65"/>
                    <w:rPr>
                      <w:color w:val="auto"/>
                    </w:rPr>
                  </w:pPr>
                  <w:r>
                    <w:rPr>
                      <w:color w:val="auto"/>
                    </w:rPr>
                    <w:t>/</w:t>
                  </w:r>
                </w:p>
              </w:tc>
              <w:tc>
                <w:tcPr>
                  <w:tcW w:w="466" w:type="pct"/>
                  <w:tcBorders>
                    <w:top w:val="single" w:color="auto" w:sz="4" w:space="0"/>
                    <w:left w:val="single" w:color="auto" w:sz="4" w:space="0"/>
                    <w:bottom w:val="single" w:color="auto" w:sz="4" w:space="0"/>
                    <w:right w:val="single" w:color="auto" w:sz="4" w:space="0"/>
                  </w:tcBorders>
                  <w:vAlign w:val="center"/>
                </w:tcPr>
                <w:p w14:paraId="09D9A89C">
                  <w:pPr>
                    <w:pStyle w:val="65"/>
                    <w:rPr>
                      <w:color w:val="auto"/>
                    </w:rPr>
                  </w:pPr>
                  <w:r>
                    <w:rPr>
                      <w:color w:val="auto"/>
                    </w:rPr>
                    <w:t>/</w:t>
                  </w:r>
                </w:p>
              </w:tc>
              <w:tc>
                <w:tcPr>
                  <w:tcW w:w="534" w:type="pct"/>
                  <w:tcBorders>
                    <w:top w:val="single" w:color="auto" w:sz="4" w:space="0"/>
                    <w:left w:val="single" w:color="auto" w:sz="4" w:space="0"/>
                    <w:bottom w:val="single" w:color="auto" w:sz="4" w:space="0"/>
                    <w:right w:val="single" w:color="auto" w:sz="4" w:space="0"/>
                  </w:tcBorders>
                  <w:vAlign w:val="center"/>
                </w:tcPr>
                <w:p w14:paraId="7E260BA9">
                  <w:pPr>
                    <w:pStyle w:val="65"/>
                    <w:rPr>
                      <w:color w:val="auto"/>
                    </w:rPr>
                  </w:pPr>
                  <w:r>
                    <w:rPr>
                      <w:color w:val="auto"/>
                    </w:rPr>
                    <w:t>/</w:t>
                  </w:r>
                </w:p>
              </w:tc>
              <w:tc>
                <w:tcPr>
                  <w:tcW w:w="454" w:type="pct"/>
                  <w:tcBorders>
                    <w:top w:val="single" w:color="auto" w:sz="4" w:space="0"/>
                    <w:left w:val="single" w:color="auto" w:sz="4" w:space="0"/>
                    <w:bottom w:val="single" w:color="auto" w:sz="4" w:space="0"/>
                    <w:right w:val="single" w:color="auto" w:sz="4" w:space="0"/>
                  </w:tcBorders>
                  <w:vAlign w:val="center"/>
                </w:tcPr>
                <w:p w14:paraId="149A4BEE">
                  <w:pPr>
                    <w:pStyle w:val="65"/>
                    <w:rPr>
                      <w:color w:val="auto"/>
                    </w:rPr>
                  </w:pPr>
                  <w:r>
                    <w:rPr>
                      <w:rFonts w:hint="eastAsia"/>
                      <w:color w:val="auto"/>
                    </w:rPr>
                    <w:t>计入水保投资</w:t>
                  </w:r>
                </w:p>
              </w:tc>
            </w:tr>
            <w:tr w14:paraId="0022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12" w:type="pct"/>
                  <w:gridSpan w:val="6"/>
                  <w:tcBorders>
                    <w:top w:val="single" w:color="auto" w:sz="4" w:space="0"/>
                    <w:left w:val="single" w:color="auto" w:sz="4" w:space="0"/>
                    <w:bottom w:val="single" w:color="auto" w:sz="4" w:space="0"/>
                    <w:right w:val="single" w:color="auto" w:sz="4" w:space="0"/>
                  </w:tcBorders>
                  <w:vAlign w:val="center"/>
                </w:tcPr>
                <w:p w14:paraId="38AC4B7A">
                  <w:pPr>
                    <w:pStyle w:val="65"/>
                    <w:rPr>
                      <w:color w:val="auto"/>
                    </w:rPr>
                  </w:pPr>
                  <w:r>
                    <w:rPr>
                      <w:rFonts w:hint="eastAsia"/>
                      <w:color w:val="auto"/>
                    </w:rPr>
                    <w:t>合计</w:t>
                  </w:r>
                </w:p>
              </w:tc>
              <w:tc>
                <w:tcPr>
                  <w:tcW w:w="534" w:type="pct"/>
                  <w:tcBorders>
                    <w:top w:val="single" w:color="auto" w:sz="4" w:space="0"/>
                    <w:left w:val="single" w:color="auto" w:sz="4" w:space="0"/>
                    <w:bottom w:val="single" w:color="auto" w:sz="4" w:space="0"/>
                    <w:right w:val="single" w:color="auto" w:sz="4" w:space="0"/>
                  </w:tcBorders>
                  <w:vAlign w:val="center"/>
                </w:tcPr>
                <w:p w14:paraId="44D85279">
                  <w:pPr>
                    <w:pStyle w:val="65"/>
                    <w:rPr>
                      <w:color w:val="auto"/>
                    </w:rPr>
                  </w:pPr>
                  <w:r>
                    <w:rPr>
                      <w:color w:val="auto"/>
                    </w:rPr>
                    <w:t>18</w:t>
                  </w:r>
                  <w:r>
                    <w:rPr>
                      <w:rFonts w:hint="eastAsia"/>
                      <w:color w:val="auto"/>
                    </w:rPr>
                    <w:t>0</w:t>
                  </w:r>
                  <w:r>
                    <w:rPr>
                      <w:color w:val="auto"/>
                    </w:rPr>
                    <w:t>.1</w:t>
                  </w:r>
                </w:p>
              </w:tc>
              <w:tc>
                <w:tcPr>
                  <w:tcW w:w="454" w:type="pct"/>
                  <w:tcBorders>
                    <w:top w:val="single" w:color="auto" w:sz="4" w:space="0"/>
                    <w:left w:val="single" w:color="auto" w:sz="4" w:space="0"/>
                    <w:bottom w:val="single" w:color="auto" w:sz="4" w:space="0"/>
                    <w:right w:val="single" w:color="auto" w:sz="4" w:space="0"/>
                  </w:tcBorders>
                  <w:vAlign w:val="center"/>
                </w:tcPr>
                <w:p w14:paraId="39E0CCEA">
                  <w:pPr>
                    <w:pStyle w:val="65"/>
                    <w:rPr>
                      <w:color w:val="auto"/>
                    </w:rPr>
                  </w:pPr>
                  <w:r>
                    <w:rPr>
                      <w:color w:val="auto"/>
                    </w:rPr>
                    <w:t>/</w:t>
                  </w:r>
                </w:p>
              </w:tc>
            </w:tr>
          </w:tbl>
          <w:p w14:paraId="34ACC1A9">
            <w:pPr>
              <w:ind w:firstLine="480"/>
              <w:rPr>
                <w:bCs/>
                <w:color w:val="auto"/>
              </w:rPr>
            </w:pPr>
          </w:p>
        </w:tc>
      </w:tr>
    </w:tbl>
    <w:p w14:paraId="059AD8B0">
      <w:pPr>
        <w:ind w:firstLine="480"/>
        <w:rPr>
          <w:color w:val="auto"/>
        </w:rPr>
        <w:sectPr>
          <w:pgSz w:w="11906" w:h="16838"/>
          <w:pgMar w:top="1440" w:right="1797" w:bottom="1440" w:left="1797" w:header="850" w:footer="1134" w:gutter="0"/>
          <w:cols w:space="720" w:num="1"/>
        </w:sectPr>
      </w:pPr>
    </w:p>
    <w:p w14:paraId="20E66282">
      <w:pPr>
        <w:pStyle w:val="2"/>
        <w:spacing w:before="120" w:after="120"/>
        <w:ind w:firstLine="643"/>
        <w:rPr>
          <w:color w:val="auto"/>
        </w:rPr>
      </w:pPr>
      <w:bookmarkStart w:id="1776" w:name="_Toc212667812"/>
      <w:bookmarkStart w:id="1777" w:name="_Toc218698793"/>
      <w:r>
        <w:rPr>
          <w:rFonts w:hint="eastAsia"/>
          <w:color w:val="auto"/>
        </w:rPr>
        <w:t>、</w:t>
      </w:r>
      <w:bookmarkStart w:id="1778" w:name="_Toc181738271"/>
      <w:bookmarkStart w:id="1779" w:name="_Toc161415621"/>
      <w:r>
        <w:rPr>
          <w:rFonts w:hint="eastAsia"/>
          <w:color w:val="auto"/>
        </w:rPr>
        <w:t>生态环境保护措施监督检查清单</w:t>
      </w:r>
      <w:bookmarkEnd w:id="1776"/>
      <w:bookmarkEnd w:id="1777"/>
      <w:bookmarkEnd w:id="1778"/>
      <w:bookmarkEnd w:id="1779"/>
    </w:p>
    <w:tbl>
      <w:tblPr>
        <w:tblStyle w:val="4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4680"/>
        <w:gridCol w:w="1803"/>
        <w:gridCol w:w="4317"/>
        <w:gridCol w:w="2087"/>
      </w:tblGrid>
      <w:tr w14:paraId="73BBA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blHeader/>
        </w:trPr>
        <w:tc>
          <w:tcPr>
            <w:tcW w:w="454" w:type="pct"/>
            <w:vMerge w:val="restart"/>
            <w:tcBorders>
              <w:top w:val="single" w:color="auto" w:sz="4" w:space="0"/>
              <w:left w:val="single" w:color="auto" w:sz="4" w:space="0"/>
              <w:bottom w:val="single" w:color="auto" w:sz="4" w:space="0"/>
              <w:right w:val="single" w:color="auto" w:sz="4" w:space="0"/>
              <w:tl2br w:val="single" w:color="auto" w:sz="4" w:space="0"/>
            </w:tcBorders>
          </w:tcPr>
          <w:p w14:paraId="415DC69B">
            <w:pPr>
              <w:pStyle w:val="65"/>
              <w:jc w:val="right"/>
              <w:rPr>
                <w:b/>
                <w:bCs/>
                <w:color w:val="auto"/>
              </w:rPr>
            </w:pPr>
            <w:r>
              <w:rPr>
                <w:rFonts w:hint="eastAsia"/>
                <w:b/>
                <w:bCs/>
                <w:color w:val="auto"/>
              </w:rPr>
              <w:t>内容</w:t>
            </w:r>
          </w:p>
          <w:p w14:paraId="4598F6AF">
            <w:pPr>
              <w:pStyle w:val="65"/>
              <w:rPr>
                <w:b/>
                <w:bCs/>
                <w:color w:val="auto"/>
              </w:rPr>
            </w:pPr>
          </w:p>
          <w:p w14:paraId="183C7144">
            <w:pPr>
              <w:pStyle w:val="65"/>
              <w:jc w:val="left"/>
              <w:rPr>
                <w:b/>
                <w:bCs/>
                <w:color w:val="auto"/>
              </w:rPr>
            </w:pPr>
            <w:r>
              <w:rPr>
                <w:rFonts w:hint="eastAsia"/>
                <w:b/>
                <w:bCs/>
                <w:color w:val="auto"/>
              </w:rPr>
              <w:t>要素</w:t>
            </w:r>
          </w:p>
        </w:tc>
        <w:tc>
          <w:tcPr>
            <w:tcW w:w="2287" w:type="pct"/>
            <w:gridSpan w:val="2"/>
            <w:tcBorders>
              <w:top w:val="single" w:color="auto" w:sz="4" w:space="0"/>
              <w:left w:val="single" w:color="auto" w:sz="4" w:space="0"/>
              <w:bottom w:val="single" w:color="auto" w:sz="4" w:space="0"/>
              <w:right w:val="single" w:color="auto" w:sz="4" w:space="0"/>
            </w:tcBorders>
            <w:vAlign w:val="center"/>
          </w:tcPr>
          <w:p w14:paraId="61D20170">
            <w:pPr>
              <w:pStyle w:val="65"/>
              <w:rPr>
                <w:b/>
                <w:bCs/>
                <w:color w:val="auto"/>
              </w:rPr>
            </w:pPr>
            <w:r>
              <w:rPr>
                <w:rFonts w:hint="eastAsia"/>
                <w:b/>
                <w:bCs/>
                <w:color w:val="auto"/>
              </w:rPr>
              <w:t>施工期</w:t>
            </w:r>
          </w:p>
        </w:tc>
        <w:tc>
          <w:tcPr>
            <w:tcW w:w="2259" w:type="pct"/>
            <w:gridSpan w:val="2"/>
            <w:tcBorders>
              <w:top w:val="single" w:color="auto" w:sz="4" w:space="0"/>
              <w:left w:val="single" w:color="auto" w:sz="4" w:space="0"/>
              <w:bottom w:val="single" w:color="auto" w:sz="4" w:space="0"/>
              <w:right w:val="single" w:color="auto" w:sz="4" w:space="0"/>
            </w:tcBorders>
            <w:vAlign w:val="center"/>
          </w:tcPr>
          <w:p w14:paraId="508E0752">
            <w:pPr>
              <w:pStyle w:val="65"/>
              <w:rPr>
                <w:b/>
                <w:bCs/>
                <w:color w:val="auto"/>
              </w:rPr>
            </w:pPr>
            <w:r>
              <w:rPr>
                <w:rFonts w:hint="eastAsia"/>
                <w:b/>
                <w:bCs/>
                <w:color w:val="auto"/>
              </w:rPr>
              <w:t>运营期</w:t>
            </w:r>
          </w:p>
        </w:tc>
      </w:tr>
      <w:tr w14:paraId="63BF4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tblHead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04CDD81">
            <w:pPr>
              <w:pStyle w:val="65"/>
              <w:rPr>
                <w:b/>
                <w:bCs/>
                <w:color w:val="auto"/>
              </w:rPr>
            </w:pPr>
          </w:p>
        </w:tc>
        <w:tc>
          <w:tcPr>
            <w:tcW w:w="1651" w:type="pct"/>
            <w:tcBorders>
              <w:top w:val="single" w:color="auto" w:sz="4" w:space="0"/>
              <w:left w:val="single" w:color="auto" w:sz="4" w:space="0"/>
              <w:bottom w:val="single" w:color="auto" w:sz="4" w:space="0"/>
              <w:right w:val="single" w:color="auto" w:sz="4" w:space="0"/>
            </w:tcBorders>
            <w:vAlign w:val="center"/>
          </w:tcPr>
          <w:p w14:paraId="1FDA4667">
            <w:pPr>
              <w:pStyle w:val="65"/>
              <w:rPr>
                <w:b/>
                <w:bCs/>
                <w:color w:val="auto"/>
              </w:rPr>
            </w:pPr>
            <w:r>
              <w:rPr>
                <w:rFonts w:hint="eastAsia"/>
                <w:b/>
                <w:bCs/>
                <w:color w:val="auto"/>
              </w:rPr>
              <w:t>环境保护措施</w:t>
            </w:r>
          </w:p>
        </w:tc>
        <w:tc>
          <w:tcPr>
            <w:tcW w:w="635" w:type="pct"/>
            <w:tcBorders>
              <w:top w:val="single" w:color="auto" w:sz="4" w:space="0"/>
              <w:left w:val="single" w:color="auto" w:sz="4" w:space="0"/>
              <w:bottom w:val="single" w:color="auto" w:sz="4" w:space="0"/>
              <w:right w:val="single" w:color="auto" w:sz="4" w:space="0"/>
            </w:tcBorders>
            <w:vAlign w:val="center"/>
          </w:tcPr>
          <w:p w14:paraId="13CB9B2A">
            <w:pPr>
              <w:pStyle w:val="65"/>
              <w:rPr>
                <w:b/>
                <w:bCs/>
                <w:color w:val="auto"/>
              </w:rPr>
            </w:pPr>
            <w:r>
              <w:rPr>
                <w:rFonts w:hint="eastAsia"/>
                <w:b/>
                <w:bCs/>
                <w:color w:val="auto"/>
              </w:rPr>
              <w:t>验收要求</w:t>
            </w:r>
          </w:p>
        </w:tc>
        <w:tc>
          <w:tcPr>
            <w:tcW w:w="1523" w:type="pct"/>
            <w:tcBorders>
              <w:top w:val="single" w:color="auto" w:sz="4" w:space="0"/>
              <w:left w:val="single" w:color="auto" w:sz="4" w:space="0"/>
              <w:bottom w:val="single" w:color="auto" w:sz="4" w:space="0"/>
              <w:right w:val="single" w:color="auto" w:sz="4" w:space="0"/>
            </w:tcBorders>
            <w:vAlign w:val="center"/>
          </w:tcPr>
          <w:p w14:paraId="050C4F89">
            <w:pPr>
              <w:pStyle w:val="65"/>
              <w:rPr>
                <w:b/>
                <w:bCs/>
                <w:color w:val="auto"/>
              </w:rPr>
            </w:pPr>
            <w:r>
              <w:rPr>
                <w:rFonts w:hint="eastAsia"/>
                <w:b/>
                <w:bCs/>
                <w:color w:val="auto"/>
              </w:rPr>
              <w:t>环境保护措施</w:t>
            </w:r>
          </w:p>
        </w:tc>
        <w:tc>
          <w:tcPr>
            <w:tcW w:w="736" w:type="pct"/>
            <w:tcBorders>
              <w:top w:val="single" w:color="auto" w:sz="4" w:space="0"/>
              <w:left w:val="single" w:color="auto" w:sz="4" w:space="0"/>
              <w:bottom w:val="single" w:color="auto" w:sz="4" w:space="0"/>
              <w:right w:val="single" w:color="auto" w:sz="4" w:space="0"/>
            </w:tcBorders>
            <w:vAlign w:val="center"/>
          </w:tcPr>
          <w:p w14:paraId="4453F3DD">
            <w:pPr>
              <w:pStyle w:val="65"/>
              <w:rPr>
                <w:b/>
                <w:bCs/>
                <w:color w:val="auto"/>
              </w:rPr>
            </w:pPr>
            <w:r>
              <w:rPr>
                <w:rFonts w:hint="eastAsia"/>
                <w:b/>
                <w:bCs/>
                <w:color w:val="auto"/>
              </w:rPr>
              <w:t>验收要求</w:t>
            </w:r>
          </w:p>
        </w:tc>
      </w:tr>
      <w:tr w14:paraId="09A8B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3D412524">
            <w:pPr>
              <w:pStyle w:val="65"/>
              <w:rPr>
                <w:color w:val="auto"/>
              </w:rPr>
            </w:pPr>
            <w:r>
              <w:rPr>
                <w:rFonts w:hint="eastAsia"/>
                <w:color w:val="auto"/>
              </w:rPr>
              <w:t>陆生生态</w:t>
            </w:r>
          </w:p>
        </w:tc>
        <w:tc>
          <w:tcPr>
            <w:tcW w:w="1651" w:type="pct"/>
            <w:tcBorders>
              <w:top w:val="single" w:color="auto" w:sz="4" w:space="0"/>
              <w:left w:val="single" w:color="auto" w:sz="4" w:space="0"/>
              <w:bottom w:val="single" w:color="auto" w:sz="4" w:space="0"/>
              <w:right w:val="single" w:color="auto" w:sz="4" w:space="0"/>
            </w:tcBorders>
            <w:vAlign w:val="center"/>
          </w:tcPr>
          <w:p w14:paraId="073A9A0B">
            <w:pPr>
              <w:pStyle w:val="65"/>
              <w:jc w:val="left"/>
              <w:rPr>
                <w:color w:val="auto"/>
              </w:rPr>
            </w:pPr>
            <w:r>
              <w:rPr>
                <w:rFonts w:hint="eastAsia"/>
                <w:color w:val="auto"/>
              </w:rPr>
              <w:t>（</w:t>
            </w:r>
            <w:r>
              <w:rPr>
                <w:color w:val="auto"/>
              </w:rPr>
              <w:t>1</w:t>
            </w:r>
            <w:r>
              <w:rPr>
                <w:rFonts w:hint="eastAsia"/>
                <w:color w:val="auto"/>
              </w:rPr>
              <w:t>）施工活动严格控制在征地范围内，划定最小施工范围，尽可能减少对周围土地的破坏，减小植被受影响面积。</w:t>
            </w:r>
          </w:p>
          <w:p w14:paraId="6E3441CE">
            <w:pPr>
              <w:pStyle w:val="65"/>
              <w:jc w:val="left"/>
              <w:rPr>
                <w:color w:val="auto"/>
              </w:rPr>
            </w:pPr>
            <w:r>
              <w:rPr>
                <w:rFonts w:hint="eastAsia"/>
                <w:color w:val="auto"/>
              </w:rPr>
              <w:t>（</w:t>
            </w:r>
            <w:r>
              <w:rPr>
                <w:color w:val="auto"/>
              </w:rPr>
              <w:t>2</w:t>
            </w:r>
            <w:r>
              <w:rPr>
                <w:rFonts w:hint="eastAsia"/>
                <w:color w:val="auto"/>
              </w:rPr>
              <w:t>）坚持“先防护，后施工”的原则，严格控制施工场地范围，禁止废土方进入周边耕地、道路以及林区。</w:t>
            </w:r>
          </w:p>
          <w:p w14:paraId="65CD634F">
            <w:pPr>
              <w:pStyle w:val="65"/>
              <w:jc w:val="left"/>
              <w:rPr>
                <w:color w:val="auto"/>
              </w:rPr>
            </w:pPr>
            <w:r>
              <w:rPr>
                <w:rFonts w:hint="eastAsia"/>
                <w:color w:val="auto"/>
              </w:rPr>
              <w:t>（</w:t>
            </w:r>
            <w:r>
              <w:rPr>
                <w:color w:val="auto"/>
              </w:rPr>
              <w:t>3</w:t>
            </w:r>
            <w:r>
              <w:rPr>
                <w:rFonts w:hint="eastAsia"/>
                <w:color w:val="auto"/>
              </w:rPr>
              <w:t>）在施工过程中，做好表土的集中堆存和保护，并要求完工后及时利用原表土对施工造成的裸露面进行覆土、采用乡土物种进行植被恢复。</w:t>
            </w:r>
          </w:p>
          <w:p w14:paraId="1367C80F">
            <w:pPr>
              <w:pStyle w:val="65"/>
              <w:jc w:val="left"/>
              <w:rPr>
                <w:color w:val="auto"/>
              </w:rPr>
            </w:pPr>
            <w:r>
              <w:rPr>
                <w:rFonts w:hint="eastAsia"/>
                <w:color w:val="auto"/>
              </w:rPr>
              <w:t>（</w:t>
            </w:r>
            <w:r>
              <w:rPr>
                <w:color w:val="auto"/>
              </w:rPr>
              <w:t>4</w:t>
            </w:r>
            <w:r>
              <w:rPr>
                <w:rFonts w:hint="eastAsia"/>
                <w:color w:val="auto"/>
              </w:rPr>
              <w:t>）严格控制施工范围，禁止占用天然林地（暖温性针叶林），最大程度降低对植被的破坏；合理规划施工便道、材料堆放处等临时场地，合理划定施工范围和人员、车辆的行走路线，避免对施工范围之外区域的植被造成碾压和破坏。</w:t>
            </w:r>
          </w:p>
          <w:p w14:paraId="0F72B2AE">
            <w:pPr>
              <w:pStyle w:val="65"/>
              <w:jc w:val="left"/>
              <w:rPr>
                <w:color w:val="auto"/>
              </w:rPr>
            </w:pPr>
            <w:r>
              <w:rPr>
                <w:rFonts w:hint="eastAsia"/>
                <w:color w:val="auto"/>
              </w:rPr>
              <w:t>（</w:t>
            </w:r>
            <w:r>
              <w:rPr>
                <w:color w:val="auto"/>
              </w:rPr>
              <w:t>5</w:t>
            </w:r>
            <w:r>
              <w:rPr>
                <w:rFonts w:hint="eastAsia"/>
                <w:color w:val="auto"/>
              </w:rPr>
              <w:t>）避让茶园内散生乔木，这些乔木树种零散分布于茶园内，在项目建设过程中应主动进行避让，减小影响。</w:t>
            </w:r>
          </w:p>
          <w:p w14:paraId="3E3D7EC6">
            <w:pPr>
              <w:pStyle w:val="65"/>
              <w:jc w:val="left"/>
              <w:rPr>
                <w:color w:val="auto"/>
              </w:rPr>
            </w:pPr>
            <w:r>
              <w:rPr>
                <w:rFonts w:hint="eastAsia"/>
                <w:color w:val="auto"/>
              </w:rPr>
              <w:t>（</w:t>
            </w:r>
            <w:r>
              <w:rPr>
                <w:color w:val="auto"/>
              </w:rPr>
              <w:t>6</w:t>
            </w:r>
            <w:r>
              <w:rPr>
                <w:rFonts w:hint="eastAsia"/>
                <w:color w:val="auto"/>
              </w:rPr>
              <w:t>）优化临时设施布局，尽量避开工程占用植被较好的森林、灌丛，减小对动物生境的扰动，场内道路及吊装平台不宜过宽，以保证运输车辆安全通过及施工即可。施工完成后应及时对运行期不再使用的施工迹地、临时道路进行植被恢复或复耕，减少施工对野生动物栖息地的破坏及分割影响。</w:t>
            </w:r>
          </w:p>
          <w:p w14:paraId="5835494C">
            <w:pPr>
              <w:pStyle w:val="65"/>
              <w:jc w:val="left"/>
              <w:rPr>
                <w:color w:val="auto"/>
              </w:rPr>
            </w:pPr>
            <w:r>
              <w:rPr>
                <w:rFonts w:hint="eastAsia"/>
                <w:color w:val="auto"/>
              </w:rPr>
              <w:t>（</w:t>
            </w:r>
            <w:r>
              <w:rPr>
                <w:color w:val="auto"/>
              </w:rPr>
              <w:t>7</w:t>
            </w:r>
            <w:r>
              <w:rPr>
                <w:rFonts w:hint="eastAsia"/>
                <w:color w:val="auto"/>
              </w:rPr>
              <w:t>）对易产生扬尘污染材料的堆放、装卸，应采取有效遮盖、封闭等防尘措施，禁止露天长期敞开堆放易产生扬尘的材料。运输易产生扬尘材料时应按规定实施密闭运输，实现无抛洒滴漏，减轻粉尘对生态保护红线内植被的影响。</w:t>
            </w:r>
          </w:p>
          <w:p w14:paraId="0F49BA82">
            <w:pPr>
              <w:pStyle w:val="65"/>
              <w:jc w:val="left"/>
              <w:rPr>
                <w:color w:val="auto"/>
              </w:rPr>
            </w:pPr>
            <w:r>
              <w:rPr>
                <w:rFonts w:hint="eastAsia"/>
                <w:color w:val="auto"/>
              </w:rPr>
              <w:t>（</w:t>
            </w:r>
            <w:r>
              <w:rPr>
                <w:color w:val="auto"/>
              </w:rPr>
              <w:t>8</w:t>
            </w:r>
            <w:r>
              <w:rPr>
                <w:rFonts w:hint="eastAsia"/>
                <w:color w:val="auto"/>
              </w:rPr>
              <w:t>）加强施工单位和施工人员的宣传教育，通过标志牌、法律宣传等措施进行宣传，严禁猎杀野生动物，并通过对违法活动进行举报奖励的措施以制止偷猎活动。</w:t>
            </w:r>
          </w:p>
          <w:p w14:paraId="1A84D529">
            <w:pPr>
              <w:pStyle w:val="65"/>
              <w:jc w:val="left"/>
              <w:rPr>
                <w:color w:val="auto"/>
              </w:rPr>
            </w:pPr>
            <w:r>
              <w:rPr>
                <w:rFonts w:hint="eastAsia"/>
                <w:color w:val="auto"/>
              </w:rPr>
              <w:t>（</w:t>
            </w:r>
            <w:r>
              <w:rPr>
                <w:color w:val="auto"/>
              </w:rPr>
              <w:t>9</w:t>
            </w:r>
            <w:r>
              <w:rPr>
                <w:rFonts w:hint="eastAsia"/>
                <w:color w:val="auto"/>
              </w:rPr>
              <w:t>）合理安排，科学组织施工；野生鸟类和兽类大多是晨昏外出觅食，正午休息，为了减少工程施工噪声对野生动物的惊扰，应做好施工方式和时间的计划，并力求避免在晨昏和正午进行噪声较大的施工活动，禁止夜间施工。</w:t>
            </w:r>
          </w:p>
          <w:p w14:paraId="74F247C1">
            <w:pPr>
              <w:pStyle w:val="65"/>
              <w:jc w:val="left"/>
              <w:rPr>
                <w:color w:val="auto"/>
              </w:rPr>
            </w:pPr>
            <w:r>
              <w:rPr>
                <w:rFonts w:hint="eastAsia"/>
                <w:color w:val="auto"/>
              </w:rPr>
              <w:t>（</w:t>
            </w:r>
            <w:r>
              <w:rPr>
                <w:color w:val="auto"/>
              </w:rPr>
              <w:t>10</w:t>
            </w:r>
            <w:r>
              <w:rPr>
                <w:rFonts w:hint="eastAsia"/>
                <w:color w:val="auto"/>
              </w:rPr>
              <w:t>）加强施工人员生态保护教育，严禁捕猎、捕食野生动物和随意砍伐、践踏植被；在紧邻生态保护红线的边界竖立施工警示标牌。</w:t>
            </w:r>
          </w:p>
          <w:p w14:paraId="0DB7AA5B">
            <w:pPr>
              <w:pStyle w:val="65"/>
              <w:jc w:val="left"/>
              <w:rPr>
                <w:color w:val="auto"/>
              </w:rPr>
            </w:pPr>
            <w:r>
              <w:rPr>
                <w:rFonts w:hint="eastAsia"/>
                <w:color w:val="auto"/>
              </w:rPr>
              <w:t>（</w:t>
            </w:r>
            <w:r>
              <w:rPr>
                <w:color w:val="auto"/>
              </w:rPr>
              <w:t>11</w:t>
            </w:r>
            <w:r>
              <w:rPr>
                <w:rFonts w:hint="eastAsia"/>
                <w:color w:val="auto"/>
              </w:rPr>
              <w:t>）挂牌标记，明确告示。在人员活动较多和较集中的施工营地，以及植被较好的区域，设置生态保护警示牌，提醒人们依法保护生态环境和生物多样性。</w:t>
            </w:r>
          </w:p>
        </w:tc>
        <w:tc>
          <w:tcPr>
            <w:tcW w:w="635" w:type="pct"/>
            <w:tcBorders>
              <w:top w:val="single" w:color="auto" w:sz="4" w:space="0"/>
              <w:left w:val="single" w:color="auto" w:sz="4" w:space="0"/>
              <w:bottom w:val="single" w:color="auto" w:sz="4" w:space="0"/>
              <w:right w:val="single" w:color="auto" w:sz="4" w:space="0"/>
            </w:tcBorders>
            <w:vAlign w:val="center"/>
          </w:tcPr>
          <w:p w14:paraId="5A0F269F">
            <w:pPr>
              <w:pStyle w:val="65"/>
              <w:rPr>
                <w:color w:val="auto"/>
              </w:rPr>
            </w:pPr>
            <w:r>
              <w:rPr>
                <w:rFonts w:hint="eastAsia"/>
                <w:color w:val="auto"/>
              </w:rPr>
              <w:t>生态环境保护措施落实情况。</w:t>
            </w:r>
          </w:p>
        </w:tc>
        <w:tc>
          <w:tcPr>
            <w:tcW w:w="1523" w:type="pct"/>
            <w:tcBorders>
              <w:top w:val="single" w:color="auto" w:sz="4" w:space="0"/>
              <w:left w:val="single" w:color="auto" w:sz="4" w:space="0"/>
              <w:bottom w:val="single" w:color="auto" w:sz="4" w:space="0"/>
              <w:right w:val="single" w:color="auto" w:sz="4" w:space="0"/>
            </w:tcBorders>
            <w:vAlign w:val="center"/>
          </w:tcPr>
          <w:p w14:paraId="12497922">
            <w:pPr>
              <w:pStyle w:val="65"/>
              <w:jc w:val="both"/>
              <w:rPr>
                <w:color w:val="auto"/>
              </w:rPr>
            </w:pPr>
            <w:r>
              <w:rPr>
                <w:rFonts w:hint="eastAsia"/>
                <w:color w:val="auto"/>
              </w:rPr>
              <w:t>（</w:t>
            </w:r>
            <w:r>
              <w:rPr>
                <w:color w:val="auto"/>
              </w:rPr>
              <w:t>1</w:t>
            </w:r>
            <w:r>
              <w:rPr>
                <w:rFonts w:hint="eastAsia"/>
                <w:color w:val="auto"/>
              </w:rPr>
              <w:t>）保护当地的野生动物，禁止光伏电站工作人员捕杀野生动物；禁止引入外来有害生物。</w:t>
            </w:r>
          </w:p>
          <w:p w14:paraId="27B8B8E3">
            <w:pPr>
              <w:pStyle w:val="65"/>
              <w:jc w:val="both"/>
              <w:rPr>
                <w:color w:val="auto"/>
              </w:rPr>
            </w:pPr>
            <w:r>
              <w:rPr>
                <w:rFonts w:hint="eastAsia"/>
                <w:color w:val="auto"/>
              </w:rPr>
              <w:t>（</w:t>
            </w:r>
            <w:r>
              <w:rPr>
                <w:color w:val="auto"/>
              </w:rPr>
              <w:t>2</w:t>
            </w:r>
            <w:r>
              <w:rPr>
                <w:rFonts w:hint="eastAsia"/>
                <w:color w:val="auto"/>
              </w:rPr>
              <w:t>）项目运行期注意观察评价区域内陆栖脊椎动物的活动情况，并注意保护评价区域内陆栖脊椎动物，发现异常应向林业部门报告，遇到受伤或死亡动物应将其交予林业部门，并排查原因。</w:t>
            </w:r>
          </w:p>
          <w:p w14:paraId="7499A465">
            <w:pPr>
              <w:pStyle w:val="65"/>
              <w:jc w:val="both"/>
              <w:rPr>
                <w:color w:val="auto"/>
              </w:rPr>
            </w:pPr>
            <w:r>
              <w:rPr>
                <w:rFonts w:hint="eastAsia"/>
                <w:color w:val="auto"/>
              </w:rPr>
              <w:t>（</w:t>
            </w:r>
            <w:r>
              <w:rPr>
                <w:color w:val="auto"/>
              </w:rPr>
              <w:t>3</w:t>
            </w:r>
            <w:r>
              <w:rPr>
                <w:rFonts w:hint="eastAsia"/>
                <w:color w:val="auto"/>
              </w:rPr>
              <w:t>）对光伏方阵空地区、集电线路和接地沟、施工场地、表土堆场区以及场内道路区进行植被恢复。</w:t>
            </w:r>
          </w:p>
          <w:p w14:paraId="45449EEB">
            <w:pPr>
              <w:pStyle w:val="65"/>
              <w:jc w:val="both"/>
              <w:rPr>
                <w:color w:val="auto"/>
              </w:rPr>
            </w:pPr>
            <w:r>
              <w:rPr>
                <w:rFonts w:hint="eastAsia"/>
                <w:color w:val="auto"/>
              </w:rPr>
              <w:t>（</w:t>
            </w:r>
            <w:r>
              <w:rPr>
                <w:color w:val="auto"/>
              </w:rPr>
              <w:t>4</w:t>
            </w:r>
            <w:r>
              <w:rPr>
                <w:rFonts w:hint="eastAsia"/>
                <w:color w:val="auto"/>
              </w:rPr>
              <w:t>）项目运营期间，设置管理人员，对生物多样性和生态环境的保护进行监督检查。加强对生态的管理，在工程管理机构，应设置生态环境管理人员，建立各种管理及报告制度，开展对工程影响区的环境教育，提高施工人员和管理人员环境意识。通过动态监测和完善管理，使生态向良性或有利方向发展。</w:t>
            </w:r>
          </w:p>
        </w:tc>
        <w:tc>
          <w:tcPr>
            <w:tcW w:w="736" w:type="pct"/>
            <w:tcBorders>
              <w:top w:val="single" w:color="auto" w:sz="4" w:space="0"/>
              <w:left w:val="single" w:color="auto" w:sz="4" w:space="0"/>
              <w:bottom w:val="single" w:color="auto" w:sz="4" w:space="0"/>
              <w:right w:val="single" w:color="auto" w:sz="4" w:space="0"/>
            </w:tcBorders>
            <w:vAlign w:val="center"/>
          </w:tcPr>
          <w:p w14:paraId="74916A52">
            <w:pPr>
              <w:pStyle w:val="65"/>
              <w:rPr>
                <w:color w:val="auto"/>
              </w:rPr>
            </w:pPr>
            <w:r>
              <w:rPr>
                <w:rFonts w:hint="eastAsia"/>
                <w:color w:val="auto"/>
              </w:rPr>
              <w:t>植被恢复效果达到要求；站内空地得到绿化或硬化。项目区运营期无项目导致的生物多样性减少。</w:t>
            </w:r>
          </w:p>
        </w:tc>
      </w:tr>
      <w:tr w14:paraId="30ECF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2908DF3B">
            <w:pPr>
              <w:pStyle w:val="65"/>
              <w:rPr>
                <w:color w:val="auto"/>
              </w:rPr>
            </w:pPr>
            <w:r>
              <w:rPr>
                <w:rFonts w:hint="eastAsia"/>
                <w:color w:val="auto"/>
              </w:rPr>
              <w:t>水生生态</w:t>
            </w:r>
          </w:p>
        </w:tc>
        <w:tc>
          <w:tcPr>
            <w:tcW w:w="1651" w:type="pct"/>
            <w:tcBorders>
              <w:top w:val="single" w:color="auto" w:sz="4" w:space="0"/>
              <w:left w:val="single" w:color="auto" w:sz="4" w:space="0"/>
              <w:bottom w:val="single" w:color="auto" w:sz="4" w:space="0"/>
              <w:right w:val="single" w:color="auto" w:sz="4" w:space="0"/>
            </w:tcBorders>
            <w:vAlign w:val="center"/>
          </w:tcPr>
          <w:p w14:paraId="54689C85">
            <w:pPr>
              <w:pStyle w:val="65"/>
              <w:rPr>
                <w:color w:val="auto"/>
              </w:rPr>
            </w:pPr>
            <w:r>
              <w:rPr>
                <w:color w:val="auto"/>
              </w:rPr>
              <w:t>/</w:t>
            </w:r>
          </w:p>
        </w:tc>
        <w:tc>
          <w:tcPr>
            <w:tcW w:w="635" w:type="pct"/>
            <w:tcBorders>
              <w:top w:val="single" w:color="auto" w:sz="4" w:space="0"/>
              <w:left w:val="single" w:color="auto" w:sz="4" w:space="0"/>
              <w:bottom w:val="single" w:color="auto" w:sz="4" w:space="0"/>
              <w:right w:val="single" w:color="auto" w:sz="4" w:space="0"/>
            </w:tcBorders>
            <w:vAlign w:val="center"/>
          </w:tcPr>
          <w:p w14:paraId="4C497C19">
            <w:pPr>
              <w:pStyle w:val="65"/>
              <w:rPr>
                <w:color w:val="auto"/>
              </w:rPr>
            </w:pPr>
            <w:r>
              <w:rPr>
                <w:color w:val="auto"/>
              </w:rPr>
              <w:t>/</w:t>
            </w:r>
          </w:p>
        </w:tc>
        <w:tc>
          <w:tcPr>
            <w:tcW w:w="1523" w:type="pct"/>
            <w:tcBorders>
              <w:top w:val="single" w:color="auto" w:sz="4" w:space="0"/>
              <w:left w:val="single" w:color="auto" w:sz="4" w:space="0"/>
              <w:bottom w:val="single" w:color="auto" w:sz="4" w:space="0"/>
              <w:right w:val="single" w:color="auto" w:sz="4" w:space="0"/>
            </w:tcBorders>
            <w:vAlign w:val="center"/>
          </w:tcPr>
          <w:p w14:paraId="3A2AA67F">
            <w:pPr>
              <w:pStyle w:val="65"/>
              <w:rPr>
                <w:color w:val="auto"/>
              </w:rPr>
            </w:pPr>
            <w:r>
              <w:rPr>
                <w:color w:val="auto"/>
              </w:rPr>
              <w:t>/</w:t>
            </w:r>
          </w:p>
        </w:tc>
        <w:tc>
          <w:tcPr>
            <w:tcW w:w="736" w:type="pct"/>
            <w:tcBorders>
              <w:top w:val="single" w:color="auto" w:sz="4" w:space="0"/>
              <w:left w:val="single" w:color="auto" w:sz="4" w:space="0"/>
              <w:bottom w:val="single" w:color="auto" w:sz="4" w:space="0"/>
              <w:right w:val="single" w:color="auto" w:sz="4" w:space="0"/>
            </w:tcBorders>
            <w:vAlign w:val="center"/>
          </w:tcPr>
          <w:p w14:paraId="114220B2">
            <w:pPr>
              <w:pStyle w:val="65"/>
              <w:rPr>
                <w:color w:val="auto"/>
              </w:rPr>
            </w:pPr>
            <w:r>
              <w:rPr>
                <w:color w:val="auto"/>
              </w:rPr>
              <w:t>/</w:t>
            </w:r>
          </w:p>
        </w:tc>
      </w:tr>
      <w:tr w14:paraId="471A0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0DA16879">
            <w:pPr>
              <w:pStyle w:val="65"/>
              <w:rPr>
                <w:color w:val="auto"/>
              </w:rPr>
            </w:pPr>
            <w:r>
              <w:rPr>
                <w:rFonts w:hint="eastAsia"/>
                <w:color w:val="auto"/>
              </w:rPr>
              <w:t>地表水环境</w:t>
            </w:r>
          </w:p>
        </w:tc>
        <w:tc>
          <w:tcPr>
            <w:tcW w:w="1651" w:type="pct"/>
            <w:tcBorders>
              <w:top w:val="single" w:color="auto" w:sz="4" w:space="0"/>
              <w:left w:val="single" w:color="auto" w:sz="4" w:space="0"/>
              <w:bottom w:val="single" w:color="auto" w:sz="4" w:space="0"/>
              <w:right w:val="single" w:color="auto" w:sz="4" w:space="0"/>
            </w:tcBorders>
            <w:vAlign w:val="center"/>
          </w:tcPr>
          <w:p w14:paraId="0431921F">
            <w:pPr>
              <w:pStyle w:val="65"/>
              <w:jc w:val="both"/>
              <w:rPr>
                <w:color w:val="auto"/>
              </w:rPr>
            </w:pPr>
            <w:r>
              <w:rPr>
                <w:rFonts w:hint="eastAsia"/>
                <w:color w:val="auto"/>
              </w:rPr>
              <w:t>（</w:t>
            </w:r>
            <w:r>
              <w:rPr>
                <w:color w:val="auto"/>
              </w:rPr>
              <w:t>1</w:t>
            </w:r>
            <w:r>
              <w:rPr>
                <w:rFonts w:hint="eastAsia"/>
                <w:color w:val="auto"/>
              </w:rPr>
              <w:t>）邻近河流的塔基、电缆槽、光伏阵地施工时，规范施工人员行为，施工期间施工场地和施工临时堆土点应远离水体，严禁向水体排放废水和倾倒建筑垃圾、生活垃圾，施工活动不得影响水质。</w:t>
            </w:r>
          </w:p>
          <w:p w14:paraId="7CBF7085">
            <w:pPr>
              <w:pStyle w:val="65"/>
              <w:jc w:val="both"/>
              <w:rPr>
                <w:color w:val="auto"/>
              </w:rPr>
            </w:pPr>
            <w:r>
              <w:rPr>
                <w:rFonts w:hint="eastAsia"/>
                <w:color w:val="auto"/>
              </w:rPr>
              <w:t>（2）杜绝各种污水的无组织排放，特别是不得以渗坑、渗井或者漫流等形式排放，尤其是禁止排放到附近的地表水体。</w:t>
            </w:r>
          </w:p>
          <w:p w14:paraId="574CA689">
            <w:pPr>
              <w:pStyle w:val="65"/>
              <w:jc w:val="both"/>
              <w:rPr>
                <w:color w:val="auto"/>
              </w:rPr>
            </w:pPr>
            <w:r>
              <w:rPr>
                <w:rFonts w:hint="eastAsia"/>
                <w:color w:val="auto"/>
              </w:rPr>
              <w:t>（3）合理安排工期，避免在雨天进行土方作业。</w:t>
            </w:r>
          </w:p>
          <w:p w14:paraId="329DB84D">
            <w:pPr>
              <w:pStyle w:val="65"/>
              <w:jc w:val="both"/>
              <w:rPr>
                <w:color w:val="auto"/>
              </w:rPr>
            </w:pPr>
            <w:r>
              <w:rPr>
                <w:rFonts w:hint="eastAsia"/>
                <w:color w:val="auto"/>
              </w:rPr>
              <w:t>（4）项目应加强管理，做好机械的日常维护保养，杜绝跑、冒、滴、漏现象，另外，雨天应对各类机械、粉状物料进行遮盖防雨。</w:t>
            </w:r>
          </w:p>
        </w:tc>
        <w:tc>
          <w:tcPr>
            <w:tcW w:w="635" w:type="pct"/>
            <w:tcBorders>
              <w:top w:val="single" w:color="auto" w:sz="4" w:space="0"/>
              <w:left w:val="single" w:color="auto" w:sz="4" w:space="0"/>
              <w:bottom w:val="single" w:color="auto" w:sz="4" w:space="0"/>
              <w:right w:val="single" w:color="auto" w:sz="4" w:space="0"/>
            </w:tcBorders>
            <w:vAlign w:val="center"/>
          </w:tcPr>
          <w:p w14:paraId="67B43657">
            <w:pPr>
              <w:pStyle w:val="65"/>
              <w:rPr>
                <w:color w:val="auto"/>
              </w:rPr>
            </w:pPr>
            <w:r>
              <w:rPr>
                <w:rFonts w:hint="eastAsia"/>
                <w:color w:val="auto"/>
              </w:rPr>
              <w:t>施工期废水处理后，全部回用，不外排；对周边地表水影响较小。</w:t>
            </w:r>
          </w:p>
        </w:tc>
        <w:tc>
          <w:tcPr>
            <w:tcW w:w="1523" w:type="pct"/>
            <w:tcBorders>
              <w:top w:val="single" w:color="auto" w:sz="4" w:space="0"/>
              <w:left w:val="single" w:color="auto" w:sz="4" w:space="0"/>
              <w:bottom w:val="single" w:color="auto" w:sz="4" w:space="0"/>
              <w:right w:val="single" w:color="auto" w:sz="4" w:space="0"/>
            </w:tcBorders>
            <w:vAlign w:val="center"/>
          </w:tcPr>
          <w:p w14:paraId="079595AE">
            <w:pPr>
              <w:pStyle w:val="65"/>
              <w:jc w:val="both"/>
              <w:rPr>
                <w:color w:val="auto"/>
              </w:rPr>
            </w:pPr>
            <w:r>
              <w:rPr>
                <w:rFonts w:hint="eastAsia"/>
                <w:color w:val="auto"/>
              </w:rPr>
              <w:t>光伏组件清洗废水通过光伏组件落入场地土壤中，用于光伏场区植被绿化。</w:t>
            </w:r>
          </w:p>
        </w:tc>
        <w:tc>
          <w:tcPr>
            <w:tcW w:w="736" w:type="pct"/>
            <w:tcBorders>
              <w:top w:val="single" w:color="auto" w:sz="4" w:space="0"/>
              <w:left w:val="single" w:color="auto" w:sz="4" w:space="0"/>
              <w:bottom w:val="single" w:color="auto" w:sz="4" w:space="0"/>
              <w:right w:val="single" w:color="auto" w:sz="4" w:space="0"/>
            </w:tcBorders>
            <w:vAlign w:val="center"/>
          </w:tcPr>
          <w:p w14:paraId="109BE12C">
            <w:pPr>
              <w:pStyle w:val="65"/>
              <w:rPr>
                <w:color w:val="auto"/>
              </w:rPr>
            </w:pPr>
            <w:r>
              <w:rPr>
                <w:rFonts w:hint="eastAsia"/>
                <w:color w:val="auto"/>
              </w:rPr>
              <w:t>/</w:t>
            </w:r>
          </w:p>
        </w:tc>
      </w:tr>
      <w:tr w14:paraId="58E89A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4CAC6993">
            <w:pPr>
              <w:pStyle w:val="65"/>
              <w:rPr>
                <w:color w:val="auto"/>
              </w:rPr>
            </w:pPr>
            <w:r>
              <w:rPr>
                <w:rFonts w:hint="eastAsia"/>
                <w:color w:val="auto"/>
              </w:rPr>
              <w:t>地下水及土壤环境</w:t>
            </w:r>
          </w:p>
        </w:tc>
        <w:tc>
          <w:tcPr>
            <w:tcW w:w="1651" w:type="pct"/>
            <w:tcBorders>
              <w:top w:val="single" w:color="auto" w:sz="4" w:space="0"/>
              <w:left w:val="single" w:color="auto" w:sz="4" w:space="0"/>
              <w:bottom w:val="single" w:color="auto" w:sz="4" w:space="0"/>
              <w:right w:val="single" w:color="auto" w:sz="4" w:space="0"/>
            </w:tcBorders>
            <w:vAlign w:val="center"/>
          </w:tcPr>
          <w:p w14:paraId="0D5B0066">
            <w:pPr>
              <w:pStyle w:val="65"/>
              <w:rPr>
                <w:color w:val="auto"/>
              </w:rPr>
            </w:pPr>
            <w:r>
              <w:rPr>
                <w:color w:val="auto"/>
              </w:rPr>
              <w:t>/</w:t>
            </w:r>
          </w:p>
        </w:tc>
        <w:tc>
          <w:tcPr>
            <w:tcW w:w="635" w:type="pct"/>
            <w:tcBorders>
              <w:top w:val="single" w:color="auto" w:sz="4" w:space="0"/>
              <w:left w:val="single" w:color="auto" w:sz="4" w:space="0"/>
              <w:bottom w:val="single" w:color="auto" w:sz="4" w:space="0"/>
              <w:right w:val="single" w:color="auto" w:sz="4" w:space="0"/>
            </w:tcBorders>
            <w:vAlign w:val="center"/>
          </w:tcPr>
          <w:p w14:paraId="772B1448">
            <w:pPr>
              <w:pStyle w:val="65"/>
              <w:rPr>
                <w:color w:val="auto"/>
              </w:rPr>
            </w:pPr>
            <w:r>
              <w:rPr>
                <w:color w:val="auto"/>
              </w:rPr>
              <w:t>/</w:t>
            </w:r>
          </w:p>
        </w:tc>
        <w:tc>
          <w:tcPr>
            <w:tcW w:w="1523" w:type="pct"/>
            <w:tcBorders>
              <w:top w:val="single" w:color="auto" w:sz="4" w:space="0"/>
              <w:left w:val="single" w:color="auto" w:sz="4" w:space="0"/>
              <w:bottom w:val="single" w:color="auto" w:sz="4" w:space="0"/>
              <w:right w:val="single" w:color="auto" w:sz="4" w:space="0"/>
            </w:tcBorders>
            <w:vAlign w:val="center"/>
          </w:tcPr>
          <w:p w14:paraId="4AB5F615">
            <w:pPr>
              <w:pStyle w:val="65"/>
              <w:rPr>
                <w:color w:val="auto"/>
              </w:rPr>
            </w:pPr>
            <w:r>
              <w:rPr>
                <w:color w:val="auto"/>
              </w:rPr>
              <w:t xml:space="preserve">/ </w:t>
            </w:r>
          </w:p>
        </w:tc>
        <w:tc>
          <w:tcPr>
            <w:tcW w:w="736" w:type="pct"/>
            <w:tcBorders>
              <w:top w:val="single" w:color="auto" w:sz="4" w:space="0"/>
              <w:left w:val="single" w:color="auto" w:sz="4" w:space="0"/>
              <w:bottom w:val="single" w:color="auto" w:sz="4" w:space="0"/>
              <w:right w:val="single" w:color="auto" w:sz="4" w:space="0"/>
            </w:tcBorders>
            <w:vAlign w:val="center"/>
          </w:tcPr>
          <w:p w14:paraId="41AE5B12">
            <w:pPr>
              <w:pStyle w:val="65"/>
              <w:rPr>
                <w:color w:val="auto"/>
              </w:rPr>
            </w:pPr>
            <w:r>
              <w:rPr>
                <w:color w:val="auto"/>
              </w:rPr>
              <w:t>/</w:t>
            </w:r>
          </w:p>
        </w:tc>
      </w:tr>
      <w:tr w14:paraId="226FA9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6E784B97">
            <w:pPr>
              <w:pStyle w:val="65"/>
              <w:rPr>
                <w:color w:val="auto"/>
              </w:rPr>
            </w:pPr>
            <w:r>
              <w:rPr>
                <w:rFonts w:hint="eastAsia"/>
                <w:color w:val="auto"/>
              </w:rPr>
              <w:t>声环境</w:t>
            </w:r>
          </w:p>
        </w:tc>
        <w:tc>
          <w:tcPr>
            <w:tcW w:w="1651" w:type="pct"/>
            <w:tcBorders>
              <w:top w:val="single" w:color="auto" w:sz="4" w:space="0"/>
              <w:left w:val="single" w:color="auto" w:sz="4" w:space="0"/>
              <w:bottom w:val="single" w:color="auto" w:sz="4" w:space="0"/>
              <w:right w:val="single" w:color="auto" w:sz="4" w:space="0"/>
            </w:tcBorders>
            <w:vAlign w:val="center"/>
          </w:tcPr>
          <w:p w14:paraId="17F8C875">
            <w:pPr>
              <w:pStyle w:val="65"/>
              <w:jc w:val="both"/>
              <w:rPr>
                <w:color w:val="auto"/>
              </w:rPr>
            </w:pPr>
            <w:r>
              <w:rPr>
                <w:rFonts w:hint="eastAsia"/>
                <w:color w:val="auto"/>
              </w:rPr>
              <w:t>（</w:t>
            </w:r>
            <w:r>
              <w:rPr>
                <w:color w:val="auto"/>
              </w:rPr>
              <w:t>1</w:t>
            </w:r>
            <w:r>
              <w:rPr>
                <w:rFonts w:hint="eastAsia"/>
                <w:color w:val="auto"/>
              </w:rPr>
              <w:t>）施工场地布设远离敏感点，提前合理计划施工机械的布置，将主要噪声源尽量远离厂界。</w:t>
            </w:r>
          </w:p>
          <w:p w14:paraId="3E2EF9DC">
            <w:pPr>
              <w:pStyle w:val="65"/>
              <w:jc w:val="both"/>
              <w:rPr>
                <w:color w:val="auto"/>
              </w:rPr>
            </w:pPr>
            <w:r>
              <w:rPr>
                <w:rFonts w:hint="eastAsia"/>
                <w:color w:val="auto"/>
              </w:rPr>
              <w:t>（</w:t>
            </w:r>
            <w:r>
              <w:rPr>
                <w:color w:val="auto"/>
              </w:rPr>
              <w:t>2</w:t>
            </w:r>
            <w:r>
              <w:rPr>
                <w:rFonts w:hint="eastAsia"/>
                <w:color w:val="auto"/>
              </w:rPr>
              <w:t>）施工单位应设专人对施工设备进行定期保养和维护，并负责对现场工作人员进行培训，以便使每个员工严格按操作规范使用各类机械，减少由于施工机械使用不当而产生的噪声。</w:t>
            </w:r>
          </w:p>
          <w:p w14:paraId="2B344018">
            <w:pPr>
              <w:pStyle w:val="65"/>
              <w:jc w:val="both"/>
              <w:rPr>
                <w:color w:val="auto"/>
              </w:rPr>
            </w:pPr>
            <w:r>
              <w:rPr>
                <w:rFonts w:hint="eastAsia"/>
                <w:color w:val="auto"/>
              </w:rPr>
              <w:t>（</w:t>
            </w:r>
            <w:r>
              <w:rPr>
                <w:color w:val="auto"/>
              </w:rPr>
              <w:t>3</w:t>
            </w:r>
            <w:r>
              <w:rPr>
                <w:rFonts w:hint="eastAsia"/>
                <w:color w:val="auto"/>
              </w:rPr>
              <w:t>）合理安排施工计划、施工机械设备组合以及施工时间。施工期间施工尽量安排在白天（上午</w:t>
            </w:r>
            <w:r>
              <w:rPr>
                <w:color w:val="auto"/>
              </w:rPr>
              <w:t>7:00~</w:t>
            </w:r>
            <w:r>
              <w:rPr>
                <w:rFonts w:hint="eastAsia"/>
                <w:color w:val="auto"/>
              </w:rPr>
              <w:t>下午</w:t>
            </w:r>
            <w:r>
              <w:rPr>
                <w:color w:val="auto"/>
              </w:rPr>
              <w:t>22:00</w:t>
            </w:r>
            <w:r>
              <w:rPr>
                <w:rFonts w:hint="eastAsia"/>
                <w:color w:val="auto"/>
              </w:rPr>
              <w:t>）进行，禁止在夜间（下午</w:t>
            </w:r>
            <w:r>
              <w:rPr>
                <w:color w:val="auto"/>
              </w:rPr>
              <w:t>22:00~</w:t>
            </w:r>
            <w:r>
              <w:rPr>
                <w:rFonts w:hint="eastAsia"/>
                <w:color w:val="auto"/>
              </w:rPr>
              <w:t>次日上午</w:t>
            </w:r>
            <w:r>
              <w:rPr>
                <w:color w:val="auto"/>
              </w:rPr>
              <w:t>6:00</w:t>
            </w:r>
            <w:r>
              <w:rPr>
                <w:rFonts w:hint="eastAsia"/>
                <w:color w:val="auto"/>
              </w:rPr>
              <w:t>）进行建筑施工作业，但抢修、抢险作业和因混凝土浇灌、桩基冲孔、钻孔桩成型等生产工艺需要连续作业的除外。确需夜间施工的，须报工地所在的区环保局备案，并公告周边居民。</w:t>
            </w:r>
          </w:p>
        </w:tc>
        <w:tc>
          <w:tcPr>
            <w:tcW w:w="635" w:type="pct"/>
            <w:tcBorders>
              <w:top w:val="single" w:color="auto" w:sz="4" w:space="0"/>
              <w:left w:val="single" w:color="auto" w:sz="4" w:space="0"/>
              <w:bottom w:val="single" w:color="auto" w:sz="4" w:space="0"/>
              <w:right w:val="single" w:color="auto" w:sz="4" w:space="0"/>
            </w:tcBorders>
            <w:vAlign w:val="center"/>
          </w:tcPr>
          <w:p w14:paraId="0E8BA406">
            <w:pPr>
              <w:pStyle w:val="65"/>
              <w:rPr>
                <w:color w:val="auto"/>
              </w:rPr>
            </w:pPr>
            <w:r>
              <w:rPr>
                <w:rFonts w:hint="eastAsia"/>
                <w:color w:val="auto"/>
              </w:rPr>
              <w:t>厂界达到《建筑施工噪声排放标准》（</w:t>
            </w:r>
            <w:r>
              <w:rPr>
                <w:color w:val="auto"/>
              </w:rPr>
              <w:t>GB 12523-20</w:t>
            </w:r>
            <w:r>
              <w:rPr>
                <w:rFonts w:hint="eastAsia"/>
                <w:color w:val="auto"/>
              </w:rPr>
              <w:t>25）标准；敏感点达到《声环境质量标准》（</w:t>
            </w:r>
            <w:r>
              <w:rPr>
                <w:color w:val="auto"/>
              </w:rPr>
              <w:t>GB 3096-2008</w:t>
            </w:r>
            <w:r>
              <w:rPr>
                <w:rFonts w:hint="eastAsia"/>
                <w:color w:val="auto"/>
              </w:rPr>
              <w:t>）标准；施工期影像资料、环境监理报告</w:t>
            </w:r>
          </w:p>
        </w:tc>
        <w:tc>
          <w:tcPr>
            <w:tcW w:w="1523" w:type="pct"/>
            <w:tcBorders>
              <w:top w:val="single" w:color="auto" w:sz="4" w:space="0"/>
              <w:left w:val="single" w:color="auto" w:sz="4" w:space="0"/>
              <w:bottom w:val="single" w:color="auto" w:sz="4" w:space="0"/>
              <w:right w:val="single" w:color="auto" w:sz="4" w:space="0"/>
            </w:tcBorders>
            <w:vAlign w:val="center"/>
          </w:tcPr>
          <w:p w14:paraId="1E2042B6">
            <w:pPr>
              <w:pStyle w:val="65"/>
              <w:rPr>
                <w:color w:val="auto"/>
              </w:rPr>
            </w:pPr>
            <w:r>
              <w:rPr>
                <w:rFonts w:hint="eastAsia"/>
                <w:color w:val="auto"/>
              </w:rPr>
              <w:t>运营期</w:t>
            </w:r>
            <w:r>
              <w:rPr>
                <w:color w:val="auto"/>
              </w:rPr>
              <w:t>35kV</w:t>
            </w:r>
            <w:r>
              <w:rPr>
                <w:rFonts w:hint="eastAsia"/>
                <w:color w:val="auto"/>
              </w:rPr>
              <w:t>箱式变压器、逆变器选用低噪声类型设备，均设置外壳隔声；设备底部基础安装减振垫。</w:t>
            </w:r>
          </w:p>
        </w:tc>
        <w:tc>
          <w:tcPr>
            <w:tcW w:w="736" w:type="pct"/>
            <w:tcBorders>
              <w:top w:val="single" w:color="auto" w:sz="4" w:space="0"/>
              <w:left w:val="single" w:color="auto" w:sz="4" w:space="0"/>
              <w:bottom w:val="single" w:color="auto" w:sz="4" w:space="0"/>
              <w:right w:val="single" w:color="auto" w:sz="4" w:space="0"/>
            </w:tcBorders>
            <w:vAlign w:val="center"/>
          </w:tcPr>
          <w:p w14:paraId="56AC135D">
            <w:pPr>
              <w:pStyle w:val="65"/>
              <w:rPr>
                <w:color w:val="auto"/>
              </w:rPr>
            </w:pPr>
            <w:r>
              <w:rPr>
                <w:rFonts w:hint="eastAsia"/>
                <w:color w:val="auto"/>
              </w:rPr>
              <w:t>光伏板区厂界噪声满足《工业企业厂界环境噪声排放标准》（</w:t>
            </w:r>
            <w:r>
              <w:rPr>
                <w:color w:val="auto"/>
              </w:rPr>
              <w:t>GB12348-2008</w:t>
            </w:r>
            <w:r>
              <w:rPr>
                <w:rFonts w:hint="eastAsia"/>
                <w:color w:val="auto"/>
              </w:rPr>
              <w:t>）中的</w:t>
            </w:r>
            <w:r>
              <w:rPr>
                <w:color w:val="auto"/>
              </w:rPr>
              <w:t>1</w:t>
            </w:r>
            <w:r>
              <w:rPr>
                <w:rFonts w:hint="eastAsia"/>
                <w:color w:val="auto"/>
              </w:rPr>
              <w:t>类标准。</w:t>
            </w:r>
          </w:p>
        </w:tc>
      </w:tr>
      <w:tr w14:paraId="7C2D7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30B568DC">
            <w:pPr>
              <w:pStyle w:val="65"/>
              <w:rPr>
                <w:color w:val="auto"/>
              </w:rPr>
            </w:pPr>
            <w:r>
              <w:rPr>
                <w:rFonts w:hint="eastAsia"/>
                <w:color w:val="auto"/>
              </w:rPr>
              <w:t>振动</w:t>
            </w:r>
          </w:p>
        </w:tc>
        <w:tc>
          <w:tcPr>
            <w:tcW w:w="1651" w:type="pct"/>
            <w:tcBorders>
              <w:top w:val="single" w:color="auto" w:sz="4" w:space="0"/>
              <w:left w:val="single" w:color="auto" w:sz="4" w:space="0"/>
              <w:bottom w:val="single" w:color="auto" w:sz="4" w:space="0"/>
              <w:right w:val="single" w:color="auto" w:sz="4" w:space="0"/>
            </w:tcBorders>
            <w:vAlign w:val="center"/>
          </w:tcPr>
          <w:p w14:paraId="3A84938B">
            <w:pPr>
              <w:pStyle w:val="65"/>
              <w:rPr>
                <w:color w:val="auto"/>
              </w:rPr>
            </w:pPr>
            <w:r>
              <w:rPr>
                <w:color w:val="auto"/>
              </w:rPr>
              <w:t>/</w:t>
            </w:r>
          </w:p>
        </w:tc>
        <w:tc>
          <w:tcPr>
            <w:tcW w:w="635" w:type="pct"/>
            <w:tcBorders>
              <w:top w:val="single" w:color="auto" w:sz="4" w:space="0"/>
              <w:left w:val="single" w:color="auto" w:sz="4" w:space="0"/>
              <w:bottom w:val="single" w:color="auto" w:sz="4" w:space="0"/>
              <w:right w:val="single" w:color="auto" w:sz="4" w:space="0"/>
            </w:tcBorders>
            <w:vAlign w:val="center"/>
          </w:tcPr>
          <w:p w14:paraId="0B1D0A40">
            <w:pPr>
              <w:pStyle w:val="65"/>
              <w:rPr>
                <w:color w:val="auto"/>
              </w:rPr>
            </w:pPr>
            <w:r>
              <w:rPr>
                <w:color w:val="auto"/>
              </w:rPr>
              <w:t>/</w:t>
            </w:r>
          </w:p>
        </w:tc>
        <w:tc>
          <w:tcPr>
            <w:tcW w:w="1523" w:type="pct"/>
            <w:tcBorders>
              <w:top w:val="single" w:color="auto" w:sz="4" w:space="0"/>
              <w:left w:val="single" w:color="auto" w:sz="4" w:space="0"/>
              <w:bottom w:val="single" w:color="auto" w:sz="4" w:space="0"/>
              <w:right w:val="single" w:color="auto" w:sz="4" w:space="0"/>
            </w:tcBorders>
            <w:vAlign w:val="center"/>
          </w:tcPr>
          <w:p w14:paraId="741EE90D">
            <w:pPr>
              <w:pStyle w:val="65"/>
              <w:rPr>
                <w:color w:val="auto"/>
              </w:rPr>
            </w:pPr>
            <w:r>
              <w:rPr>
                <w:color w:val="auto"/>
              </w:rPr>
              <w:t>/</w:t>
            </w:r>
          </w:p>
        </w:tc>
        <w:tc>
          <w:tcPr>
            <w:tcW w:w="736" w:type="pct"/>
            <w:tcBorders>
              <w:top w:val="single" w:color="auto" w:sz="4" w:space="0"/>
              <w:left w:val="single" w:color="auto" w:sz="4" w:space="0"/>
              <w:bottom w:val="single" w:color="auto" w:sz="4" w:space="0"/>
              <w:right w:val="single" w:color="auto" w:sz="4" w:space="0"/>
            </w:tcBorders>
            <w:vAlign w:val="center"/>
          </w:tcPr>
          <w:p w14:paraId="60DF9394">
            <w:pPr>
              <w:pStyle w:val="65"/>
              <w:rPr>
                <w:color w:val="auto"/>
              </w:rPr>
            </w:pPr>
            <w:r>
              <w:rPr>
                <w:color w:val="auto"/>
              </w:rPr>
              <w:t>/</w:t>
            </w:r>
          </w:p>
        </w:tc>
      </w:tr>
      <w:tr w14:paraId="15CEB9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776EB12A">
            <w:pPr>
              <w:pStyle w:val="65"/>
              <w:rPr>
                <w:color w:val="auto"/>
              </w:rPr>
            </w:pPr>
            <w:r>
              <w:rPr>
                <w:rFonts w:hint="eastAsia"/>
                <w:color w:val="auto"/>
              </w:rPr>
              <w:t>大气环境</w:t>
            </w:r>
          </w:p>
        </w:tc>
        <w:tc>
          <w:tcPr>
            <w:tcW w:w="1651" w:type="pct"/>
            <w:tcBorders>
              <w:top w:val="single" w:color="auto" w:sz="4" w:space="0"/>
              <w:left w:val="single" w:color="auto" w:sz="4" w:space="0"/>
              <w:bottom w:val="single" w:color="auto" w:sz="4" w:space="0"/>
              <w:right w:val="single" w:color="auto" w:sz="4" w:space="0"/>
            </w:tcBorders>
            <w:vAlign w:val="center"/>
          </w:tcPr>
          <w:p w14:paraId="6C8F995B">
            <w:pPr>
              <w:pStyle w:val="65"/>
              <w:jc w:val="both"/>
              <w:rPr>
                <w:color w:val="auto"/>
              </w:rPr>
            </w:pPr>
            <w:r>
              <w:rPr>
                <w:rFonts w:hint="eastAsia"/>
                <w:color w:val="auto"/>
              </w:rPr>
              <w:t>（</w:t>
            </w:r>
            <w:r>
              <w:rPr>
                <w:color w:val="auto"/>
              </w:rPr>
              <w:t>1</w:t>
            </w:r>
            <w:r>
              <w:rPr>
                <w:rFonts w:hint="eastAsia"/>
                <w:color w:val="auto"/>
              </w:rPr>
              <w:t>）分段进行施工，尽量缩小施工范围，夜间不施工。</w:t>
            </w:r>
          </w:p>
          <w:p w14:paraId="5BFB3710">
            <w:pPr>
              <w:pStyle w:val="65"/>
              <w:jc w:val="both"/>
              <w:rPr>
                <w:color w:val="auto"/>
              </w:rPr>
            </w:pPr>
            <w:r>
              <w:rPr>
                <w:rFonts w:hint="eastAsia"/>
                <w:color w:val="auto"/>
              </w:rPr>
              <w:t>（</w:t>
            </w:r>
            <w:r>
              <w:rPr>
                <w:color w:val="auto"/>
              </w:rPr>
              <w:t>2</w:t>
            </w:r>
            <w:r>
              <w:rPr>
                <w:rFonts w:hint="eastAsia"/>
                <w:color w:val="auto"/>
              </w:rPr>
              <w:t>）开挖过程中，洒水使作业保持一定的湿度：对施工场地内松散、干涸的表土，也应经常洒水防治粉尘；回填土方时，在表层土质干燥时应适当洒水，防止粉尘飞扬。</w:t>
            </w:r>
          </w:p>
          <w:p w14:paraId="4F7C3628">
            <w:pPr>
              <w:pStyle w:val="65"/>
              <w:jc w:val="both"/>
              <w:rPr>
                <w:color w:val="auto"/>
              </w:rPr>
            </w:pPr>
            <w:r>
              <w:rPr>
                <w:rFonts w:hint="eastAsia"/>
                <w:color w:val="auto"/>
              </w:rPr>
              <w:t>（</w:t>
            </w:r>
            <w:r>
              <w:rPr>
                <w:color w:val="auto"/>
              </w:rPr>
              <w:t>3</w:t>
            </w:r>
            <w:r>
              <w:rPr>
                <w:rFonts w:hint="eastAsia"/>
                <w:color w:val="auto"/>
              </w:rPr>
              <w:t>）配备洒水车，对各施工场地经常洒水。</w:t>
            </w:r>
          </w:p>
          <w:p w14:paraId="6B367219">
            <w:pPr>
              <w:pStyle w:val="65"/>
              <w:jc w:val="both"/>
              <w:rPr>
                <w:color w:val="auto"/>
              </w:rPr>
            </w:pPr>
            <w:r>
              <w:rPr>
                <w:rFonts w:hint="eastAsia"/>
                <w:color w:val="auto"/>
              </w:rPr>
              <w:t>（</w:t>
            </w:r>
            <w:r>
              <w:rPr>
                <w:color w:val="auto"/>
              </w:rPr>
              <w:t>4</w:t>
            </w:r>
            <w:r>
              <w:rPr>
                <w:rFonts w:hint="eastAsia"/>
                <w:color w:val="auto"/>
              </w:rPr>
              <w:t>）施工期环保对策措施的执行与落实纳入施工监理专项工作，施工期环保管理人员对策措施执行情况及效果进行巡查，发现环境污染、投诉和纠纷等问题，及时上报并妥善和合理解决。</w:t>
            </w:r>
          </w:p>
          <w:p w14:paraId="22C4138F">
            <w:pPr>
              <w:pStyle w:val="65"/>
              <w:jc w:val="both"/>
              <w:rPr>
                <w:color w:val="auto"/>
              </w:rPr>
            </w:pPr>
            <w:r>
              <w:rPr>
                <w:rFonts w:hint="eastAsia"/>
                <w:color w:val="auto"/>
              </w:rPr>
              <w:t>（</w:t>
            </w:r>
            <w:r>
              <w:rPr>
                <w:color w:val="auto"/>
              </w:rPr>
              <w:t>5</w:t>
            </w:r>
            <w:r>
              <w:rPr>
                <w:rFonts w:hint="eastAsia"/>
                <w:color w:val="auto"/>
              </w:rPr>
              <w:t>）表土临时堆存、砂石料临时堆放采用土工布或防尘网遮盖，定期洒水降尘，表土临时堆存、砂石料临时堆放场地均布置在光伏方阵空地区内，不新增占地面积，不得占用永久基本农田和生态保护红线等生态敏感区。</w:t>
            </w:r>
          </w:p>
        </w:tc>
        <w:tc>
          <w:tcPr>
            <w:tcW w:w="635" w:type="pct"/>
            <w:tcBorders>
              <w:top w:val="single" w:color="auto" w:sz="4" w:space="0"/>
              <w:left w:val="single" w:color="auto" w:sz="4" w:space="0"/>
              <w:bottom w:val="single" w:color="auto" w:sz="4" w:space="0"/>
              <w:right w:val="single" w:color="auto" w:sz="4" w:space="0"/>
            </w:tcBorders>
            <w:vAlign w:val="center"/>
          </w:tcPr>
          <w:p w14:paraId="572F0CC5">
            <w:pPr>
              <w:pStyle w:val="65"/>
              <w:rPr>
                <w:color w:val="auto"/>
              </w:rPr>
            </w:pPr>
            <w:r>
              <w:rPr>
                <w:rFonts w:hint="eastAsia"/>
                <w:color w:val="auto"/>
              </w:rPr>
              <w:t>施工期影像资料、环境监理报告</w:t>
            </w:r>
          </w:p>
        </w:tc>
        <w:tc>
          <w:tcPr>
            <w:tcW w:w="1523" w:type="pct"/>
            <w:tcBorders>
              <w:top w:val="single" w:color="auto" w:sz="4" w:space="0"/>
              <w:left w:val="single" w:color="auto" w:sz="4" w:space="0"/>
              <w:bottom w:val="single" w:color="auto" w:sz="4" w:space="0"/>
              <w:right w:val="single" w:color="auto" w:sz="4" w:space="0"/>
            </w:tcBorders>
            <w:vAlign w:val="center"/>
          </w:tcPr>
          <w:p w14:paraId="4309C7C5">
            <w:pPr>
              <w:pStyle w:val="65"/>
              <w:rPr>
                <w:color w:val="auto"/>
              </w:rPr>
            </w:pPr>
            <w:r>
              <w:rPr>
                <w:color w:val="auto"/>
              </w:rPr>
              <w:t>/</w:t>
            </w:r>
          </w:p>
        </w:tc>
        <w:tc>
          <w:tcPr>
            <w:tcW w:w="736" w:type="pct"/>
            <w:tcBorders>
              <w:top w:val="single" w:color="auto" w:sz="4" w:space="0"/>
              <w:left w:val="single" w:color="auto" w:sz="4" w:space="0"/>
              <w:bottom w:val="single" w:color="auto" w:sz="4" w:space="0"/>
              <w:right w:val="single" w:color="auto" w:sz="4" w:space="0"/>
            </w:tcBorders>
            <w:vAlign w:val="center"/>
          </w:tcPr>
          <w:p w14:paraId="6941A11D">
            <w:pPr>
              <w:pStyle w:val="65"/>
              <w:rPr>
                <w:color w:val="auto"/>
              </w:rPr>
            </w:pPr>
            <w:r>
              <w:rPr>
                <w:color w:val="auto"/>
              </w:rPr>
              <w:t>/</w:t>
            </w:r>
          </w:p>
        </w:tc>
      </w:tr>
      <w:tr w14:paraId="2E9A0D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36AED617">
            <w:pPr>
              <w:pStyle w:val="65"/>
              <w:rPr>
                <w:color w:val="auto"/>
              </w:rPr>
            </w:pPr>
            <w:r>
              <w:rPr>
                <w:rFonts w:hint="eastAsia"/>
                <w:color w:val="auto"/>
              </w:rPr>
              <w:t>固体废物</w:t>
            </w:r>
          </w:p>
        </w:tc>
        <w:tc>
          <w:tcPr>
            <w:tcW w:w="1651" w:type="pct"/>
            <w:tcBorders>
              <w:top w:val="single" w:color="auto" w:sz="4" w:space="0"/>
              <w:left w:val="single" w:color="auto" w:sz="4" w:space="0"/>
              <w:bottom w:val="single" w:color="auto" w:sz="4" w:space="0"/>
              <w:right w:val="single" w:color="auto" w:sz="4" w:space="0"/>
            </w:tcBorders>
            <w:vAlign w:val="center"/>
          </w:tcPr>
          <w:p w14:paraId="6C57F67C">
            <w:pPr>
              <w:pStyle w:val="65"/>
              <w:jc w:val="both"/>
              <w:rPr>
                <w:color w:val="auto"/>
              </w:rPr>
            </w:pPr>
            <w:r>
              <w:rPr>
                <w:rFonts w:hint="eastAsia"/>
                <w:color w:val="auto"/>
              </w:rPr>
              <w:t>（</w:t>
            </w:r>
            <w:r>
              <w:rPr>
                <w:color w:val="auto"/>
              </w:rPr>
              <w:t>1</w:t>
            </w:r>
            <w:r>
              <w:rPr>
                <w:rFonts w:hint="eastAsia"/>
                <w:color w:val="auto"/>
              </w:rPr>
              <w:t>）建筑垃圾主要为废钢筋、废混凝土等，项目内产生的建筑垃圾经分拣、剔除或粉碎后，大多是可以作为再生资源重新利用的，如废钢筋、废铁丝和各种废钢配件等收集后回收利用。废混凝土、废砖块等不可回收利用的由建筑垃圾处置单位运输至主管部门规定地点进行处置。</w:t>
            </w:r>
          </w:p>
          <w:p w14:paraId="0597F3DA">
            <w:pPr>
              <w:pStyle w:val="65"/>
              <w:jc w:val="both"/>
              <w:rPr>
                <w:color w:val="auto"/>
              </w:rPr>
            </w:pPr>
            <w:r>
              <w:rPr>
                <w:rFonts w:hint="eastAsia"/>
                <w:color w:val="auto"/>
              </w:rPr>
              <w:t>（</w:t>
            </w:r>
            <w:r>
              <w:rPr>
                <w:color w:val="auto"/>
              </w:rPr>
              <w:t>2</w:t>
            </w:r>
            <w:r>
              <w:rPr>
                <w:rFonts w:hint="eastAsia"/>
                <w:color w:val="auto"/>
              </w:rPr>
              <w:t>）施工人员临时居住、办公等场地均采用租用民房解决，施工期生活垃圾依托当地民房自有垃圾清运系统，交由就近环卫站统一清运处理。</w:t>
            </w:r>
          </w:p>
        </w:tc>
        <w:tc>
          <w:tcPr>
            <w:tcW w:w="635" w:type="pct"/>
            <w:tcBorders>
              <w:top w:val="single" w:color="auto" w:sz="4" w:space="0"/>
              <w:left w:val="single" w:color="auto" w:sz="4" w:space="0"/>
              <w:bottom w:val="single" w:color="auto" w:sz="4" w:space="0"/>
              <w:right w:val="single" w:color="auto" w:sz="4" w:space="0"/>
            </w:tcBorders>
            <w:vAlign w:val="center"/>
          </w:tcPr>
          <w:p w14:paraId="3172AEF7">
            <w:pPr>
              <w:pStyle w:val="65"/>
              <w:rPr>
                <w:color w:val="auto"/>
              </w:rPr>
            </w:pPr>
            <w:r>
              <w:rPr>
                <w:rFonts w:hint="eastAsia"/>
                <w:color w:val="auto"/>
              </w:rPr>
              <w:t>固废处置率</w:t>
            </w:r>
            <w:r>
              <w:rPr>
                <w:color w:val="auto"/>
              </w:rPr>
              <w:t>100%</w:t>
            </w:r>
            <w:r>
              <w:rPr>
                <w:rFonts w:hint="eastAsia"/>
                <w:color w:val="auto"/>
              </w:rPr>
              <w:t>，无二次污染；施工期影像资料、环境监理报告</w:t>
            </w:r>
          </w:p>
        </w:tc>
        <w:tc>
          <w:tcPr>
            <w:tcW w:w="1523" w:type="pct"/>
            <w:tcBorders>
              <w:top w:val="single" w:color="auto" w:sz="4" w:space="0"/>
              <w:left w:val="single" w:color="auto" w:sz="4" w:space="0"/>
              <w:bottom w:val="single" w:color="auto" w:sz="4" w:space="0"/>
              <w:right w:val="single" w:color="auto" w:sz="4" w:space="0"/>
            </w:tcBorders>
            <w:vAlign w:val="center"/>
          </w:tcPr>
          <w:p w14:paraId="17AEF91F">
            <w:pPr>
              <w:pStyle w:val="65"/>
              <w:jc w:val="both"/>
              <w:rPr>
                <w:color w:val="auto"/>
              </w:rPr>
            </w:pPr>
            <w:r>
              <w:rPr>
                <w:color w:val="auto"/>
              </w:rPr>
              <w:t>（1）</w:t>
            </w:r>
            <w:r>
              <w:rPr>
                <w:rFonts w:hint="eastAsia"/>
                <w:color w:val="auto"/>
              </w:rPr>
              <w:t>本工程依托德安升压站内设置的废物储存间（面积约为36m</w:t>
            </w:r>
            <w:r>
              <w:rPr>
                <w:rFonts w:hint="eastAsia"/>
                <w:color w:val="auto"/>
                <w:vertAlign w:val="superscript"/>
              </w:rPr>
              <w:t>2</w:t>
            </w:r>
            <w:r>
              <w:rPr>
                <w:rFonts w:hint="eastAsia"/>
                <w:color w:val="auto"/>
              </w:rPr>
              <w:t>），用来暂存废弃光伏组件、废逆变器，由专业的回收厂家收购处理；</w:t>
            </w:r>
          </w:p>
          <w:p w14:paraId="2E97E75D">
            <w:pPr>
              <w:pStyle w:val="65"/>
              <w:jc w:val="both"/>
              <w:rPr>
                <w:color w:val="auto"/>
              </w:rPr>
            </w:pPr>
            <w:r>
              <w:rPr>
                <w:rFonts w:hint="eastAsia"/>
                <w:color w:val="auto"/>
              </w:rPr>
              <w:t>（2）本项目产生的含油抹布单独收集后按危废处理；</w:t>
            </w:r>
          </w:p>
          <w:p w14:paraId="1493B11B">
            <w:pPr>
              <w:pStyle w:val="65"/>
              <w:jc w:val="both"/>
              <w:rPr>
                <w:color w:val="auto"/>
              </w:rPr>
            </w:pPr>
            <w:r>
              <w:rPr>
                <w:rFonts w:hint="eastAsia"/>
                <w:color w:val="auto"/>
                <w:szCs w:val="21"/>
              </w:rPr>
              <w:t>（3）在每个箱变油箱排油口侧设置3m</w:t>
            </w:r>
            <w:r>
              <w:rPr>
                <w:rFonts w:hint="eastAsia"/>
                <w:color w:val="auto"/>
                <w:szCs w:val="21"/>
                <w:vertAlign w:val="superscript"/>
              </w:rPr>
              <w:t>3</w:t>
            </w:r>
            <w:r>
              <w:rPr>
                <w:rFonts w:hint="eastAsia"/>
                <w:color w:val="auto"/>
                <w:szCs w:val="21"/>
              </w:rPr>
              <w:t>箱变事故油池，</w:t>
            </w:r>
            <w:r>
              <w:rPr>
                <w:color w:val="auto"/>
                <w:szCs w:val="21"/>
              </w:rPr>
              <w:t>收集事故油。</w:t>
            </w:r>
          </w:p>
        </w:tc>
        <w:tc>
          <w:tcPr>
            <w:tcW w:w="736" w:type="pct"/>
            <w:tcBorders>
              <w:top w:val="single" w:color="auto" w:sz="4" w:space="0"/>
              <w:left w:val="single" w:color="auto" w:sz="4" w:space="0"/>
              <w:bottom w:val="single" w:color="auto" w:sz="4" w:space="0"/>
              <w:right w:val="single" w:color="auto" w:sz="4" w:space="0"/>
            </w:tcBorders>
            <w:vAlign w:val="center"/>
          </w:tcPr>
          <w:p w14:paraId="00FE15E1">
            <w:pPr>
              <w:pStyle w:val="65"/>
              <w:rPr>
                <w:color w:val="auto"/>
              </w:rPr>
            </w:pPr>
            <w:r>
              <w:rPr>
                <w:rFonts w:hint="eastAsia"/>
                <w:color w:val="auto"/>
              </w:rPr>
              <w:t>固废处置率</w:t>
            </w:r>
            <w:r>
              <w:rPr>
                <w:color w:val="auto"/>
              </w:rPr>
              <w:t>100%</w:t>
            </w:r>
            <w:r>
              <w:rPr>
                <w:rFonts w:hint="eastAsia"/>
                <w:color w:val="auto"/>
              </w:rPr>
              <w:t>，无二次污染。</w:t>
            </w:r>
          </w:p>
        </w:tc>
      </w:tr>
      <w:tr w14:paraId="7E72A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670A0932">
            <w:pPr>
              <w:pStyle w:val="65"/>
              <w:rPr>
                <w:color w:val="auto"/>
              </w:rPr>
            </w:pPr>
            <w:r>
              <w:rPr>
                <w:rFonts w:hint="eastAsia"/>
                <w:color w:val="auto"/>
              </w:rPr>
              <w:t>电磁环境</w:t>
            </w:r>
          </w:p>
        </w:tc>
        <w:tc>
          <w:tcPr>
            <w:tcW w:w="4546" w:type="pct"/>
            <w:gridSpan w:val="4"/>
            <w:tcBorders>
              <w:top w:val="single" w:color="auto" w:sz="4" w:space="0"/>
              <w:left w:val="single" w:color="auto" w:sz="4" w:space="0"/>
              <w:bottom w:val="single" w:color="auto" w:sz="4" w:space="0"/>
              <w:right w:val="single" w:color="auto" w:sz="4" w:space="0"/>
            </w:tcBorders>
            <w:vAlign w:val="center"/>
          </w:tcPr>
          <w:p w14:paraId="070FA67C">
            <w:pPr>
              <w:pStyle w:val="65"/>
              <w:rPr>
                <w:color w:val="auto"/>
              </w:rPr>
            </w:pPr>
            <w:r>
              <w:rPr>
                <w:rFonts w:hint="eastAsia"/>
                <w:color w:val="auto"/>
              </w:rPr>
              <w:t>/</w:t>
            </w:r>
          </w:p>
        </w:tc>
      </w:tr>
      <w:tr w14:paraId="0980C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0E8972E5">
            <w:pPr>
              <w:pStyle w:val="65"/>
              <w:rPr>
                <w:color w:val="auto"/>
              </w:rPr>
            </w:pPr>
            <w:r>
              <w:rPr>
                <w:rFonts w:hint="eastAsia"/>
                <w:color w:val="auto"/>
              </w:rPr>
              <w:t>环境风险</w:t>
            </w:r>
          </w:p>
        </w:tc>
        <w:tc>
          <w:tcPr>
            <w:tcW w:w="1651" w:type="pct"/>
            <w:tcBorders>
              <w:top w:val="single" w:color="auto" w:sz="4" w:space="0"/>
              <w:left w:val="single" w:color="auto" w:sz="4" w:space="0"/>
              <w:bottom w:val="single" w:color="auto" w:sz="4" w:space="0"/>
              <w:right w:val="single" w:color="auto" w:sz="4" w:space="0"/>
            </w:tcBorders>
            <w:vAlign w:val="center"/>
          </w:tcPr>
          <w:p w14:paraId="4A098166">
            <w:pPr>
              <w:pStyle w:val="65"/>
              <w:rPr>
                <w:color w:val="auto"/>
              </w:rPr>
            </w:pPr>
            <w:r>
              <w:rPr>
                <w:color w:val="auto"/>
              </w:rPr>
              <w:t>/</w:t>
            </w:r>
          </w:p>
        </w:tc>
        <w:tc>
          <w:tcPr>
            <w:tcW w:w="635" w:type="pct"/>
            <w:tcBorders>
              <w:top w:val="single" w:color="auto" w:sz="4" w:space="0"/>
              <w:left w:val="single" w:color="auto" w:sz="4" w:space="0"/>
              <w:bottom w:val="single" w:color="auto" w:sz="4" w:space="0"/>
              <w:right w:val="single" w:color="auto" w:sz="4" w:space="0"/>
            </w:tcBorders>
            <w:vAlign w:val="center"/>
          </w:tcPr>
          <w:p w14:paraId="69B60776">
            <w:pPr>
              <w:pStyle w:val="65"/>
              <w:rPr>
                <w:color w:val="auto"/>
              </w:rPr>
            </w:pPr>
            <w:r>
              <w:rPr>
                <w:color w:val="auto"/>
              </w:rPr>
              <w:t>/</w:t>
            </w:r>
          </w:p>
        </w:tc>
        <w:tc>
          <w:tcPr>
            <w:tcW w:w="1523" w:type="pct"/>
            <w:tcBorders>
              <w:top w:val="single" w:color="auto" w:sz="4" w:space="0"/>
              <w:left w:val="single" w:color="auto" w:sz="4" w:space="0"/>
              <w:bottom w:val="single" w:color="auto" w:sz="4" w:space="0"/>
              <w:right w:val="single" w:color="auto" w:sz="4" w:space="0"/>
            </w:tcBorders>
            <w:vAlign w:val="center"/>
          </w:tcPr>
          <w:p w14:paraId="074918CE">
            <w:pPr>
              <w:pStyle w:val="65"/>
              <w:rPr>
                <w:color w:val="auto"/>
              </w:rPr>
            </w:pPr>
            <w:r>
              <w:rPr>
                <w:rFonts w:hint="eastAsia"/>
                <w:color w:val="auto"/>
              </w:rPr>
              <w:t>加强对事故油池及其排导系统的巡查和维护，做好运营期间的管理工作；对于产生的事故油及含油废水不得随意处置，必须由有危废处理资质单位妥善处理。</w:t>
            </w:r>
          </w:p>
        </w:tc>
        <w:tc>
          <w:tcPr>
            <w:tcW w:w="736" w:type="pct"/>
            <w:tcBorders>
              <w:top w:val="single" w:color="auto" w:sz="4" w:space="0"/>
              <w:left w:val="single" w:color="auto" w:sz="4" w:space="0"/>
              <w:bottom w:val="single" w:color="auto" w:sz="4" w:space="0"/>
              <w:right w:val="single" w:color="auto" w:sz="4" w:space="0"/>
            </w:tcBorders>
            <w:vAlign w:val="center"/>
          </w:tcPr>
          <w:p w14:paraId="1A494FA2">
            <w:pPr>
              <w:pStyle w:val="65"/>
              <w:rPr>
                <w:color w:val="auto"/>
              </w:rPr>
            </w:pPr>
            <w:r>
              <w:rPr>
                <w:rFonts w:hint="eastAsia"/>
                <w:color w:val="auto"/>
              </w:rPr>
              <w:t>有完善的事故油池及其排导系统的巡查和维护制度；产生的废变压器油交由具有危废处置资质的单位进行处理。</w:t>
            </w:r>
          </w:p>
        </w:tc>
      </w:tr>
      <w:tr w14:paraId="693AEB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2C7453ED">
            <w:pPr>
              <w:pStyle w:val="65"/>
              <w:rPr>
                <w:color w:val="auto"/>
              </w:rPr>
            </w:pPr>
            <w:r>
              <w:rPr>
                <w:rFonts w:hint="eastAsia"/>
                <w:color w:val="auto"/>
              </w:rPr>
              <w:t>环境监测</w:t>
            </w:r>
          </w:p>
        </w:tc>
        <w:tc>
          <w:tcPr>
            <w:tcW w:w="1651" w:type="pct"/>
            <w:tcBorders>
              <w:top w:val="single" w:color="auto" w:sz="4" w:space="0"/>
              <w:left w:val="single" w:color="auto" w:sz="4" w:space="0"/>
              <w:bottom w:val="single" w:color="auto" w:sz="4" w:space="0"/>
              <w:right w:val="single" w:color="auto" w:sz="4" w:space="0"/>
            </w:tcBorders>
            <w:vAlign w:val="center"/>
          </w:tcPr>
          <w:p w14:paraId="05C46D90">
            <w:pPr>
              <w:pStyle w:val="65"/>
              <w:rPr>
                <w:color w:val="auto"/>
              </w:rPr>
            </w:pPr>
            <w:r>
              <w:rPr>
                <w:rFonts w:hint="eastAsia"/>
                <w:color w:val="auto"/>
              </w:rPr>
              <w:t>/</w:t>
            </w:r>
          </w:p>
        </w:tc>
        <w:tc>
          <w:tcPr>
            <w:tcW w:w="635" w:type="pct"/>
            <w:tcBorders>
              <w:top w:val="single" w:color="auto" w:sz="4" w:space="0"/>
              <w:left w:val="single" w:color="auto" w:sz="4" w:space="0"/>
              <w:bottom w:val="single" w:color="auto" w:sz="4" w:space="0"/>
              <w:right w:val="single" w:color="auto" w:sz="4" w:space="0"/>
            </w:tcBorders>
            <w:vAlign w:val="center"/>
          </w:tcPr>
          <w:p w14:paraId="5BABE535">
            <w:pPr>
              <w:pStyle w:val="65"/>
              <w:rPr>
                <w:color w:val="auto"/>
              </w:rPr>
            </w:pPr>
            <w:r>
              <w:rPr>
                <w:rFonts w:hint="eastAsia"/>
                <w:color w:val="auto"/>
              </w:rPr>
              <w:t>/</w:t>
            </w:r>
          </w:p>
        </w:tc>
        <w:tc>
          <w:tcPr>
            <w:tcW w:w="1523" w:type="pct"/>
            <w:tcBorders>
              <w:top w:val="single" w:color="auto" w:sz="4" w:space="0"/>
              <w:left w:val="single" w:color="auto" w:sz="4" w:space="0"/>
              <w:bottom w:val="single" w:color="auto" w:sz="4" w:space="0"/>
              <w:right w:val="single" w:color="auto" w:sz="4" w:space="0"/>
            </w:tcBorders>
            <w:vAlign w:val="center"/>
          </w:tcPr>
          <w:p w14:paraId="6C850F6C">
            <w:pPr>
              <w:pStyle w:val="65"/>
              <w:rPr>
                <w:color w:val="auto"/>
              </w:rPr>
            </w:pPr>
            <w:r>
              <w:rPr>
                <w:rFonts w:hint="eastAsia"/>
                <w:color w:val="auto"/>
              </w:rPr>
              <w:t>运营期的环境监测由建设单位委托有资质的环境监测单位按已制定的计划监测</w:t>
            </w:r>
          </w:p>
        </w:tc>
        <w:tc>
          <w:tcPr>
            <w:tcW w:w="736" w:type="pct"/>
            <w:tcBorders>
              <w:top w:val="single" w:color="auto" w:sz="4" w:space="0"/>
              <w:left w:val="single" w:color="auto" w:sz="4" w:space="0"/>
              <w:bottom w:val="single" w:color="auto" w:sz="4" w:space="0"/>
              <w:right w:val="single" w:color="auto" w:sz="4" w:space="0"/>
            </w:tcBorders>
            <w:vAlign w:val="center"/>
          </w:tcPr>
          <w:p w14:paraId="47AD9506">
            <w:pPr>
              <w:pStyle w:val="65"/>
              <w:rPr>
                <w:color w:val="auto"/>
              </w:rPr>
            </w:pPr>
            <w:r>
              <w:rPr>
                <w:rFonts w:hint="eastAsia"/>
                <w:color w:val="auto"/>
              </w:rPr>
              <w:t>委托有资质的环境监测单位按已制定的计划监测</w:t>
            </w:r>
          </w:p>
        </w:tc>
      </w:tr>
      <w:tr w14:paraId="77E0D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54" w:type="pct"/>
            <w:tcBorders>
              <w:top w:val="single" w:color="auto" w:sz="4" w:space="0"/>
              <w:left w:val="single" w:color="auto" w:sz="4" w:space="0"/>
              <w:bottom w:val="single" w:color="auto" w:sz="4" w:space="0"/>
              <w:right w:val="single" w:color="auto" w:sz="4" w:space="0"/>
            </w:tcBorders>
            <w:vAlign w:val="center"/>
          </w:tcPr>
          <w:p w14:paraId="1469BC63">
            <w:pPr>
              <w:pStyle w:val="65"/>
              <w:rPr>
                <w:color w:val="auto"/>
              </w:rPr>
            </w:pPr>
            <w:r>
              <w:rPr>
                <w:rFonts w:hint="eastAsia"/>
                <w:color w:val="auto"/>
              </w:rPr>
              <w:t>其他</w:t>
            </w:r>
          </w:p>
        </w:tc>
        <w:tc>
          <w:tcPr>
            <w:tcW w:w="1651" w:type="pct"/>
            <w:tcBorders>
              <w:top w:val="single" w:color="auto" w:sz="4" w:space="0"/>
              <w:left w:val="single" w:color="auto" w:sz="4" w:space="0"/>
              <w:bottom w:val="single" w:color="auto" w:sz="4" w:space="0"/>
              <w:right w:val="single" w:color="auto" w:sz="4" w:space="0"/>
            </w:tcBorders>
            <w:vAlign w:val="center"/>
          </w:tcPr>
          <w:p w14:paraId="376CD37E">
            <w:pPr>
              <w:pStyle w:val="65"/>
              <w:jc w:val="both"/>
              <w:rPr>
                <w:color w:val="auto"/>
              </w:rPr>
            </w:pPr>
            <w:r>
              <w:rPr>
                <w:rFonts w:hint="eastAsia"/>
                <w:color w:val="auto"/>
              </w:rPr>
              <w:t>贯彻执行国家、地方的各项环境保护方针、政策、法规和各项规章制度。</w:t>
            </w:r>
          </w:p>
          <w:p w14:paraId="64FA6515">
            <w:pPr>
              <w:pStyle w:val="65"/>
              <w:jc w:val="both"/>
              <w:rPr>
                <w:color w:val="auto"/>
              </w:rPr>
            </w:pPr>
            <w:r>
              <w:rPr>
                <w:rFonts w:hint="eastAsia"/>
                <w:color w:val="auto"/>
              </w:rPr>
              <w:t>制定本项目施工中的环境保护计划，负责工程施工过程中各项环境保护措施实施的监督和日常管理。</w:t>
            </w:r>
          </w:p>
          <w:p w14:paraId="7504CE70">
            <w:pPr>
              <w:pStyle w:val="65"/>
              <w:jc w:val="both"/>
              <w:rPr>
                <w:color w:val="auto"/>
              </w:rPr>
            </w:pPr>
            <w:r>
              <w:rPr>
                <w:rFonts w:hint="eastAsia"/>
                <w:color w:val="auto"/>
              </w:rPr>
              <w:t>收集、整理、推广和实施工程建设中各项环境保护的先进工作经验和技术。</w:t>
            </w:r>
          </w:p>
          <w:p w14:paraId="54708989">
            <w:pPr>
              <w:pStyle w:val="65"/>
              <w:jc w:val="both"/>
              <w:rPr>
                <w:color w:val="auto"/>
              </w:rPr>
            </w:pPr>
            <w:r>
              <w:rPr>
                <w:rFonts w:hint="eastAsia"/>
                <w:color w:val="auto"/>
              </w:rPr>
              <w:t>组织和开展对施工人员进行施工活动中应遵循的环保法规、知识的培训，提高全体员工文明施工的认识。</w:t>
            </w:r>
          </w:p>
          <w:p w14:paraId="7C592781">
            <w:pPr>
              <w:pStyle w:val="65"/>
              <w:jc w:val="both"/>
              <w:rPr>
                <w:color w:val="auto"/>
              </w:rPr>
            </w:pPr>
            <w:r>
              <w:rPr>
                <w:rFonts w:hint="eastAsia"/>
                <w:color w:val="auto"/>
              </w:rPr>
              <w:t>负责日常施工活动中的环境监理工作，做好工程用地区域的环境特征调查，对于环境保护目标要作到心中有数。</w:t>
            </w:r>
          </w:p>
          <w:p w14:paraId="034D7ECC">
            <w:pPr>
              <w:pStyle w:val="65"/>
              <w:jc w:val="both"/>
              <w:rPr>
                <w:color w:val="auto"/>
              </w:rPr>
            </w:pPr>
            <w:r>
              <w:rPr>
                <w:rFonts w:hint="eastAsia"/>
                <w:color w:val="auto"/>
              </w:rPr>
              <w:t>在施工计划中应适当计划设备运输道路，以避免影响当地居民生活，施工中应考虑保护生态和避免水土流失，合理组织施工，不在站外设置临时施工用地。</w:t>
            </w:r>
          </w:p>
          <w:p w14:paraId="4F060032">
            <w:pPr>
              <w:pStyle w:val="65"/>
              <w:jc w:val="both"/>
              <w:rPr>
                <w:color w:val="auto"/>
              </w:rPr>
            </w:pPr>
            <w:r>
              <w:rPr>
                <w:rFonts w:hint="eastAsia"/>
                <w:color w:val="auto"/>
              </w:rPr>
              <w:t>做好施工中各种环境问题的收集、记录、建档和处理工作。</w:t>
            </w:r>
          </w:p>
          <w:p w14:paraId="34425ED3">
            <w:pPr>
              <w:pStyle w:val="65"/>
              <w:jc w:val="both"/>
              <w:rPr>
                <w:color w:val="auto"/>
              </w:rPr>
            </w:pPr>
            <w:r>
              <w:rPr>
                <w:rFonts w:hint="eastAsia"/>
                <w:color w:val="auto"/>
              </w:rPr>
              <w:t>监督施工单位，使设计、施工过程的各项环境保护措施与主体工程同步实施。</w:t>
            </w:r>
          </w:p>
        </w:tc>
        <w:tc>
          <w:tcPr>
            <w:tcW w:w="635" w:type="pct"/>
            <w:tcBorders>
              <w:top w:val="single" w:color="auto" w:sz="4" w:space="0"/>
              <w:left w:val="single" w:color="auto" w:sz="4" w:space="0"/>
              <w:bottom w:val="single" w:color="auto" w:sz="4" w:space="0"/>
              <w:right w:val="single" w:color="auto" w:sz="4" w:space="0"/>
            </w:tcBorders>
            <w:vAlign w:val="center"/>
          </w:tcPr>
          <w:p w14:paraId="713C9B44">
            <w:pPr>
              <w:pStyle w:val="65"/>
              <w:rPr>
                <w:color w:val="auto"/>
              </w:rPr>
            </w:pPr>
            <w:r>
              <w:rPr>
                <w:rFonts w:hint="eastAsia"/>
                <w:color w:val="auto"/>
              </w:rPr>
              <w:t>落实各项管理措施</w:t>
            </w:r>
          </w:p>
        </w:tc>
        <w:tc>
          <w:tcPr>
            <w:tcW w:w="1523" w:type="pct"/>
            <w:tcBorders>
              <w:top w:val="single" w:color="auto" w:sz="4" w:space="0"/>
              <w:left w:val="single" w:color="auto" w:sz="4" w:space="0"/>
              <w:bottom w:val="single" w:color="auto" w:sz="4" w:space="0"/>
              <w:right w:val="single" w:color="auto" w:sz="4" w:space="0"/>
            </w:tcBorders>
            <w:vAlign w:val="center"/>
          </w:tcPr>
          <w:p w14:paraId="3D1D7F02">
            <w:pPr>
              <w:pStyle w:val="65"/>
              <w:jc w:val="both"/>
              <w:rPr>
                <w:color w:val="auto"/>
              </w:rPr>
            </w:pPr>
            <w:r>
              <w:rPr>
                <w:rFonts w:hint="eastAsia"/>
                <w:color w:val="auto"/>
              </w:rPr>
              <w:t>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14:paraId="2F9E3A95">
            <w:pPr>
              <w:pStyle w:val="65"/>
              <w:jc w:val="both"/>
              <w:rPr>
                <w:color w:val="auto"/>
              </w:rPr>
            </w:pPr>
            <w:r>
              <w:rPr>
                <w:rFonts w:hint="eastAsia"/>
                <w:color w:val="auto"/>
              </w:rPr>
              <w:t>制订和实施各项环境管理计划。</w:t>
            </w:r>
          </w:p>
          <w:p w14:paraId="643A2B36">
            <w:pPr>
              <w:pStyle w:val="65"/>
              <w:jc w:val="both"/>
              <w:rPr>
                <w:color w:val="auto"/>
              </w:rPr>
            </w:pPr>
            <w:r>
              <w:rPr>
                <w:rFonts w:hint="eastAsia"/>
                <w:color w:val="auto"/>
              </w:rPr>
              <w:t>建立工频电场、工频磁场、噪声监测、生态环境现状数据档案。</w:t>
            </w:r>
          </w:p>
          <w:p w14:paraId="2698A297">
            <w:pPr>
              <w:pStyle w:val="65"/>
              <w:jc w:val="both"/>
              <w:rPr>
                <w:color w:val="auto"/>
              </w:rPr>
            </w:pPr>
            <w:r>
              <w:rPr>
                <w:rFonts w:hint="eastAsia"/>
                <w:color w:val="auto"/>
              </w:rPr>
              <w:t>掌握项目所在地周围的环境特征做好记录、建档工作。</w:t>
            </w:r>
          </w:p>
          <w:p w14:paraId="48A24AE1">
            <w:pPr>
              <w:pStyle w:val="65"/>
              <w:jc w:val="both"/>
              <w:rPr>
                <w:color w:val="auto"/>
              </w:rPr>
            </w:pPr>
            <w:r>
              <w:rPr>
                <w:rFonts w:hint="eastAsia"/>
                <w:color w:val="auto"/>
              </w:rPr>
              <w:t>检查污染防治设施运行情况，及时处理出现的问题，保证治理设施正常运行。</w:t>
            </w:r>
          </w:p>
          <w:p w14:paraId="151F7348">
            <w:pPr>
              <w:pStyle w:val="65"/>
              <w:jc w:val="both"/>
              <w:rPr>
                <w:color w:val="auto"/>
              </w:rPr>
            </w:pPr>
            <w:r>
              <w:rPr>
                <w:rFonts w:hint="eastAsia"/>
                <w:color w:val="auto"/>
              </w:rPr>
              <w:t>协调配合上级环保主管部门所进行的环境调查，生态调查等活动。</w:t>
            </w:r>
          </w:p>
          <w:p w14:paraId="729646F4">
            <w:pPr>
              <w:pStyle w:val="65"/>
              <w:jc w:val="both"/>
              <w:rPr>
                <w:color w:val="auto"/>
              </w:rPr>
            </w:pPr>
            <w:r>
              <w:rPr>
                <w:rFonts w:hint="eastAsia"/>
                <w:color w:val="auto"/>
              </w:rPr>
              <w:t>应对与工程项目有关的主要人员包括施工单位、运行单位等人员，进行环境保护技术和政策方面的培训与宣传，从而进一步增强施工、运行单位的环保管理的能力，减少施工和运行产生的不利环境影啊，并且能够更好地参与和监督本项目的环保管理；提高人们的环保意识，加强公众的环境保护和自我保护意识。</w:t>
            </w:r>
          </w:p>
        </w:tc>
        <w:tc>
          <w:tcPr>
            <w:tcW w:w="736" w:type="pct"/>
            <w:tcBorders>
              <w:top w:val="single" w:color="auto" w:sz="4" w:space="0"/>
              <w:left w:val="single" w:color="auto" w:sz="4" w:space="0"/>
              <w:bottom w:val="single" w:color="auto" w:sz="4" w:space="0"/>
              <w:right w:val="single" w:color="auto" w:sz="4" w:space="0"/>
            </w:tcBorders>
            <w:vAlign w:val="center"/>
          </w:tcPr>
          <w:p w14:paraId="0A2CE885">
            <w:pPr>
              <w:pStyle w:val="65"/>
              <w:rPr>
                <w:color w:val="auto"/>
              </w:rPr>
            </w:pPr>
            <w:r>
              <w:rPr>
                <w:rFonts w:hint="eastAsia"/>
                <w:color w:val="auto"/>
              </w:rPr>
              <w:t>落实各项竣工环保验收要求及环境管理措施</w:t>
            </w:r>
          </w:p>
        </w:tc>
      </w:tr>
    </w:tbl>
    <w:p w14:paraId="0881B8ED">
      <w:pPr>
        <w:pStyle w:val="65"/>
        <w:ind w:firstLine="480"/>
        <w:rPr>
          <w:color w:val="auto"/>
        </w:rPr>
        <w:sectPr>
          <w:pgSz w:w="16838" w:h="11906" w:orient="landscape"/>
          <w:pgMar w:top="1797" w:right="1440" w:bottom="1797" w:left="1440" w:header="737" w:footer="1134" w:gutter="0"/>
          <w:cols w:space="720" w:num="1"/>
        </w:sectPr>
      </w:pPr>
    </w:p>
    <w:p w14:paraId="106EF2DE">
      <w:pPr>
        <w:pStyle w:val="2"/>
        <w:numPr>
          <w:ilvl w:val="0"/>
          <w:numId w:val="0"/>
        </w:numPr>
        <w:spacing w:before="120" w:after="120"/>
        <w:rPr>
          <w:color w:val="auto"/>
        </w:rPr>
      </w:pPr>
      <w:bookmarkStart w:id="1780" w:name="_Toc212667813"/>
      <w:bookmarkStart w:id="1781" w:name="_Toc218698794"/>
      <w:bookmarkStart w:id="1782" w:name="_Toc161415622"/>
      <w:bookmarkStart w:id="1783" w:name="_Toc181738272"/>
      <w:bookmarkStart w:id="1784" w:name="OLE_LINK19"/>
      <w:r>
        <w:rPr>
          <w:rFonts w:hint="eastAsia"/>
          <w:color w:val="auto"/>
        </w:rPr>
        <w:t>七、结论</w:t>
      </w:r>
      <w:bookmarkEnd w:id="1780"/>
      <w:bookmarkEnd w:id="1781"/>
      <w:bookmarkEnd w:id="1782"/>
      <w:bookmarkEnd w:id="1783"/>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2"/>
      </w:tblGrid>
      <w:tr w14:paraId="2C94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6" w:hRule="atLeast"/>
        </w:trPr>
        <w:tc>
          <w:tcPr>
            <w:tcW w:w="8302" w:type="dxa"/>
            <w:tcBorders>
              <w:top w:val="single" w:color="auto" w:sz="4" w:space="0"/>
              <w:left w:val="single" w:color="auto" w:sz="4" w:space="0"/>
              <w:bottom w:val="single" w:color="auto" w:sz="4" w:space="0"/>
              <w:right w:val="single" w:color="auto" w:sz="4" w:space="0"/>
            </w:tcBorders>
          </w:tcPr>
          <w:p w14:paraId="0B67EA4B">
            <w:pPr>
              <w:ind w:firstLine="480"/>
              <w:rPr>
                <w:rFonts w:cs="Times New Roman"/>
                <w:color w:val="auto"/>
                <w:kern w:val="0"/>
                <w:szCs w:val="20"/>
              </w:rPr>
            </w:pPr>
            <w:r>
              <w:rPr>
                <w:rFonts w:hint="eastAsia" w:cs="Times New Roman"/>
                <w:color w:val="auto"/>
                <w:kern w:val="0"/>
                <w:szCs w:val="20"/>
              </w:rPr>
              <w:t>沙乐光伏发电项目</w:t>
            </w:r>
            <w:r>
              <w:rPr>
                <w:rFonts w:cs="Times New Roman"/>
                <w:color w:val="auto"/>
                <w:kern w:val="0"/>
                <w:szCs w:val="20"/>
              </w:rPr>
              <w:t>严格遵循国家产业政策、光伏用地规范及环保法规要求，选址已经避开法定生态保护区域、重要生境及生态功能敏感区，</w:t>
            </w:r>
            <w:r>
              <w:rPr>
                <w:rFonts w:hint="eastAsia" w:cs="Times New Roman"/>
                <w:color w:val="auto"/>
                <w:kern w:val="0"/>
                <w:szCs w:val="20"/>
              </w:rPr>
              <w:t>无重大环境制约因素，选址合理</w:t>
            </w:r>
            <w:r>
              <w:rPr>
                <w:rFonts w:cs="Times New Roman"/>
                <w:color w:val="auto"/>
                <w:kern w:val="0"/>
                <w:szCs w:val="20"/>
              </w:rPr>
              <w:t>；项目所在区域环境质量现状满足环评标准，无环境容量制约因素，为建设提供了基础条件</w:t>
            </w:r>
            <w:r>
              <w:rPr>
                <w:rFonts w:hint="eastAsia" w:cs="Times New Roman"/>
                <w:color w:val="auto"/>
                <w:kern w:val="0"/>
                <w:szCs w:val="20"/>
              </w:rPr>
              <w:t>。项目建设和运行产生的环境影响，在采取相应的环境保护措施后，可减小并得到控制。项目在设计和施工过程中按本报告提出的污染防治措施落实后，产生的环境影响满足相应环评标准要求，对当地声环境、大气环境、水环境及生态环境的影响很小，不会改变项目所在区域环境现有功能。从环保角度分析，该项目建设是可行的。</w:t>
            </w:r>
          </w:p>
        </w:tc>
      </w:tr>
      <w:bookmarkEnd w:id="1784"/>
    </w:tbl>
    <w:p w14:paraId="4631CE15">
      <w:pPr>
        <w:ind w:firstLine="0" w:firstLineChars="0"/>
        <w:jc w:val="center"/>
      </w:pPr>
    </w:p>
    <w:sectPr>
      <w:footerReference r:id="rId15" w:type="default"/>
      <w:pgSz w:w="11906" w:h="16838"/>
      <w:pgMar w:top="1440" w:right="1797" w:bottom="1440" w:left="1797" w:header="737" w:footer="1134" w:gutter="0"/>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兰亭纤黑">
    <w:altName w:val="黑体"/>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TimesNewRomanPSMT">
    <w:altName w:val="等线"/>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A00002BF" w:usb1="68C7FCFB" w:usb2="00000010" w:usb3="00000000" w:csb0="4002009F" w:csb1="DFD7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5BFC1">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37C83">
    <w:pPr>
      <w:pStyle w:val="25"/>
      <w:framePr w:wrap="around" w:vAnchor="text" w:hAnchor="margin" w:xAlign="outside" w:y="1"/>
      <w:ind w:firstLine="360"/>
      <w:rPr>
        <w:rStyle w:val="44"/>
      </w:rPr>
    </w:pPr>
    <w:r>
      <w:rPr>
        <w:rStyle w:val="44"/>
      </w:rPr>
      <w:fldChar w:fldCharType="begin"/>
    </w:r>
    <w:r>
      <w:rPr>
        <w:rStyle w:val="44"/>
      </w:rPr>
      <w:instrText xml:space="preserve">PAGE  </w:instrText>
    </w:r>
    <w:r>
      <w:rPr>
        <w:rStyle w:val="44"/>
      </w:rPr>
      <w:fldChar w:fldCharType="end"/>
    </w:r>
  </w:p>
  <w:p w14:paraId="5D9C9836">
    <w:pPr>
      <w:pStyle w:val="2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3C496">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643729"/>
      <w:docPartObj>
        <w:docPartGallery w:val="AutoText"/>
      </w:docPartObj>
    </w:sdtPr>
    <w:sdtContent>
      <w:p w14:paraId="3C4F44C4">
        <w:pPr>
          <w:pStyle w:val="25"/>
          <w:spacing w:line="240" w:lineRule="auto"/>
          <w:ind w:firstLine="0" w:firstLineChars="0"/>
          <w:jc w:val="center"/>
        </w:pPr>
        <w:r>
          <w:fldChar w:fldCharType="begin"/>
        </w:r>
        <w:r>
          <w:instrText xml:space="preserve">PAGE   \* MERGEFORMAT</w:instrText>
        </w:r>
        <w:r>
          <w:fldChar w:fldCharType="separate"/>
        </w:r>
        <w:r>
          <w:rPr>
            <w:lang w:val="zh-CN"/>
          </w:rPr>
          <w:t>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E6354">
    <w:pPr>
      <w:pStyle w:val="25"/>
      <w:ind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548164"/>
      <w:docPartObj>
        <w:docPartGallery w:val="AutoText"/>
      </w:docPartObj>
    </w:sdtPr>
    <w:sdtContent>
      <w:p w14:paraId="19BE20D1">
        <w:pPr>
          <w:pStyle w:val="25"/>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1722572"/>
      <w:docPartObj>
        <w:docPartGallery w:val="AutoText"/>
      </w:docPartObj>
    </w:sdtPr>
    <w:sdtContent>
      <w:p w14:paraId="7FBBCC53">
        <w:pPr>
          <w:pStyle w:val="25"/>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9F616">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5BB2B">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89428">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56864">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D0AAC"/>
    <w:multiLevelType w:val="multilevel"/>
    <w:tmpl w:val="2E3D0AAC"/>
    <w:lvl w:ilvl="0" w:tentative="0">
      <w:start w:val="1"/>
      <w:numFmt w:val="decimal"/>
      <w:suff w:val="space"/>
      <w:lvlText w:val="%1"/>
      <w:lvlJc w:val="center"/>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
    <w:nsid w:val="4B8A1F71"/>
    <w:multiLevelType w:val="multilevel"/>
    <w:tmpl w:val="4B8A1F71"/>
    <w:lvl w:ilvl="0" w:tentative="0">
      <w:start w:val="1"/>
      <w:numFmt w:val="chineseCountingThousand"/>
      <w:pStyle w:val="2"/>
      <w:suff w:val="space"/>
      <w:lvlText w:val="%1"/>
      <w:lvlJc w:val="center"/>
      <w:pPr>
        <w:ind w:left="0" w:firstLine="288"/>
      </w:pPr>
      <w:rPr>
        <w:rFonts w:hint="eastAsia"/>
      </w:rPr>
    </w:lvl>
    <w:lvl w:ilvl="1" w:tentative="0">
      <w:start w:val="1"/>
      <w:numFmt w:val="decimal"/>
      <w:pStyle w:val="3"/>
      <w:isLgl/>
      <w:suff w:val="space"/>
      <w:lvlText w:val="%1.%2"/>
      <w:lvlJc w:val="left"/>
      <w:pPr>
        <w:ind w:left="0" w:firstLine="0"/>
      </w:pPr>
      <w:rPr>
        <w:rFonts w:hint="eastAsia"/>
      </w:rPr>
    </w:lvl>
    <w:lvl w:ilvl="2" w:tentative="0">
      <w:start w:val="1"/>
      <w:numFmt w:val="decimal"/>
      <w:pStyle w:val="4"/>
      <w:isLgl/>
      <w:suff w:val="space"/>
      <w:lvlText w:val="%1.%2.%3"/>
      <w:lvlJc w:val="left"/>
      <w:pPr>
        <w:ind w:left="5245" w:firstLine="0"/>
      </w:pPr>
      <w:rPr>
        <w:rFonts w:hint="eastAsia"/>
      </w:rPr>
    </w:lvl>
    <w:lvl w:ilvl="3" w:tentative="0">
      <w:start w:val="1"/>
      <w:numFmt w:val="decimal"/>
      <w:pStyle w:val="5"/>
      <w:isLgl/>
      <w:suff w:val="space"/>
      <w:lvlText w:val="%1.%2.%3.%4"/>
      <w:lvlJc w:val="left"/>
      <w:pPr>
        <w:ind w:left="0" w:firstLine="0"/>
      </w:pPr>
      <w:rPr>
        <w:rFonts w:hint="eastAsia"/>
      </w:rPr>
    </w:lvl>
    <w:lvl w:ilvl="4" w:tentative="0">
      <w:start w:val="1"/>
      <w:numFmt w:val="decimal"/>
      <w:pStyle w:val="6"/>
      <w:isLgl/>
      <w:suff w:val="space"/>
      <w:lvlText w:val="%1.%2.%3.%4.%5"/>
      <w:lvlJc w:val="left"/>
      <w:pPr>
        <w:ind w:left="0" w:firstLine="0"/>
      </w:pPr>
      <w:rPr>
        <w:rFonts w:hint="eastAsia"/>
      </w:rPr>
    </w:lvl>
    <w:lvl w:ilvl="5" w:tentative="0">
      <w:start w:val="1"/>
      <w:numFmt w:val="decimal"/>
      <w:pStyle w:val="7"/>
      <w:isLgl/>
      <w:suff w:val="space"/>
      <w:lvlText w:val="%1.%2.%3.%4.%5.%6"/>
      <w:lvlJc w:val="left"/>
      <w:pPr>
        <w:ind w:left="0"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E4A"/>
    <w:rsid w:val="00002F23"/>
    <w:rsid w:val="00004774"/>
    <w:rsid w:val="000077F3"/>
    <w:rsid w:val="0001097B"/>
    <w:rsid w:val="00013BF5"/>
    <w:rsid w:val="00015A44"/>
    <w:rsid w:val="00015AA1"/>
    <w:rsid w:val="000164D8"/>
    <w:rsid w:val="00017470"/>
    <w:rsid w:val="00017B9F"/>
    <w:rsid w:val="00020801"/>
    <w:rsid w:val="00021DD4"/>
    <w:rsid w:val="00022109"/>
    <w:rsid w:val="000226A3"/>
    <w:rsid w:val="0002543E"/>
    <w:rsid w:val="00025961"/>
    <w:rsid w:val="000268A0"/>
    <w:rsid w:val="00026A7A"/>
    <w:rsid w:val="000270E7"/>
    <w:rsid w:val="00033E9A"/>
    <w:rsid w:val="00033EEB"/>
    <w:rsid w:val="00033F7A"/>
    <w:rsid w:val="00035A86"/>
    <w:rsid w:val="00041F99"/>
    <w:rsid w:val="0004245D"/>
    <w:rsid w:val="000522FF"/>
    <w:rsid w:val="0005607B"/>
    <w:rsid w:val="000630F8"/>
    <w:rsid w:val="00065890"/>
    <w:rsid w:val="000710D1"/>
    <w:rsid w:val="000720CE"/>
    <w:rsid w:val="000770DF"/>
    <w:rsid w:val="000818D7"/>
    <w:rsid w:val="00081B5E"/>
    <w:rsid w:val="00087802"/>
    <w:rsid w:val="0009042E"/>
    <w:rsid w:val="00093CB9"/>
    <w:rsid w:val="00095BB9"/>
    <w:rsid w:val="00096546"/>
    <w:rsid w:val="000A017D"/>
    <w:rsid w:val="000A0849"/>
    <w:rsid w:val="000A14B2"/>
    <w:rsid w:val="000A1919"/>
    <w:rsid w:val="000A28B9"/>
    <w:rsid w:val="000A2E78"/>
    <w:rsid w:val="000A550E"/>
    <w:rsid w:val="000B1633"/>
    <w:rsid w:val="000B2D65"/>
    <w:rsid w:val="000B57DB"/>
    <w:rsid w:val="000B70ED"/>
    <w:rsid w:val="000C085C"/>
    <w:rsid w:val="000C2230"/>
    <w:rsid w:val="000C2DE0"/>
    <w:rsid w:val="000C3BD4"/>
    <w:rsid w:val="000C6072"/>
    <w:rsid w:val="000C664A"/>
    <w:rsid w:val="000D11D5"/>
    <w:rsid w:val="000D40D6"/>
    <w:rsid w:val="000E0C37"/>
    <w:rsid w:val="000E1A60"/>
    <w:rsid w:val="000E2EB8"/>
    <w:rsid w:val="000E34D9"/>
    <w:rsid w:val="000E5948"/>
    <w:rsid w:val="000E60C2"/>
    <w:rsid w:val="000F080B"/>
    <w:rsid w:val="000F0F63"/>
    <w:rsid w:val="000F28D7"/>
    <w:rsid w:val="000F38AC"/>
    <w:rsid w:val="000F4597"/>
    <w:rsid w:val="000F46A7"/>
    <w:rsid w:val="000F4CAE"/>
    <w:rsid w:val="000F70FB"/>
    <w:rsid w:val="00102526"/>
    <w:rsid w:val="00102E5B"/>
    <w:rsid w:val="00103411"/>
    <w:rsid w:val="0010486F"/>
    <w:rsid w:val="00105479"/>
    <w:rsid w:val="00107D52"/>
    <w:rsid w:val="0011113C"/>
    <w:rsid w:val="001114BB"/>
    <w:rsid w:val="00114E96"/>
    <w:rsid w:val="00117B87"/>
    <w:rsid w:val="001244CA"/>
    <w:rsid w:val="001258F1"/>
    <w:rsid w:val="001328B0"/>
    <w:rsid w:val="00133CD2"/>
    <w:rsid w:val="0013713E"/>
    <w:rsid w:val="00137F92"/>
    <w:rsid w:val="00144B6F"/>
    <w:rsid w:val="00146699"/>
    <w:rsid w:val="00146E85"/>
    <w:rsid w:val="0014753B"/>
    <w:rsid w:val="001478EC"/>
    <w:rsid w:val="001509B7"/>
    <w:rsid w:val="00153846"/>
    <w:rsid w:val="00154EC9"/>
    <w:rsid w:val="00155BFD"/>
    <w:rsid w:val="00155DD0"/>
    <w:rsid w:val="00157AAF"/>
    <w:rsid w:val="00163BD5"/>
    <w:rsid w:val="001648F2"/>
    <w:rsid w:val="00165AC1"/>
    <w:rsid w:val="001665B2"/>
    <w:rsid w:val="00170071"/>
    <w:rsid w:val="001701A7"/>
    <w:rsid w:val="00171D49"/>
    <w:rsid w:val="00171FEC"/>
    <w:rsid w:val="00172373"/>
    <w:rsid w:val="00174100"/>
    <w:rsid w:val="0017467F"/>
    <w:rsid w:val="00176055"/>
    <w:rsid w:val="00177DC4"/>
    <w:rsid w:val="0018000A"/>
    <w:rsid w:val="00180048"/>
    <w:rsid w:val="00186E99"/>
    <w:rsid w:val="00187562"/>
    <w:rsid w:val="00192813"/>
    <w:rsid w:val="0019658B"/>
    <w:rsid w:val="001A2814"/>
    <w:rsid w:val="001A2991"/>
    <w:rsid w:val="001A3128"/>
    <w:rsid w:val="001A32E6"/>
    <w:rsid w:val="001A37AB"/>
    <w:rsid w:val="001A4361"/>
    <w:rsid w:val="001A55B0"/>
    <w:rsid w:val="001B4074"/>
    <w:rsid w:val="001B5804"/>
    <w:rsid w:val="001C03E5"/>
    <w:rsid w:val="001C0E1D"/>
    <w:rsid w:val="001C166E"/>
    <w:rsid w:val="001C5611"/>
    <w:rsid w:val="001C5A6C"/>
    <w:rsid w:val="001C5F50"/>
    <w:rsid w:val="001D0D00"/>
    <w:rsid w:val="001D199D"/>
    <w:rsid w:val="001D26EB"/>
    <w:rsid w:val="001D3939"/>
    <w:rsid w:val="001D4CA4"/>
    <w:rsid w:val="001D749B"/>
    <w:rsid w:val="001E0AB0"/>
    <w:rsid w:val="001E18EC"/>
    <w:rsid w:val="001E255C"/>
    <w:rsid w:val="001E3BDD"/>
    <w:rsid w:val="001E3FFE"/>
    <w:rsid w:val="001E4309"/>
    <w:rsid w:val="001E4DC6"/>
    <w:rsid w:val="001E5EAF"/>
    <w:rsid w:val="001F0F13"/>
    <w:rsid w:val="001F0FD5"/>
    <w:rsid w:val="001F6BD7"/>
    <w:rsid w:val="001F7B5F"/>
    <w:rsid w:val="00202E0D"/>
    <w:rsid w:val="00204580"/>
    <w:rsid w:val="00210EF6"/>
    <w:rsid w:val="00215BB5"/>
    <w:rsid w:val="0021612C"/>
    <w:rsid w:val="002215CD"/>
    <w:rsid w:val="00221A20"/>
    <w:rsid w:val="00221BC0"/>
    <w:rsid w:val="00223C13"/>
    <w:rsid w:val="00223F86"/>
    <w:rsid w:val="0022590E"/>
    <w:rsid w:val="002300B5"/>
    <w:rsid w:val="002305B9"/>
    <w:rsid w:val="00231E97"/>
    <w:rsid w:val="0023348D"/>
    <w:rsid w:val="00234DD6"/>
    <w:rsid w:val="002370BA"/>
    <w:rsid w:val="002379B2"/>
    <w:rsid w:val="00237C7B"/>
    <w:rsid w:val="0024277D"/>
    <w:rsid w:val="002427B4"/>
    <w:rsid w:val="00244443"/>
    <w:rsid w:val="00246C8D"/>
    <w:rsid w:val="00252987"/>
    <w:rsid w:val="00252C4B"/>
    <w:rsid w:val="002533F5"/>
    <w:rsid w:val="002546B7"/>
    <w:rsid w:val="00256B18"/>
    <w:rsid w:val="00257718"/>
    <w:rsid w:val="00261055"/>
    <w:rsid w:val="0026244F"/>
    <w:rsid w:val="00263EC8"/>
    <w:rsid w:val="00267276"/>
    <w:rsid w:val="00271B11"/>
    <w:rsid w:val="002735B8"/>
    <w:rsid w:val="00276DD3"/>
    <w:rsid w:val="00281E25"/>
    <w:rsid w:val="002827E0"/>
    <w:rsid w:val="00284D5E"/>
    <w:rsid w:val="0028600C"/>
    <w:rsid w:val="00286056"/>
    <w:rsid w:val="00286221"/>
    <w:rsid w:val="002867F9"/>
    <w:rsid w:val="00286C11"/>
    <w:rsid w:val="002908C0"/>
    <w:rsid w:val="0029125A"/>
    <w:rsid w:val="00292414"/>
    <w:rsid w:val="002927E2"/>
    <w:rsid w:val="002929B3"/>
    <w:rsid w:val="00295285"/>
    <w:rsid w:val="00296285"/>
    <w:rsid w:val="002976FD"/>
    <w:rsid w:val="00297BA7"/>
    <w:rsid w:val="002A0737"/>
    <w:rsid w:val="002A0B38"/>
    <w:rsid w:val="002A0FBD"/>
    <w:rsid w:val="002A1A53"/>
    <w:rsid w:val="002A304E"/>
    <w:rsid w:val="002A61CE"/>
    <w:rsid w:val="002B0433"/>
    <w:rsid w:val="002B0DD1"/>
    <w:rsid w:val="002B14F4"/>
    <w:rsid w:val="002B1FD8"/>
    <w:rsid w:val="002B3330"/>
    <w:rsid w:val="002B4D80"/>
    <w:rsid w:val="002B5A43"/>
    <w:rsid w:val="002C17C1"/>
    <w:rsid w:val="002C1B75"/>
    <w:rsid w:val="002C2968"/>
    <w:rsid w:val="002C3081"/>
    <w:rsid w:val="002C3C3E"/>
    <w:rsid w:val="002C46B4"/>
    <w:rsid w:val="002D0CFF"/>
    <w:rsid w:val="002D12A7"/>
    <w:rsid w:val="002D1E2B"/>
    <w:rsid w:val="002D2CDB"/>
    <w:rsid w:val="002D4540"/>
    <w:rsid w:val="002D48B7"/>
    <w:rsid w:val="002D492B"/>
    <w:rsid w:val="002D5895"/>
    <w:rsid w:val="002D74ED"/>
    <w:rsid w:val="002E145C"/>
    <w:rsid w:val="002E46F2"/>
    <w:rsid w:val="002E59BA"/>
    <w:rsid w:val="002E6515"/>
    <w:rsid w:val="002E6D56"/>
    <w:rsid w:val="002E7517"/>
    <w:rsid w:val="002E7D3C"/>
    <w:rsid w:val="002F2E6E"/>
    <w:rsid w:val="002F341B"/>
    <w:rsid w:val="002F49F1"/>
    <w:rsid w:val="002F4EDA"/>
    <w:rsid w:val="002F7E8F"/>
    <w:rsid w:val="0030144D"/>
    <w:rsid w:val="003056F6"/>
    <w:rsid w:val="0030622A"/>
    <w:rsid w:val="00307534"/>
    <w:rsid w:val="00307A38"/>
    <w:rsid w:val="00311D10"/>
    <w:rsid w:val="00315E5D"/>
    <w:rsid w:val="003218C9"/>
    <w:rsid w:val="00325662"/>
    <w:rsid w:val="00330949"/>
    <w:rsid w:val="003309EC"/>
    <w:rsid w:val="00331588"/>
    <w:rsid w:val="00333222"/>
    <w:rsid w:val="00333557"/>
    <w:rsid w:val="00333759"/>
    <w:rsid w:val="0033417C"/>
    <w:rsid w:val="003360D3"/>
    <w:rsid w:val="00340EFD"/>
    <w:rsid w:val="0034154C"/>
    <w:rsid w:val="00342461"/>
    <w:rsid w:val="003425D3"/>
    <w:rsid w:val="00344472"/>
    <w:rsid w:val="00344849"/>
    <w:rsid w:val="00344F11"/>
    <w:rsid w:val="003466C4"/>
    <w:rsid w:val="00350CA7"/>
    <w:rsid w:val="00351281"/>
    <w:rsid w:val="0035169C"/>
    <w:rsid w:val="003523F6"/>
    <w:rsid w:val="00353C18"/>
    <w:rsid w:val="00355D5E"/>
    <w:rsid w:val="00355E83"/>
    <w:rsid w:val="00356A8B"/>
    <w:rsid w:val="003618C9"/>
    <w:rsid w:val="00362F1D"/>
    <w:rsid w:val="00363248"/>
    <w:rsid w:val="00367527"/>
    <w:rsid w:val="00371221"/>
    <w:rsid w:val="003728D1"/>
    <w:rsid w:val="00377288"/>
    <w:rsid w:val="00377348"/>
    <w:rsid w:val="00377B06"/>
    <w:rsid w:val="00382C2A"/>
    <w:rsid w:val="00384CD6"/>
    <w:rsid w:val="00384F0E"/>
    <w:rsid w:val="00386671"/>
    <w:rsid w:val="003866A3"/>
    <w:rsid w:val="00387183"/>
    <w:rsid w:val="003873F8"/>
    <w:rsid w:val="00391DB1"/>
    <w:rsid w:val="00392496"/>
    <w:rsid w:val="00394873"/>
    <w:rsid w:val="00394D12"/>
    <w:rsid w:val="003954B2"/>
    <w:rsid w:val="00395BB4"/>
    <w:rsid w:val="003975FC"/>
    <w:rsid w:val="00397792"/>
    <w:rsid w:val="00397FFB"/>
    <w:rsid w:val="003A111F"/>
    <w:rsid w:val="003A2FF4"/>
    <w:rsid w:val="003A3904"/>
    <w:rsid w:val="003A4613"/>
    <w:rsid w:val="003A5997"/>
    <w:rsid w:val="003A6CF6"/>
    <w:rsid w:val="003B5FA0"/>
    <w:rsid w:val="003B6436"/>
    <w:rsid w:val="003B788A"/>
    <w:rsid w:val="003C172E"/>
    <w:rsid w:val="003C1F7D"/>
    <w:rsid w:val="003C2A6F"/>
    <w:rsid w:val="003C5A5D"/>
    <w:rsid w:val="003C7B11"/>
    <w:rsid w:val="003D27C2"/>
    <w:rsid w:val="003D4A84"/>
    <w:rsid w:val="003D55ED"/>
    <w:rsid w:val="003D5B51"/>
    <w:rsid w:val="003D5BCB"/>
    <w:rsid w:val="003E077C"/>
    <w:rsid w:val="003E0840"/>
    <w:rsid w:val="003E4A6B"/>
    <w:rsid w:val="003E5DF7"/>
    <w:rsid w:val="003F055C"/>
    <w:rsid w:val="003F085F"/>
    <w:rsid w:val="003F0E69"/>
    <w:rsid w:val="003F43B0"/>
    <w:rsid w:val="003F5566"/>
    <w:rsid w:val="003F668B"/>
    <w:rsid w:val="003F6C10"/>
    <w:rsid w:val="00402513"/>
    <w:rsid w:val="00402721"/>
    <w:rsid w:val="004039FA"/>
    <w:rsid w:val="00403F06"/>
    <w:rsid w:val="004041AA"/>
    <w:rsid w:val="00405BED"/>
    <w:rsid w:val="00405DDB"/>
    <w:rsid w:val="00405EBC"/>
    <w:rsid w:val="00407165"/>
    <w:rsid w:val="00407BE2"/>
    <w:rsid w:val="0041093C"/>
    <w:rsid w:val="00411098"/>
    <w:rsid w:val="004136B7"/>
    <w:rsid w:val="00415AAB"/>
    <w:rsid w:val="004164EF"/>
    <w:rsid w:val="00421A7F"/>
    <w:rsid w:val="0042325B"/>
    <w:rsid w:val="004237FE"/>
    <w:rsid w:val="0042454F"/>
    <w:rsid w:val="004303DC"/>
    <w:rsid w:val="0043098F"/>
    <w:rsid w:val="00431A4B"/>
    <w:rsid w:val="004324B4"/>
    <w:rsid w:val="00433AFD"/>
    <w:rsid w:val="00433DCB"/>
    <w:rsid w:val="004359FB"/>
    <w:rsid w:val="004360C1"/>
    <w:rsid w:val="004375D2"/>
    <w:rsid w:val="004405B6"/>
    <w:rsid w:val="00442D67"/>
    <w:rsid w:val="00443CAD"/>
    <w:rsid w:val="00444A51"/>
    <w:rsid w:val="00446637"/>
    <w:rsid w:val="0044719E"/>
    <w:rsid w:val="00450003"/>
    <w:rsid w:val="0045103E"/>
    <w:rsid w:val="0045200E"/>
    <w:rsid w:val="004547F3"/>
    <w:rsid w:val="00455456"/>
    <w:rsid w:val="00456AF1"/>
    <w:rsid w:val="004573CA"/>
    <w:rsid w:val="0045753E"/>
    <w:rsid w:val="00461564"/>
    <w:rsid w:val="0046263D"/>
    <w:rsid w:val="00462CA2"/>
    <w:rsid w:val="00462EB7"/>
    <w:rsid w:val="0046748D"/>
    <w:rsid w:val="004701F3"/>
    <w:rsid w:val="00471367"/>
    <w:rsid w:val="00471C8F"/>
    <w:rsid w:val="004732B5"/>
    <w:rsid w:val="004750C8"/>
    <w:rsid w:val="00481261"/>
    <w:rsid w:val="0048412E"/>
    <w:rsid w:val="00485865"/>
    <w:rsid w:val="004872D7"/>
    <w:rsid w:val="00490D4C"/>
    <w:rsid w:val="00492948"/>
    <w:rsid w:val="00492D9C"/>
    <w:rsid w:val="0049468E"/>
    <w:rsid w:val="004A2070"/>
    <w:rsid w:val="004A24A1"/>
    <w:rsid w:val="004A3635"/>
    <w:rsid w:val="004A46FE"/>
    <w:rsid w:val="004A6F2C"/>
    <w:rsid w:val="004B070E"/>
    <w:rsid w:val="004B11A8"/>
    <w:rsid w:val="004B11D2"/>
    <w:rsid w:val="004B16E5"/>
    <w:rsid w:val="004B279F"/>
    <w:rsid w:val="004B5C0F"/>
    <w:rsid w:val="004B6685"/>
    <w:rsid w:val="004B72B6"/>
    <w:rsid w:val="004C2450"/>
    <w:rsid w:val="004C2E9F"/>
    <w:rsid w:val="004D31B7"/>
    <w:rsid w:val="004D6D26"/>
    <w:rsid w:val="004E0A18"/>
    <w:rsid w:val="004E0F68"/>
    <w:rsid w:val="004E3FA6"/>
    <w:rsid w:val="004F0FAF"/>
    <w:rsid w:val="004F287E"/>
    <w:rsid w:val="004F30A2"/>
    <w:rsid w:val="004F334B"/>
    <w:rsid w:val="004F4FFE"/>
    <w:rsid w:val="004F6D3A"/>
    <w:rsid w:val="004F6F9F"/>
    <w:rsid w:val="00500383"/>
    <w:rsid w:val="00510005"/>
    <w:rsid w:val="00510B07"/>
    <w:rsid w:val="005142DD"/>
    <w:rsid w:val="00514F32"/>
    <w:rsid w:val="0051606A"/>
    <w:rsid w:val="0051665F"/>
    <w:rsid w:val="00521995"/>
    <w:rsid w:val="00521FEF"/>
    <w:rsid w:val="005237FD"/>
    <w:rsid w:val="0052434D"/>
    <w:rsid w:val="0052450E"/>
    <w:rsid w:val="00525FE1"/>
    <w:rsid w:val="00531A10"/>
    <w:rsid w:val="00531DC4"/>
    <w:rsid w:val="00532600"/>
    <w:rsid w:val="00532E6E"/>
    <w:rsid w:val="0053482C"/>
    <w:rsid w:val="0053514F"/>
    <w:rsid w:val="00537616"/>
    <w:rsid w:val="005379FE"/>
    <w:rsid w:val="00543E46"/>
    <w:rsid w:val="0054578E"/>
    <w:rsid w:val="00546E63"/>
    <w:rsid w:val="005506CF"/>
    <w:rsid w:val="00550F54"/>
    <w:rsid w:val="005527FC"/>
    <w:rsid w:val="00553CE2"/>
    <w:rsid w:val="0055400D"/>
    <w:rsid w:val="00554C96"/>
    <w:rsid w:val="00555BB8"/>
    <w:rsid w:val="00557D25"/>
    <w:rsid w:val="0056036C"/>
    <w:rsid w:val="0056261F"/>
    <w:rsid w:val="005626F4"/>
    <w:rsid w:val="00563078"/>
    <w:rsid w:val="00563D86"/>
    <w:rsid w:val="005659D5"/>
    <w:rsid w:val="00565F3E"/>
    <w:rsid w:val="00565F5E"/>
    <w:rsid w:val="00567611"/>
    <w:rsid w:val="00570E7F"/>
    <w:rsid w:val="00573003"/>
    <w:rsid w:val="005836B1"/>
    <w:rsid w:val="00590F9D"/>
    <w:rsid w:val="00591ED4"/>
    <w:rsid w:val="00593BC3"/>
    <w:rsid w:val="00595AED"/>
    <w:rsid w:val="0059687C"/>
    <w:rsid w:val="005A05E3"/>
    <w:rsid w:val="005A2837"/>
    <w:rsid w:val="005A2A94"/>
    <w:rsid w:val="005A5BF6"/>
    <w:rsid w:val="005A5E11"/>
    <w:rsid w:val="005A6500"/>
    <w:rsid w:val="005A7B12"/>
    <w:rsid w:val="005B1996"/>
    <w:rsid w:val="005B234E"/>
    <w:rsid w:val="005B3971"/>
    <w:rsid w:val="005B491B"/>
    <w:rsid w:val="005B4EB3"/>
    <w:rsid w:val="005B647A"/>
    <w:rsid w:val="005B7F7A"/>
    <w:rsid w:val="005C160E"/>
    <w:rsid w:val="005D2465"/>
    <w:rsid w:val="005D3F5F"/>
    <w:rsid w:val="005D74FC"/>
    <w:rsid w:val="005E1EAA"/>
    <w:rsid w:val="005E4BD7"/>
    <w:rsid w:val="005E71DF"/>
    <w:rsid w:val="005E7741"/>
    <w:rsid w:val="005E7FEB"/>
    <w:rsid w:val="005F0B18"/>
    <w:rsid w:val="005F1F4A"/>
    <w:rsid w:val="005F3E53"/>
    <w:rsid w:val="005F4AF0"/>
    <w:rsid w:val="005F4C91"/>
    <w:rsid w:val="005F678E"/>
    <w:rsid w:val="005F7E29"/>
    <w:rsid w:val="00602EF4"/>
    <w:rsid w:val="006036E6"/>
    <w:rsid w:val="00604C78"/>
    <w:rsid w:val="00605446"/>
    <w:rsid w:val="0060578C"/>
    <w:rsid w:val="00605D02"/>
    <w:rsid w:val="00606153"/>
    <w:rsid w:val="00611051"/>
    <w:rsid w:val="006129E5"/>
    <w:rsid w:val="0061323D"/>
    <w:rsid w:val="00613FF9"/>
    <w:rsid w:val="006158ED"/>
    <w:rsid w:val="00623C6A"/>
    <w:rsid w:val="006246B1"/>
    <w:rsid w:val="00627EB3"/>
    <w:rsid w:val="00631832"/>
    <w:rsid w:val="006330A9"/>
    <w:rsid w:val="006336B7"/>
    <w:rsid w:val="00636B74"/>
    <w:rsid w:val="00637CC8"/>
    <w:rsid w:val="006403E7"/>
    <w:rsid w:val="00642618"/>
    <w:rsid w:val="006437C1"/>
    <w:rsid w:val="00644DBC"/>
    <w:rsid w:val="00646380"/>
    <w:rsid w:val="00650200"/>
    <w:rsid w:val="006515DC"/>
    <w:rsid w:val="006549BE"/>
    <w:rsid w:val="00656049"/>
    <w:rsid w:val="00656972"/>
    <w:rsid w:val="00664FF6"/>
    <w:rsid w:val="0066571C"/>
    <w:rsid w:val="0066601B"/>
    <w:rsid w:val="006660F6"/>
    <w:rsid w:val="006678D9"/>
    <w:rsid w:val="006704F1"/>
    <w:rsid w:val="006741B1"/>
    <w:rsid w:val="0067459C"/>
    <w:rsid w:val="006752A9"/>
    <w:rsid w:val="00676EDA"/>
    <w:rsid w:val="0067706D"/>
    <w:rsid w:val="006779C3"/>
    <w:rsid w:val="00681B2A"/>
    <w:rsid w:val="00682CFD"/>
    <w:rsid w:val="006833B7"/>
    <w:rsid w:val="0068529E"/>
    <w:rsid w:val="0068582F"/>
    <w:rsid w:val="006863B1"/>
    <w:rsid w:val="006869CE"/>
    <w:rsid w:val="00686C2D"/>
    <w:rsid w:val="00690856"/>
    <w:rsid w:val="006908E6"/>
    <w:rsid w:val="00690997"/>
    <w:rsid w:val="00693588"/>
    <w:rsid w:val="006952CA"/>
    <w:rsid w:val="00695DA4"/>
    <w:rsid w:val="006964BE"/>
    <w:rsid w:val="00696772"/>
    <w:rsid w:val="00696B80"/>
    <w:rsid w:val="00697649"/>
    <w:rsid w:val="00697E14"/>
    <w:rsid w:val="006A2473"/>
    <w:rsid w:val="006A2A0D"/>
    <w:rsid w:val="006A40ED"/>
    <w:rsid w:val="006A46DF"/>
    <w:rsid w:val="006A5605"/>
    <w:rsid w:val="006B1BD0"/>
    <w:rsid w:val="006B38D2"/>
    <w:rsid w:val="006B4A65"/>
    <w:rsid w:val="006B69CA"/>
    <w:rsid w:val="006C0C8C"/>
    <w:rsid w:val="006C0E7A"/>
    <w:rsid w:val="006C2769"/>
    <w:rsid w:val="006C4347"/>
    <w:rsid w:val="006C4953"/>
    <w:rsid w:val="006C6FFE"/>
    <w:rsid w:val="006D3B43"/>
    <w:rsid w:val="006D4EF3"/>
    <w:rsid w:val="006D5057"/>
    <w:rsid w:val="006D5A45"/>
    <w:rsid w:val="006D63DF"/>
    <w:rsid w:val="006D7AF5"/>
    <w:rsid w:val="006D7EE1"/>
    <w:rsid w:val="006E080A"/>
    <w:rsid w:val="006E308D"/>
    <w:rsid w:val="006E475F"/>
    <w:rsid w:val="006E56EF"/>
    <w:rsid w:val="006E6F20"/>
    <w:rsid w:val="006F040F"/>
    <w:rsid w:val="006F0E57"/>
    <w:rsid w:val="006F14EB"/>
    <w:rsid w:val="006F15DC"/>
    <w:rsid w:val="006F231D"/>
    <w:rsid w:val="006F29FB"/>
    <w:rsid w:val="006F48E3"/>
    <w:rsid w:val="006F5101"/>
    <w:rsid w:val="006F6F2F"/>
    <w:rsid w:val="0070234A"/>
    <w:rsid w:val="0070476D"/>
    <w:rsid w:val="00704978"/>
    <w:rsid w:val="00705F3A"/>
    <w:rsid w:val="007060AA"/>
    <w:rsid w:val="007073FB"/>
    <w:rsid w:val="00707D8C"/>
    <w:rsid w:val="00710EA1"/>
    <w:rsid w:val="0071261F"/>
    <w:rsid w:val="00712A84"/>
    <w:rsid w:val="007136C4"/>
    <w:rsid w:val="00713B94"/>
    <w:rsid w:val="007144ED"/>
    <w:rsid w:val="00715FE6"/>
    <w:rsid w:val="007171A9"/>
    <w:rsid w:val="007178CE"/>
    <w:rsid w:val="00717F62"/>
    <w:rsid w:val="00721B5F"/>
    <w:rsid w:val="007223BD"/>
    <w:rsid w:val="00722C40"/>
    <w:rsid w:val="007234C1"/>
    <w:rsid w:val="00723E9B"/>
    <w:rsid w:val="00724AED"/>
    <w:rsid w:val="00724C34"/>
    <w:rsid w:val="0072600D"/>
    <w:rsid w:val="007268CE"/>
    <w:rsid w:val="00727870"/>
    <w:rsid w:val="00730D92"/>
    <w:rsid w:val="00730E8C"/>
    <w:rsid w:val="007318C0"/>
    <w:rsid w:val="007323AB"/>
    <w:rsid w:val="00732C89"/>
    <w:rsid w:val="00734810"/>
    <w:rsid w:val="0073493F"/>
    <w:rsid w:val="0073541A"/>
    <w:rsid w:val="00736FD5"/>
    <w:rsid w:val="0073762D"/>
    <w:rsid w:val="00741710"/>
    <w:rsid w:val="007420C5"/>
    <w:rsid w:val="00742E63"/>
    <w:rsid w:val="00744308"/>
    <w:rsid w:val="00744455"/>
    <w:rsid w:val="0074522F"/>
    <w:rsid w:val="007452C3"/>
    <w:rsid w:val="0075050B"/>
    <w:rsid w:val="00750C9B"/>
    <w:rsid w:val="0075102B"/>
    <w:rsid w:val="00751105"/>
    <w:rsid w:val="00755026"/>
    <w:rsid w:val="00762177"/>
    <w:rsid w:val="00762CBC"/>
    <w:rsid w:val="00762D2B"/>
    <w:rsid w:val="00765315"/>
    <w:rsid w:val="00765A35"/>
    <w:rsid w:val="00765AFE"/>
    <w:rsid w:val="00766683"/>
    <w:rsid w:val="007671FE"/>
    <w:rsid w:val="00767245"/>
    <w:rsid w:val="00767F9D"/>
    <w:rsid w:val="007716AF"/>
    <w:rsid w:val="00773868"/>
    <w:rsid w:val="0077431A"/>
    <w:rsid w:val="007754CB"/>
    <w:rsid w:val="007759B0"/>
    <w:rsid w:val="00776A5D"/>
    <w:rsid w:val="00777C5F"/>
    <w:rsid w:val="00780460"/>
    <w:rsid w:val="00781F76"/>
    <w:rsid w:val="007822AB"/>
    <w:rsid w:val="0078374D"/>
    <w:rsid w:val="00785098"/>
    <w:rsid w:val="007856EC"/>
    <w:rsid w:val="00790D44"/>
    <w:rsid w:val="0079170A"/>
    <w:rsid w:val="00792A03"/>
    <w:rsid w:val="0079537B"/>
    <w:rsid w:val="007959C1"/>
    <w:rsid w:val="007968B8"/>
    <w:rsid w:val="007A0DB5"/>
    <w:rsid w:val="007A1B67"/>
    <w:rsid w:val="007A2C0E"/>
    <w:rsid w:val="007A3F93"/>
    <w:rsid w:val="007A4232"/>
    <w:rsid w:val="007A5444"/>
    <w:rsid w:val="007A752F"/>
    <w:rsid w:val="007B0506"/>
    <w:rsid w:val="007B2A9B"/>
    <w:rsid w:val="007B47F6"/>
    <w:rsid w:val="007B54C6"/>
    <w:rsid w:val="007B5D07"/>
    <w:rsid w:val="007B6E0C"/>
    <w:rsid w:val="007C049B"/>
    <w:rsid w:val="007C4481"/>
    <w:rsid w:val="007C4604"/>
    <w:rsid w:val="007D76CC"/>
    <w:rsid w:val="007E0B7F"/>
    <w:rsid w:val="007E1869"/>
    <w:rsid w:val="007E60DC"/>
    <w:rsid w:val="007E78EF"/>
    <w:rsid w:val="007F04BB"/>
    <w:rsid w:val="007F0A91"/>
    <w:rsid w:val="007F2015"/>
    <w:rsid w:val="007F3752"/>
    <w:rsid w:val="007F42F4"/>
    <w:rsid w:val="007F53D1"/>
    <w:rsid w:val="007F5715"/>
    <w:rsid w:val="00803779"/>
    <w:rsid w:val="00805AC1"/>
    <w:rsid w:val="00806F3E"/>
    <w:rsid w:val="008075B6"/>
    <w:rsid w:val="0081185A"/>
    <w:rsid w:val="00811DD1"/>
    <w:rsid w:val="00812280"/>
    <w:rsid w:val="008134F0"/>
    <w:rsid w:val="00813E40"/>
    <w:rsid w:val="0081459F"/>
    <w:rsid w:val="00814AA9"/>
    <w:rsid w:val="008150AB"/>
    <w:rsid w:val="00815A4E"/>
    <w:rsid w:val="00821635"/>
    <w:rsid w:val="008221D2"/>
    <w:rsid w:val="00822608"/>
    <w:rsid w:val="008233A4"/>
    <w:rsid w:val="00826BBF"/>
    <w:rsid w:val="0083062E"/>
    <w:rsid w:val="008315E7"/>
    <w:rsid w:val="00835A36"/>
    <w:rsid w:val="00841D53"/>
    <w:rsid w:val="0084218D"/>
    <w:rsid w:val="008424E7"/>
    <w:rsid w:val="008453AD"/>
    <w:rsid w:val="00845F2C"/>
    <w:rsid w:val="00846EC8"/>
    <w:rsid w:val="00853266"/>
    <w:rsid w:val="0085560A"/>
    <w:rsid w:val="00855AE7"/>
    <w:rsid w:val="00862126"/>
    <w:rsid w:val="008664CA"/>
    <w:rsid w:val="008674EB"/>
    <w:rsid w:val="00870AB3"/>
    <w:rsid w:val="00871745"/>
    <w:rsid w:val="008721EA"/>
    <w:rsid w:val="0087433A"/>
    <w:rsid w:val="00874E1F"/>
    <w:rsid w:val="00876291"/>
    <w:rsid w:val="00881A88"/>
    <w:rsid w:val="00881D3B"/>
    <w:rsid w:val="008831FF"/>
    <w:rsid w:val="00884C1E"/>
    <w:rsid w:val="008859F3"/>
    <w:rsid w:val="00887786"/>
    <w:rsid w:val="00887939"/>
    <w:rsid w:val="00892021"/>
    <w:rsid w:val="00893C52"/>
    <w:rsid w:val="00894226"/>
    <w:rsid w:val="00894EA9"/>
    <w:rsid w:val="00894F54"/>
    <w:rsid w:val="00896898"/>
    <w:rsid w:val="00897ABB"/>
    <w:rsid w:val="008A170B"/>
    <w:rsid w:val="008A39FB"/>
    <w:rsid w:val="008A5372"/>
    <w:rsid w:val="008A5C64"/>
    <w:rsid w:val="008B2088"/>
    <w:rsid w:val="008B28B5"/>
    <w:rsid w:val="008B492C"/>
    <w:rsid w:val="008B563D"/>
    <w:rsid w:val="008B7708"/>
    <w:rsid w:val="008C09E6"/>
    <w:rsid w:val="008C2660"/>
    <w:rsid w:val="008C2D35"/>
    <w:rsid w:val="008C3ECA"/>
    <w:rsid w:val="008C5C36"/>
    <w:rsid w:val="008C6F3D"/>
    <w:rsid w:val="008D2F65"/>
    <w:rsid w:val="008D7112"/>
    <w:rsid w:val="008D7BC3"/>
    <w:rsid w:val="008E41FA"/>
    <w:rsid w:val="008E5728"/>
    <w:rsid w:val="008F082D"/>
    <w:rsid w:val="008F1269"/>
    <w:rsid w:val="008F5FA8"/>
    <w:rsid w:val="0090141D"/>
    <w:rsid w:val="00903755"/>
    <w:rsid w:val="00904247"/>
    <w:rsid w:val="009045B3"/>
    <w:rsid w:val="00907163"/>
    <w:rsid w:val="00910B9F"/>
    <w:rsid w:val="00910FDF"/>
    <w:rsid w:val="00915DEE"/>
    <w:rsid w:val="00916050"/>
    <w:rsid w:val="00917EF6"/>
    <w:rsid w:val="00921F1E"/>
    <w:rsid w:val="00922F51"/>
    <w:rsid w:val="009231FC"/>
    <w:rsid w:val="009236AE"/>
    <w:rsid w:val="009243B2"/>
    <w:rsid w:val="0092646E"/>
    <w:rsid w:val="00927510"/>
    <w:rsid w:val="00930A71"/>
    <w:rsid w:val="00930FA1"/>
    <w:rsid w:val="00933B20"/>
    <w:rsid w:val="0093513F"/>
    <w:rsid w:val="0093563E"/>
    <w:rsid w:val="0093729B"/>
    <w:rsid w:val="009419FC"/>
    <w:rsid w:val="00942A91"/>
    <w:rsid w:val="00942EFA"/>
    <w:rsid w:val="0094318A"/>
    <w:rsid w:val="00943AF7"/>
    <w:rsid w:val="00943FD7"/>
    <w:rsid w:val="00945FD9"/>
    <w:rsid w:val="0094693A"/>
    <w:rsid w:val="009474CE"/>
    <w:rsid w:val="009516D3"/>
    <w:rsid w:val="00952339"/>
    <w:rsid w:val="00955E21"/>
    <w:rsid w:val="00960D11"/>
    <w:rsid w:val="00962434"/>
    <w:rsid w:val="009631C6"/>
    <w:rsid w:val="00964AEF"/>
    <w:rsid w:val="00967E8E"/>
    <w:rsid w:val="00970B84"/>
    <w:rsid w:val="00972776"/>
    <w:rsid w:val="009727E5"/>
    <w:rsid w:val="00973AC5"/>
    <w:rsid w:val="00973BEA"/>
    <w:rsid w:val="00974AE5"/>
    <w:rsid w:val="009765C8"/>
    <w:rsid w:val="0098009F"/>
    <w:rsid w:val="009808BF"/>
    <w:rsid w:val="009811B4"/>
    <w:rsid w:val="00982F09"/>
    <w:rsid w:val="0098341E"/>
    <w:rsid w:val="009872BD"/>
    <w:rsid w:val="00987D30"/>
    <w:rsid w:val="00990916"/>
    <w:rsid w:val="0099113D"/>
    <w:rsid w:val="00992374"/>
    <w:rsid w:val="009927C4"/>
    <w:rsid w:val="00993C97"/>
    <w:rsid w:val="00994D2F"/>
    <w:rsid w:val="009A1520"/>
    <w:rsid w:val="009A4076"/>
    <w:rsid w:val="009A51CA"/>
    <w:rsid w:val="009A52E2"/>
    <w:rsid w:val="009A5B3F"/>
    <w:rsid w:val="009A7C3E"/>
    <w:rsid w:val="009B0B63"/>
    <w:rsid w:val="009B17A6"/>
    <w:rsid w:val="009B2F12"/>
    <w:rsid w:val="009B7EF2"/>
    <w:rsid w:val="009C0BD4"/>
    <w:rsid w:val="009C359D"/>
    <w:rsid w:val="009C3EEF"/>
    <w:rsid w:val="009C5C92"/>
    <w:rsid w:val="009D2407"/>
    <w:rsid w:val="009D35F7"/>
    <w:rsid w:val="009E0BC0"/>
    <w:rsid w:val="009E15FE"/>
    <w:rsid w:val="009E1EC2"/>
    <w:rsid w:val="009E200F"/>
    <w:rsid w:val="009E243F"/>
    <w:rsid w:val="009E27D4"/>
    <w:rsid w:val="009E6CC5"/>
    <w:rsid w:val="009F0140"/>
    <w:rsid w:val="009F0ED9"/>
    <w:rsid w:val="009F419E"/>
    <w:rsid w:val="009F7C90"/>
    <w:rsid w:val="00A01A59"/>
    <w:rsid w:val="00A01D1E"/>
    <w:rsid w:val="00A0281B"/>
    <w:rsid w:val="00A037B7"/>
    <w:rsid w:val="00A0654A"/>
    <w:rsid w:val="00A06FF8"/>
    <w:rsid w:val="00A07147"/>
    <w:rsid w:val="00A07A72"/>
    <w:rsid w:val="00A07F0F"/>
    <w:rsid w:val="00A10413"/>
    <w:rsid w:val="00A106D4"/>
    <w:rsid w:val="00A1339C"/>
    <w:rsid w:val="00A16D16"/>
    <w:rsid w:val="00A223F1"/>
    <w:rsid w:val="00A22415"/>
    <w:rsid w:val="00A257D8"/>
    <w:rsid w:val="00A3044C"/>
    <w:rsid w:val="00A32776"/>
    <w:rsid w:val="00A351AF"/>
    <w:rsid w:val="00A36041"/>
    <w:rsid w:val="00A375F6"/>
    <w:rsid w:val="00A375FA"/>
    <w:rsid w:val="00A37F0B"/>
    <w:rsid w:val="00A407BE"/>
    <w:rsid w:val="00A42144"/>
    <w:rsid w:val="00A45213"/>
    <w:rsid w:val="00A45A53"/>
    <w:rsid w:val="00A46F9B"/>
    <w:rsid w:val="00A46FEC"/>
    <w:rsid w:val="00A471A0"/>
    <w:rsid w:val="00A51882"/>
    <w:rsid w:val="00A51B93"/>
    <w:rsid w:val="00A54194"/>
    <w:rsid w:val="00A5477A"/>
    <w:rsid w:val="00A54976"/>
    <w:rsid w:val="00A56AA2"/>
    <w:rsid w:val="00A579D8"/>
    <w:rsid w:val="00A639A2"/>
    <w:rsid w:val="00A63C69"/>
    <w:rsid w:val="00A65480"/>
    <w:rsid w:val="00A66AA7"/>
    <w:rsid w:val="00A727F7"/>
    <w:rsid w:val="00A73D56"/>
    <w:rsid w:val="00A7484C"/>
    <w:rsid w:val="00A74A25"/>
    <w:rsid w:val="00A7775E"/>
    <w:rsid w:val="00A810C5"/>
    <w:rsid w:val="00A82168"/>
    <w:rsid w:val="00A83B25"/>
    <w:rsid w:val="00A84E30"/>
    <w:rsid w:val="00A850C1"/>
    <w:rsid w:val="00A853D1"/>
    <w:rsid w:val="00A86EB2"/>
    <w:rsid w:val="00A91292"/>
    <w:rsid w:val="00A92CFD"/>
    <w:rsid w:val="00A9366A"/>
    <w:rsid w:val="00A93693"/>
    <w:rsid w:val="00A9519F"/>
    <w:rsid w:val="00A976BD"/>
    <w:rsid w:val="00AA0277"/>
    <w:rsid w:val="00AA117B"/>
    <w:rsid w:val="00AA165C"/>
    <w:rsid w:val="00AA4948"/>
    <w:rsid w:val="00AB0651"/>
    <w:rsid w:val="00AB570F"/>
    <w:rsid w:val="00AB5FEE"/>
    <w:rsid w:val="00AB6E60"/>
    <w:rsid w:val="00AB7F54"/>
    <w:rsid w:val="00AC10D6"/>
    <w:rsid w:val="00AC22EC"/>
    <w:rsid w:val="00AC246E"/>
    <w:rsid w:val="00AC3194"/>
    <w:rsid w:val="00AC62EA"/>
    <w:rsid w:val="00AC6A3B"/>
    <w:rsid w:val="00AD1CED"/>
    <w:rsid w:val="00AD1EB9"/>
    <w:rsid w:val="00AD27D7"/>
    <w:rsid w:val="00AD3CE5"/>
    <w:rsid w:val="00AD46AC"/>
    <w:rsid w:val="00AD7702"/>
    <w:rsid w:val="00AE0B76"/>
    <w:rsid w:val="00AE0E04"/>
    <w:rsid w:val="00AE1263"/>
    <w:rsid w:val="00AE33DB"/>
    <w:rsid w:val="00AE33FA"/>
    <w:rsid w:val="00AE650F"/>
    <w:rsid w:val="00AE6D30"/>
    <w:rsid w:val="00AE7373"/>
    <w:rsid w:val="00AF372A"/>
    <w:rsid w:val="00AF5E4C"/>
    <w:rsid w:val="00B03D8E"/>
    <w:rsid w:val="00B131B5"/>
    <w:rsid w:val="00B13312"/>
    <w:rsid w:val="00B17806"/>
    <w:rsid w:val="00B17DB1"/>
    <w:rsid w:val="00B17DE8"/>
    <w:rsid w:val="00B20208"/>
    <w:rsid w:val="00B2022A"/>
    <w:rsid w:val="00B2238E"/>
    <w:rsid w:val="00B22DE8"/>
    <w:rsid w:val="00B26FFA"/>
    <w:rsid w:val="00B2766A"/>
    <w:rsid w:val="00B32401"/>
    <w:rsid w:val="00B33617"/>
    <w:rsid w:val="00B33C82"/>
    <w:rsid w:val="00B36715"/>
    <w:rsid w:val="00B37A48"/>
    <w:rsid w:val="00B411F3"/>
    <w:rsid w:val="00B44266"/>
    <w:rsid w:val="00B45B6B"/>
    <w:rsid w:val="00B46239"/>
    <w:rsid w:val="00B46FD1"/>
    <w:rsid w:val="00B4713A"/>
    <w:rsid w:val="00B50BFB"/>
    <w:rsid w:val="00B527BA"/>
    <w:rsid w:val="00B5310E"/>
    <w:rsid w:val="00B533FE"/>
    <w:rsid w:val="00B543B5"/>
    <w:rsid w:val="00B5611F"/>
    <w:rsid w:val="00B56130"/>
    <w:rsid w:val="00B57C2A"/>
    <w:rsid w:val="00B60601"/>
    <w:rsid w:val="00B61D2C"/>
    <w:rsid w:val="00B65A9F"/>
    <w:rsid w:val="00B757BE"/>
    <w:rsid w:val="00B766E5"/>
    <w:rsid w:val="00B82DA4"/>
    <w:rsid w:val="00B834E3"/>
    <w:rsid w:val="00B846AC"/>
    <w:rsid w:val="00B86A77"/>
    <w:rsid w:val="00B90929"/>
    <w:rsid w:val="00B91A27"/>
    <w:rsid w:val="00B92A30"/>
    <w:rsid w:val="00B92AA1"/>
    <w:rsid w:val="00B934D7"/>
    <w:rsid w:val="00B944F0"/>
    <w:rsid w:val="00B94DD1"/>
    <w:rsid w:val="00BA13D7"/>
    <w:rsid w:val="00BA1A40"/>
    <w:rsid w:val="00BA3CAD"/>
    <w:rsid w:val="00BA3F23"/>
    <w:rsid w:val="00BA4F9F"/>
    <w:rsid w:val="00BA65AB"/>
    <w:rsid w:val="00BA76C7"/>
    <w:rsid w:val="00BB5A28"/>
    <w:rsid w:val="00BB5CDC"/>
    <w:rsid w:val="00BB7243"/>
    <w:rsid w:val="00BB7ABC"/>
    <w:rsid w:val="00BC0A47"/>
    <w:rsid w:val="00BC3992"/>
    <w:rsid w:val="00BC4EB4"/>
    <w:rsid w:val="00BC5583"/>
    <w:rsid w:val="00BC58DC"/>
    <w:rsid w:val="00BD0B70"/>
    <w:rsid w:val="00BD4497"/>
    <w:rsid w:val="00BD6B3A"/>
    <w:rsid w:val="00BE2DE6"/>
    <w:rsid w:val="00BE49A3"/>
    <w:rsid w:val="00BE57C0"/>
    <w:rsid w:val="00BF18F5"/>
    <w:rsid w:val="00C00213"/>
    <w:rsid w:val="00C01E71"/>
    <w:rsid w:val="00C04F3E"/>
    <w:rsid w:val="00C04FE7"/>
    <w:rsid w:val="00C05CD9"/>
    <w:rsid w:val="00C06E87"/>
    <w:rsid w:val="00C07D34"/>
    <w:rsid w:val="00C10A9E"/>
    <w:rsid w:val="00C1147B"/>
    <w:rsid w:val="00C155E0"/>
    <w:rsid w:val="00C15686"/>
    <w:rsid w:val="00C20B0A"/>
    <w:rsid w:val="00C24373"/>
    <w:rsid w:val="00C247E2"/>
    <w:rsid w:val="00C24C2C"/>
    <w:rsid w:val="00C26CDD"/>
    <w:rsid w:val="00C26E38"/>
    <w:rsid w:val="00C30003"/>
    <w:rsid w:val="00C3135F"/>
    <w:rsid w:val="00C320C5"/>
    <w:rsid w:val="00C34248"/>
    <w:rsid w:val="00C373F4"/>
    <w:rsid w:val="00C37C96"/>
    <w:rsid w:val="00C37FAC"/>
    <w:rsid w:val="00C40901"/>
    <w:rsid w:val="00C447B1"/>
    <w:rsid w:val="00C44DE3"/>
    <w:rsid w:val="00C47FD8"/>
    <w:rsid w:val="00C50103"/>
    <w:rsid w:val="00C5179F"/>
    <w:rsid w:val="00C52326"/>
    <w:rsid w:val="00C53045"/>
    <w:rsid w:val="00C535C6"/>
    <w:rsid w:val="00C54BD5"/>
    <w:rsid w:val="00C55552"/>
    <w:rsid w:val="00C566BA"/>
    <w:rsid w:val="00C571E0"/>
    <w:rsid w:val="00C57D8D"/>
    <w:rsid w:val="00C61301"/>
    <w:rsid w:val="00C61BAC"/>
    <w:rsid w:val="00C64432"/>
    <w:rsid w:val="00C64877"/>
    <w:rsid w:val="00C6723C"/>
    <w:rsid w:val="00C74FC0"/>
    <w:rsid w:val="00C752C5"/>
    <w:rsid w:val="00C75675"/>
    <w:rsid w:val="00C773F9"/>
    <w:rsid w:val="00C81ED0"/>
    <w:rsid w:val="00C85ECD"/>
    <w:rsid w:val="00C86DEF"/>
    <w:rsid w:val="00C90704"/>
    <w:rsid w:val="00C90A2B"/>
    <w:rsid w:val="00C92103"/>
    <w:rsid w:val="00C934D2"/>
    <w:rsid w:val="00C93526"/>
    <w:rsid w:val="00C95267"/>
    <w:rsid w:val="00CA2311"/>
    <w:rsid w:val="00CA316F"/>
    <w:rsid w:val="00CA51C7"/>
    <w:rsid w:val="00CA57A8"/>
    <w:rsid w:val="00CA5949"/>
    <w:rsid w:val="00CA69B1"/>
    <w:rsid w:val="00CA6A71"/>
    <w:rsid w:val="00CA6C34"/>
    <w:rsid w:val="00CA6CC3"/>
    <w:rsid w:val="00CA6DC0"/>
    <w:rsid w:val="00CA711B"/>
    <w:rsid w:val="00CA7E57"/>
    <w:rsid w:val="00CB4345"/>
    <w:rsid w:val="00CB66F4"/>
    <w:rsid w:val="00CC287A"/>
    <w:rsid w:val="00CC45B5"/>
    <w:rsid w:val="00CC475A"/>
    <w:rsid w:val="00CC5D7E"/>
    <w:rsid w:val="00CD04C1"/>
    <w:rsid w:val="00CD4788"/>
    <w:rsid w:val="00CD62A7"/>
    <w:rsid w:val="00CD6798"/>
    <w:rsid w:val="00CD6BF1"/>
    <w:rsid w:val="00CD6D63"/>
    <w:rsid w:val="00CE58F4"/>
    <w:rsid w:val="00CF3A80"/>
    <w:rsid w:val="00CF7B0F"/>
    <w:rsid w:val="00D04A6D"/>
    <w:rsid w:val="00D05B15"/>
    <w:rsid w:val="00D0730C"/>
    <w:rsid w:val="00D145C7"/>
    <w:rsid w:val="00D166D3"/>
    <w:rsid w:val="00D22650"/>
    <w:rsid w:val="00D23203"/>
    <w:rsid w:val="00D23C19"/>
    <w:rsid w:val="00D23FDC"/>
    <w:rsid w:val="00D25748"/>
    <w:rsid w:val="00D26F3B"/>
    <w:rsid w:val="00D30F74"/>
    <w:rsid w:val="00D30FD6"/>
    <w:rsid w:val="00D31656"/>
    <w:rsid w:val="00D327E0"/>
    <w:rsid w:val="00D33E28"/>
    <w:rsid w:val="00D377BB"/>
    <w:rsid w:val="00D4210C"/>
    <w:rsid w:val="00D42925"/>
    <w:rsid w:val="00D42D50"/>
    <w:rsid w:val="00D43FDB"/>
    <w:rsid w:val="00D45686"/>
    <w:rsid w:val="00D46B94"/>
    <w:rsid w:val="00D47718"/>
    <w:rsid w:val="00D4780A"/>
    <w:rsid w:val="00D47919"/>
    <w:rsid w:val="00D505D5"/>
    <w:rsid w:val="00D51191"/>
    <w:rsid w:val="00D51A29"/>
    <w:rsid w:val="00D5445B"/>
    <w:rsid w:val="00D5769B"/>
    <w:rsid w:val="00D620F1"/>
    <w:rsid w:val="00D66881"/>
    <w:rsid w:val="00D72291"/>
    <w:rsid w:val="00D7265B"/>
    <w:rsid w:val="00D728D4"/>
    <w:rsid w:val="00D73846"/>
    <w:rsid w:val="00D74C34"/>
    <w:rsid w:val="00D74EAA"/>
    <w:rsid w:val="00D76E4A"/>
    <w:rsid w:val="00D806E0"/>
    <w:rsid w:val="00D820A2"/>
    <w:rsid w:val="00D82741"/>
    <w:rsid w:val="00D847C0"/>
    <w:rsid w:val="00D84FC4"/>
    <w:rsid w:val="00D8580A"/>
    <w:rsid w:val="00D86122"/>
    <w:rsid w:val="00D872D4"/>
    <w:rsid w:val="00DA07B2"/>
    <w:rsid w:val="00DA2367"/>
    <w:rsid w:val="00DA367E"/>
    <w:rsid w:val="00DA54A8"/>
    <w:rsid w:val="00DA5A00"/>
    <w:rsid w:val="00DA6573"/>
    <w:rsid w:val="00DA678E"/>
    <w:rsid w:val="00DA73DC"/>
    <w:rsid w:val="00DA7B70"/>
    <w:rsid w:val="00DA7F6B"/>
    <w:rsid w:val="00DB0030"/>
    <w:rsid w:val="00DB0535"/>
    <w:rsid w:val="00DB098B"/>
    <w:rsid w:val="00DB3D05"/>
    <w:rsid w:val="00DB4BB2"/>
    <w:rsid w:val="00DB5793"/>
    <w:rsid w:val="00DB6B6F"/>
    <w:rsid w:val="00DC55FD"/>
    <w:rsid w:val="00DD5DF2"/>
    <w:rsid w:val="00DD5F73"/>
    <w:rsid w:val="00DE53D1"/>
    <w:rsid w:val="00DE5627"/>
    <w:rsid w:val="00DE66E8"/>
    <w:rsid w:val="00DE6CCF"/>
    <w:rsid w:val="00DF033F"/>
    <w:rsid w:val="00DF0F4E"/>
    <w:rsid w:val="00DF24E9"/>
    <w:rsid w:val="00DF2558"/>
    <w:rsid w:val="00DF387B"/>
    <w:rsid w:val="00DF420D"/>
    <w:rsid w:val="00DF62A5"/>
    <w:rsid w:val="00DF6387"/>
    <w:rsid w:val="00DF77A2"/>
    <w:rsid w:val="00E01F43"/>
    <w:rsid w:val="00E02ED8"/>
    <w:rsid w:val="00E04686"/>
    <w:rsid w:val="00E04B44"/>
    <w:rsid w:val="00E04D0B"/>
    <w:rsid w:val="00E05E1D"/>
    <w:rsid w:val="00E075D0"/>
    <w:rsid w:val="00E13212"/>
    <w:rsid w:val="00E13DBE"/>
    <w:rsid w:val="00E1459F"/>
    <w:rsid w:val="00E16D8B"/>
    <w:rsid w:val="00E17C86"/>
    <w:rsid w:val="00E207E1"/>
    <w:rsid w:val="00E2559E"/>
    <w:rsid w:val="00E26748"/>
    <w:rsid w:val="00E30793"/>
    <w:rsid w:val="00E33FCE"/>
    <w:rsid w:val="00E34250"/>
    <w:rsid w:val="00E35E94"/>
    <w:rsid w:val="00E373BB"/>
    <w:rsid w:val="00E375B0"/>
    <w:rsid w:val="00E4336D"/>
    <w:rsid w:val="00E453D6"/>
    <w:rsid w:val="00E50056"/>
    <w:rsid w:val="00E50BA0"/>
    <w:rsid w:val="00E51AB8"/>
    <w:rsid w:val="00E52371"/>
    <w:rsid w:val="00E538E5"/>
    <w:rsid w:val="00E56120"/>
    <w:rsid w:val="00E56B05"/>
    <w:rsid w:val="00E57E6C"/>
    <w:rsid w:val="00E601A9"/>
    <w:rsid w:val="00E63370"/>
    <w:rsid w:val="00E63703"/>
    <w:rsid w:val="00E63836"/>
    <w:rsid w:val="00E63B49"/>
    <w:rsid w:val="00E64194"/>
    <w:rsid w:val="00E70B46"/>
    <w:rsid w:val="00E715F2"/>
    <w:rsid w:val="00E729CB"/>
    <w:rsid w:val="00E7430F"/>
    <w:rsid w:val="00E7635B"/>
    <w:rsid w:val="00E80365"/>
    <w:rsid w:val="00E80719"/>
    <w:rsid w:val="00E81DCD"/>
    <w:rsid w:val="00E82EF1"/>
    <w:rsid w:val="00E85B90"/>
    <w:rsid w:val="00E85BFD"/>
    <w:rsid w:val="00E874E1"/>
    <w:rsid w:val="00E9203E"/>
    <w:rsid w:val="00E92148"/>
    <w:rsid w:val="00E93C5C"/>
    <w:rsid w:val="00E976C2"/>
    <w:rsid w:val="00EA23D9"/>
    <w:rsid w:val="00EA2C9B"/>
    <w:rsid w:val="00EA3B4D"/>
    <w:rsid w:val="00EA46DC"/>
    <w:rsid w:val="00EA7774"/>
    <w:rsid w:val="00EB08B6"/>
    <w:rsid w:val="00EB0AC2"/>
    <w:rsid w:val="00EB2F14"/>
    <w:rsid w:val="00EB39B5"/>
    <w:rsid w:val="00EB3B77"/>
    <w:rsid w:val="00EB6552"/>
    <w:rsid w:val="00EB67FB"/>
    <w:rsid w:val="00EB7A67"/>
    <w:rsid w:val="00EB7B02"/>
    <w:rsid w:val="00EC0D6A"/>
    <w:rsid w:val="00EC189F"/>
    <w:rsid w:val="00EC276C"/>
    <w:rsid w:val="00EC3022"/>
    <w:rsid w:val="00EC3718"/>
    <w:rsid w:val="00EC4175"/>
    <w:rsid w:val="00EC5C20"/>
    <w:rsid w:val="00ED01A5"/>
    <w:rsid w:val="00ED18D0"/>
    <w:rsid w:val="00ED3CA6"/>
    <w:rsid w:val="00ED4B0D"/>
    <w:rsid w:val="00ED4C7C"/>
    <w:rsid w:val="00ED5236"/>
    <w:rsid w:val="00ED7CBA"/>
    <w:rsid w:val="00ED7D03"/>
    <w:rsid w:val="00EE108D"/>
    <w:rsid w:val="00EE1FAE"/>
    <w:rsid w:val="00EE2342"/>
    <w:rsid w:val="00EE4543"/>
    <w:rsid w:val="00EE5FA7"/>
    <w:rsid w:val="00EE782F"/>
    <w:rsid w:val="00EF0DA7"/>
    <w:rsid w:val="00EF175D"/>
    <w:rsid w:val="00EF249B"/>
    <w:rsid w:val="00EF381A"/>
    <w:rsid w:val="00EF4206"/>
    <w:rsid w:val="00EF44BA"/>
    <w:rsid w:val="00EF45EC"/>
    <w:rsid w:val="00EF67D4"/>
    <w:rsid w:val="00F02124"/>
    <w:rsid w:val="00F02CA5"/>
    <w:rsid w:val="00F069A4"/>
    <w:rsid w:val="00F13BFC"/>
    <w:rsid w:val="00F16639"/>
    <w:rsid w:val="00F227E4"/>
    <w:rsid w:val="00F2398B"/>
    <w:rsid w:val="00F23A27"/>
    <w:rsid w:val="00F23C39"/>
    <w:rsid w:val="00F25BFB"/>
    <w:rsid w:val="00F3199A"/>
    <w:rsid w:val="00F31E99"/>
    <w:rsid w:val="00F32096"/>
    <w:rsid w:val="00F340DE"/>
    <w:rsid w:val="00F40E40"/>
    <w:rsid w:val="00F41B99"/>
    <w:rsid w:val="00F428C2"/>
    <w:rsid w:val="00F44047"/>
    <w:rsid w:val="00F44C12"/>
    <w:rsid w:val="00F521D7"/>
    <w:rsid w:val="00F52E14"/>
    <w:rsid w:val="00F53983"/>
    <w:rsid w:val="00F60FFF"/>
    <w:rsid w:val="00F62BCA"/>
    <w:rsid w:val="00F67DBF"/>
    <w:rsid w:val="00F67FA9"/>
    <w:rsid w:val="00F700CC"/>
    <w:rsid w:val="00F70621"/>
    <w:rsid w:val="00F759BC"/>
    <w:rsid w:val="00F75DF6"/>
    <w:rsid w:val="00F773AA"/>
    <w:rsid w:val="00F7798C"/>
    <w:rsid w:val="00F77B0A"/>
    <w:rsid w:val="00F81448"/>
    <w:rsid w:val="00F84945"/>
    <w:rsid w:val="00F9187D"/>
    <w:rsid w:val="00F91D04"/>
    <w:rsid w:val="00F921C8"/>
    <w:rsid w:val="00F92848"/>
    <w:rsid w:val="00F92F26"/>
    <w:rsid w:val="00F93581"/>
    <w:rsid w:val="00F9366E"/>
    <w:rsid w:val="00F9588F"/>
    <w:rsid w:val="00F96BAF"/>
    <w:rsid w:val="00F972A5"/>
    <w:rsid w:val="00FA0177"/>
    <w:rsid w:val="00FA0AB8"/>
    <w:rsid w:val="00FA215A"/>
    <w:rsid w:val="00FA237B"/>
    <w:rsid w:val="00FA2FB7"/>
    <w:rsid w:val="00FA3344"/>
    <w:rsid w:val="00FA52C2"/>
    <w:rsid w:val="00FA5C9D"/>
    <w:rsid w:val="00FA74E9"/>
    <w:rsid w:val="00FB23E7"/>
    <w:rsid w:val="00FB361E"/>
    <w:rsid w:val="00FB505D"/>
    <w:rsid w:val="00FB51C3"/>
    <w:rsid w:val="00FB584B"/>
    <w:rsid w:val="00FB6497"/>
    <w:rsid w:val="00FB67CE"/>
    <w:rsid w:val="00FB7C7F"/>
    <w:rsid w:val="00FB7E01"/>
    <w:rsid w:val="00FC0114"/>
    <w:rsid w:val="00FC10CD"/>
    <w:rsid w:val="00FC1DE4"/>
    <w:rsid w:val="00FC2E46"/>
    <w:rsid w:val="00FC3AAD"/>
    <w:rsid w:val="00FC47E0"/>
    <w:rsid w:val="00FD0603"/>
    <w:rsid w:val="00FD0815"/>
    <w:rsid w:val="00FD098D"/>
    <w:rsid w:val="00FD2887"/>
    <w:rsid w:val="00FD35F0"/>
    <w:rsid w:val="00FD47DC"/>
    <w:rsid w:val="00FD604A"/>
    <w:rsid w:val="00FE5070"/>
    <w:rsid w:val="00FF2A47"/>
    <w:rsid w:val="00FF6769"/>
    <w:rsid w:val="00FF6975"/>
    <w:rsid w:val="3D211F38"/>
    <w:rsid w:val="47C86DC7"/>
    <w:rsid w:val="62A15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iPriority="0" w:name="Body Text First Indent 2"/>
    <w:lsdException w:uiPriority="99" w:name="Note Heading"/>
    <w:lsdException w:qFormat="1" w:uiPriority="0" w:semiHidden="0"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iPriority="0" w:semiHidden="0" w:name="Table Grid"/>
    <w:lsdException w:uiPriority="99"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49"/>
    <w:qFormat/>
    <w:uiPriority w:val="0"/>
    <w:pPr>
      <w:keepNext/>
      <w:keepLines/>
      <w:pageBreakBefore/>
      <w:numPr>
        <w:ilvl w:val="0"/>
        <w:numId w:val="1"/>
      </w:numPr>
      <w:spacing w:before="50" w:beforeLines="50" w:after="50" w:afterLines="50"/>
      <w:jc w:val="center"/>
      <w:outlineLvl w:val="0"/>
    </w:pPr>
    <w:rPr>
      <w:b/>
      <w:bCs/>
      <w:kern w:val="44"/>
      <w:sz w:val="32"/>
      <w:szCs w:val="44"/>
    </w:rPr>
  </w:style>
  <w:style w:type="paragraph" w:styleId="3">
    <w:name w:val="heading 2"/>
    <w:basedOn w:val="1"/>
    <w:next w:val="1"/>
    <w:link w:val="50"/>
    <w:unhideWhenUsed/>
    <w:qFormat/>
    <w:uiPriority w:val="0"/>
    <w:pPr>
      <w:keepNext/>
      <w:keepLines/>
      <w:numPr>
        <w:ilvl w:val="1"/>
        <w:numId w:val="1"/>
      </w:numPr>
      <w:spacing w:before="30" w:beforeLines="30" w:after="30" w:afterLines="30"/>
      <w:ind w:firstLineChars="0"/>
      <w:jc w:val="left"/>
      <w:outlineLvl w:val="1"/>
    </w:pPr>
    <w:rPr>
      <w:rFonts w:cstheme="majorBidi"/>
      <w:b/>
      <w:bCs/>
      <w:szCs w:val="32"/>
    </w:rPr>
  </w:style>
  <w:style w:type="paragraph" w:styleId="4">
    <w:name w:val="heading 3"/>
    <w:basedOn w:val="1"/>
    <w:next w:val="1"/>
    <w:link w:val="51"/>
    <w:unhideWhenUsed/>
    <w:qFormat/>
    <w:uiPriority w:val="0"/>
    <w:pPr>
      <w:keepNext/>
      <w:keepLines/>
      <w:numPr>
        <w:ilvl w:val="2"/>
        <w:numId w:val="1"/>
      </w:numPr>
      <w:spacing w:before="20" w:beforeLines="20" w:after="20" w:afterLines="20"/>
      <w:ind w:left="0" w:firstLineChars="0"/>
      <w:outlineLvl w:val="2"/>
    </w:pPr>
    <w:rPr>
      <w:b/>
      <w:bCs/>
      <w:szCs w:val="32"/>
    </w:rPr>
  </w:style>
  <w:style w:type="paragraph" w:styleId="5">
    <w:name w:val="heading 4"/>
    <w:basedOn w:val="1"/>
    <w:next w:val="1"/>
    <w:link w:val="52"/>
    <w:unhideWhenUsed/>
    <w:qFormat/>
    <w:uiPriority w:val="0"/>
    <w:pPr>
      <w:keepNext/>
      <w:keepLines/>
      <w:numPr>
        <w:ilvl w:val="3"/>
        <w:numId w:val="1"/>
      </w:numPr>
      <w:ind w:firstLineChars="0"/>
      <w:jc w:val="left"/>
      <w:outlineLvl w:val="3"/>
    </w:pPr>
    <w:rPr>
      <w:rFonts w:cstheme="majorBidi"/>
      <w:b/>
      <w:bCs/>
      <w:szCs w:val="28"/>
    </w:rPr>
  </w:style>
  <w:style w:type="paragraph" w:styleId="6">
    <w:name w:val="heading 5"/>
    <w:basedOn w:val="1"/>
    <w:next w:val="1"/>
    <w:link w:val="53"/>
    <w:unhideWhenUsed/>
    <w:qFormat/>
    <w:uiPriority w:val="0"/>
    <w:pPr>
      <w:keepNext/>
      <w:keepLines/>
      <w:numPr>
        <w:ilvl w:val="4"/>
        <w:numId w:val="1"/>
      </w:numPr>
      <w:ind w:firstLineChars="0"/>
      <w:outlineLvl w:val="4"/>
    </w:pPr>
    <w:rPr>
      <w:b/>
      <w:bCs/>
      <w:sz w:val="21"/>
      <w:szCs w:val="28"/>
    </w:rPr>
  </w:style>
  <w:style w:type="paragraph" w:styleId="7">
    <w:name w:val="heading 6"/>
    <w:basedOn w:val="1"/>
    <w:next w:val="1"/>
    <w:link w:val="54"/>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55"/>
    <w:semiHidden/>
    <w:unhideWhenUsed/>
    <w:qFormat/>
    <w:uiPriority w:val="0"/>
    <w:pPr>
      <w:keepNext/>
      <w:keepLines/>
      <w:numPr>
        <w:ilvl w:val="6"/>
        <w:numId w:val="2"/>
      </w:numPr>
      <w:spacing w:before="240" w:after="64" w:line="320" w:lineRule="auto"/>
      <w:outlineLvl w:val="6"/>
    </w:pPr>
    <w:rPr>
      <w:b/>
      <w:bCs/>
      <w:szCs w:val="24"/>
    </w:rPr>
  </w:style>
  <w:style w:type="paragraph" w:styleId="9">
    <w:name w:val="heading 8"/>
    <w:basedOn w:val="1"/>
    <w:next w:val="1"/>
    <w:link w:val="56"/>
    <w:semiHidden/>
    <w:unhideWhenUsed/>
    <w:qFormat/>
    <w:uiPriority w:val="0"/>
    <w:pPr>
      <w:keepNext/>
      <w:keepLines/>
      <w:numPr>
        <w:ilvl w:val="7"/>
        <w:numId w:val="2"/>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57"/>
    <w:semiHidden/>
    <w:unhideWhenUsed/>
    <w:qFormat/>
    <w:uiPriority w:val="0"/>
    <w:pPr>
      <w:keepNext/>
      <w:keepLines/>
      <w:numPr>
        <w:ilvl w:val="8"/>
        <w:numId w:val="2"/>
      </w:numPr>
      <w:spacing w:before="240" w:after="64" w:line="320" w:lineRule="auto"/>
      <w:outlineLvl w:val="8"/>
    </w:pPr>
    <w:rPr>
      <w:rFonts w:asciiTheme="majorHAnsi" w:hAnsiTheme="majorHAnsi" w:eastAsiaTheme="majorEastAsia" w:cstheme="majorBidi"/>
      <w:sz w:val="21"/>
      <w:szCs w:val="21"/>
    </w:rPr>
  </w:style>
  <w:style w:type="character" w:default="1" w:styleId="43">
    <w:name w:val="Default Paragraph Font"/>
    <w:semiHidden/>
    <w:unhideWhenUsed/>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12">
    <w:name w:val="Normal Indent"/>
    <w:basedOn w:val="1"/>
    <w:qFormat/>
    <w:uiPriority w:val="0"/>
    <w:pPr>
      <w:spacing w:line="500" w:lineRule="exact"/>
      <w:ind w:firstLine="560"/>
    </w:pPr>
    <w:rPr>
      <w:rFonts w:ascii="仿宋_GB2312" w:eastAsia="仿宋_GB2312" w:cs="仿宋_GB2312"/>
      <w:sz w:val="28"/>
      <w:szCs w:val="28"/>
    </w:rPr>
  </w:style>
  <w:style w:type="paragraph" w:styleId="13">
    <w:name w:val="caption"/>
    <w:basedOn w:val="1"/>
    <w:next w:val="1"/>
    <w:unhideWhenUsed/>
    <w:qFormat/>
    <w:uiPriority w:val="0"/>
    <w:rPr>
      <w:rFonts w:cstheme="majorBidi"/>
      <w:sz w:val="21"/>
      <w:szCs w:val="20"/>
    </w:rPr>
  </w:style>
  <w:style w:type="paragraph" w:styleId="14">
    <w:name w:val="annotation text"/>
    <w:basedOn w:val="1"/>
    <w:link w:val="86"/>
    <w:unhideWhenUsed/>
    <w:qFormat/>
    <w:uiPriority w:val="0"/>
    <w:pPr>
      <w:jc w:val="left"/>
    </w:pPr>
  </w:style>
  <w:style w:type="paragraph" w:styleId="15">
    <w:name w:val="Body Text"/>
    <w:basedOn w:val="1"/>
    <w:next w:val="16"/>
    <w:link w:val="176"/>
    <w:qFormat/>
    <w:uiPriority w:val="0"/>
    <w:pPr>
      <w:widowControl/>
      <w:snapToGrid w:val="0"/>
      <w:spacing w:before="60" w:after="160" w:line="259" w:lineRule="auto"/>
      <w:ind w:right="113"/>
    </w:pPr>
    <w:rPr>
      <w:rFonts w:cs="Times New Roman"/>
      <w:kern w:val="0"/>
      <w:sz w:val="18"/>
      <w:szCs w:val="18"/>
    </w:rPr>
  </w:style>
  <w:style w:type="paragraph" w:customStyle="1" w:styleId="16">
    <w:name w:val="明显引用1"/>
    <w:next w:val="1"/>
    <w:qFormat/>
    <w:uiPriority w:val="0"/>
    <w:pPr>
      <w:wordWrap w:val="0"/>
      <w:spacing w:before="360" w:after="360"/>
      <w:ind w:left="950" w:right="950"/>
      <w:jc w:val="center"/>
    </w:pPr>
    <w:rPr>
      <w:rFonts w:ascii="Times New Roman" w:hAnsi="Times New Roman" w:eastAsia="宋体" w:cs="Times New Roman"/>
      <w:i/>
      <w:kern w:val="0"/>
      <w:sz w:val="21"/>
      <w:szCs w:val="20"/>
      <w:lang w:val="en-US" w:eastAsia="zh-CN" w:bidi="ar-SA"/>
    </w:rPr>
  </w:style>
  <w:style w:type="paragraph" w:styleId="17">
    <w:name w:val="Body Text Indent"/>
    <w:basedOn w:val="1"/>
    <w:link w:val="157"/>
    <w:unhideWhenUsed/>
    <w:qFormat/>
    <w:uiPriority w:val="0"/>
    <w:pPr>
      <w:spacing w:after="120"/>
      <w:ind w:left="420" w:leftChars="200"/>
    </w:pPr>
  </w:style>
  <w:style w:type="paragraph" w:styleId="18">
    <w:name w:val="toc 5"/>
    <w:basedOn w:val="1"/>
    <w:next w:val="1"/>
    <w:autoRedefine/>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19">
    <w:name w:val="toc 3"/>
    <w:basedOn w:val="1"/>
    <w:next w:val="1"/>
    <w:autoRedefine/>
    <w:unhideWhenUsed/>
    <w:qFormat/>
    <w:uiPriority w:val="39"/>
    <w:pPr>
      <w:ind w:firstLine="400" w:firstLineChars="400"/>
    </w:pPr>
  </w:style>
  <w:style w:type="paragraph" w:styleId="20">
    <w:name w:val="Plain Text"/>
    <w:basedOn w:val="1"/>
    <w:next w:val="1"/>
    <w:link w:val="177"/>
    <w:qFormat/>
    <w:uiPriority w:val="0"/>
    <w:pPr>
      <w:autoSpaceDE w:val="0"/>
      <w:autoSpaceDN w:val="0"/>
      <w:adjustRightInd w:val="0"/>
      <w:spacing w:line="288" w:lineRule="auto"/>
      <w:ind w:firstLine="601" w:firstLineChars="0"/>
      <w:textAlignment w:val="baseline"/>
    </w:pPr>
    <w:rPr>
      <w:rFonts w:ascii="宋体" w:hAnsi="Courier New" w:cs="Times New Roman"/>
      <w:kern w:val="0"/>
      <w:szCs w:val="20"/>
    </w:rPr>
  </w:style>
  <w:style w:type="paragraph" w:styleId="21">
    <w:name w:val="toc 8"/>
    <w:basedOn w:val="1"/>
    <w:next w:val="1"/>
    <w:autoRedefine/>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22">
    <w:name w:val="Date"/>
    <w:basedOn w:val="1"/>
    <w:next w:val="1"/>
    <w:link w:val="69"/>
    <w:unhideWhenUsed/>
    <w:qFormat/>
    <w:uiPriority w:val="0"/>
    <w:pPr>
      <w:ind w:left="100" w:leftChars="2500"/>
    </w:pPr>
  </w:style>
  <w:style w:type="paragraph" w:styleId="23">
    <w:name w:val="Body Text Indent 2"/>
    <w:basedOn w:val="1"/>
    <w:link w:val="164"/>
    <w:unhideWhenUsed/>
    <w:qFormat/>
    <w:uiPriority w:val="0"/>
    <w:pPr>
      <w:spacing w:after="120" w:line="480" w:lineRule="auto"/>
      <w:ind w:left="420" w:leftChars="200"/>
    </w:pPr>
  </w:style>
  <w:style w:type="paragraph" w:styleId="24">
    <w:name w:val="Balloon Text"/>
    <w:basedOn w:val="1"/>
    <w:link w:val="80"/>
    <w:semiHidden/>
    <w:unhideWhenUsed/>
    <w:qFormat/>
    <w:uiPriority w:val="0"/>
    <w:pPr>
      <w:spacing w:line="240" w:lineRule="auto"/>
    </w:pPr>
    <w:rPr>
      <w:sz w:val="18"/>
      <w:szCs w:val="18"/>
    </w:rPr>
  </w:style>
  <w:style w:type="paragraph" w:styleId="25">
    <w:name w:val="footer"/>
    <w:basedOn w:val="1"/>
    <w:link w:val="59"/>
    <w:unhideWhenUsed/>
    <w:qFormat/>
    <w:uiPriority w:val="99"/>
    <w:pPr>
      <w:tabs>
        <w:tab w:val="center" w:pos="4153"/>
        <w:tab w:val="right" w:pos="8306"/>
      </w:tabs>
      <w:snapToGrid w:val="0"/>
      <w:jc w:val="left"/>
    </w:pPr>
    <w:rPr>
      <w:sz w:val="18"/>
      <w:szCs w:val="18"/>
    </w:rPr>
  </w:style>
  <w:style w:type="paragraph" w:styleId="26">
    <w:name w:val="header"/>
    <w:basedOn w:val="1"/>
    <w:link w:val="58"/>
    <w:unhideWhenUsed/>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autoRedefine/>
    <w:unhideWhenUsed/>
    <w:qFormat/>
    <w:uiPriority w:val="39"/>
    <w:pPr>
      <w:ind w:firstLine="0" w:firstLineChars="0"/>
    </w:pPr>
    <w:rPr>
      <w:b/>
    </w:rPr>
  </w:style>
  <w:style w:type="paragraph" w:styleId="28">
    <w:name w:val="toc 4"/>
    <w:basedOn w:val="1"/>
    <w:next w:val="1"/>
    <w:autoRedefine/>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29">
    <w:name w:val="footnote text"/>
    <w:basedOn w:val="1"/>
    <w:link w:val="82"/>
    <w:semiHidden/>
    <w:unhideWhenUsed/>
    <w:qFormat/>
    <w:uiPriority w:val="99"/>
    <w:pPr>
      <w:snapToGrid w:val="0"/>
      <w:jc w:val="left"/>
    </w:pPr>
    <w:rPr>
      <w:sz w:val="18"/>
      <w:szCs w:val="18"/>
    </w:rPr>
  </w:style>
  <w:style w:type="paragraph" w:styleId="30">
    <w:name w:val="toc 6"/>
    <w:basedOn w:val="1"/>
    <w:next w:val="1"/>
    <w:autoRedefine/>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31">
    <w:name w:val="table of figures"/>
    <w:basedOn w:val="1"/>
    <w:next w:val="1"/>
    <w:unhideWhenUsed/>
    <w:qFormat/>
    <w:uiPriority w:val="99"/>
    <w:pPr>
      <w:ind w:firstLine="0" w:firstLineChars="0"/>
    </w:pPr>
  </w:style>
  <w:style w:type="paragraph" w:styleId="32">
    <w:name w:val="toc 2"/>
    <w:basedOn w:val="1"/>
    <w:next w:val="1"/>
    <w:autoRedefine/>
    <w:unhideWhenUsed/>
    <w:qFormat/>
    <w:uiPriority w:val="39"/>
  </w:style>
  <w:style w:type="paragraph" w:styleId="33">
    <w:name w:val="toc 9"/>
    <w:basedOn w:val="1"/>
    <w:next w:val="1"/>
    <w:autoRedefine/>
    <w:unhideWhenUsed/>
    <w:qFormat/>
    <w:uiPriority w:val="39"/>
    <w:pPr>
      <w:spacing w:line="240" w:lineRule="auto"/>
      <w:ind w:left="3360" w:leftChars="1600" w:firstLine="0" w:firstLineChars="0"/>
    </w:pPr>
    <w:rPr>
      <w:rFonts w:asciiTheme="minorHAnsi" w:hAnsiTheme="minorHAnsi" w:eastAsiaTheme="minorEastAsia"/>
      <w:sz w:val="21"/>
    </w:rPr>
  </w:style>
  <w:style w:type="paragraph" w:styleId="34">
    <w:name w:val="Body Text 2"/>
    <w:basedOn w:val="1"/>
    <w:link w:val="171"/>
    <w:unhideWhenUsed/>
    <w:qFormat/>
    <w:uiPriority w:val="0"/>
    <w:pPr>
      <w:spacing w:after="120" w:line="480" w:lineRule="auto"/>
    </w:pPr>
  </w:style>
  <w:style w:type="paragraph" w:styleId="35">
    <w:name w:val="HTML Preformatted"/>
    <w:basedOn w:val="1"/>
    <w:link w:val="228"/>
    <w:semiHidden/>
    <w:unhideWhenUsed/>
    <w:uiPriority w:val="99"/>
    <w:rPr>
      <w:rFonts w:ascii="Courier New" w:hAnsi="Courier New" w:cs="Courier New"/>
      <w:sz w:val="20"/>
      <w:szCs w:val="20"/>
    </w:rPr>
  </w:style>
  <w:style w:type="paragraph" w:styleId="36">
    <w:name w:val="Normal (Web)"/>
    <w:basedOn w:val="1"/>
    <w:link w:val="180"/>
    <w:unhideWhenUsed/>
    <w:qFormat/>
    <w:uiPriority w:val="0"/>
    <w:rPr>
      <w:rFonts w:cs="Times New Roman"/>
      <w:szCs w:val="24"/>
    </w:rPr>
  </w:style>
  <w:style w:type="paragraph" w:styleId="37">
    <w:name w:val="Title"/>
    <w:basedOn w:val="1"/>
    <w:next w:val="1"/>
    <w:link w:val="60"/>
    <w:qFormat/>
    <w:uiPriority w:val="0"/>
    <w:pPr>
      <w:spacing w:before="20" w:beforeLines="20" w:after="20" w:afterLines="20"/>
      <w:jc w:val="left"/>
      <w:outlineLvl w:val="2"/>
    </w:pPr>
    <w:rPr>
      <w:rFonts w:cstheme="majorBidi"/>
      <w:b/>
      <w:bCs/>
      <w:sz w:val="28"/>
      <w:szCs w:val="32"/>
    </w:rPr>
  </w:style>
  <w:style w:type="paragraph" w:styleId="38">
    <w:name w:val="annotation subject"/>
    <w:basedOn w:val="14"/>
    <w:next w:val="14"/>
    <w:link w:val="87"/>
    <w:semiHidden/>
    <w:unhideWhenUsed/>
    <w:qFormat/>
    <w:uiPriority w:val="0"/>
    <w:rPr>
      <w:b/>
      <w:bCs/>
    </w:rPr>
  </w:style>
  <w:style w:type="paragraph" w:styleId="39">
    <w:name w:val="Body Text First Indent"/>
    <w:basedOn w:val="15"/>
    <w:link w:val="178"/>
    <w:qFormat/>
    <w:uiPriority w:val="0"/>
    <w:pPr>
      <w:tabs>
        <w:tab w:val="left" w:pos="9000"/>
      </w:tabs>
      <w:adjustRightInd w:val="0"/>
      <w:snapToGrid/>
      <w:spacing w:before="0" w:after="0"/>
      <w:ind w:firstLine="480"/>
      <w:textAlignment w:val="baseline"/>
    </w:pPr>
    <w:rPr>
      <w:b/>
      <w:sz w:val="24"/>
      <w:szCs w:val="20"/>
    </w:rPr>
  </w:style>
  <w:style w:type="paragraph" w:styleId="40">
    <w:name w:val="Body Text First Indent 2"/>
    <w:basedOn w:val="17"/>
    <w:link w:val="158"/>
    <w:semiHidden/>
    <w:unhideWhenUsed/>
    <w:qFormat/>
    <w:uiPriority w:val="0"/>
    <w:pPr>
      <w:ind w:firstLine="420"/>
    </w:pPr>
  </w:style>
  <w:style w:type="table" w:styleId="42">
    <w:name w:val="Table Grid"/>
    <w:basedOn w:val="41"/>
    <w:unhideWhenUse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page number"/>
    <w:qFormat/>
    <w:uiPriority w:val="0"/>
  </w:style>
  <w:style w:type="character" w:styleId="45">
    <w:name w:val="FollowedHyperlink"/>
    <w:qFormat/>
    <w:uiPriority w:val="0"/>
    <w:rPr>
      <w:color w:val="954F72"/>
      <w:u w:val="single"/>
    </w:rPr>
  </w:style>
  <w:style w:type="character" w:styleId="46">
    <w:name w:val="Hyperlink"/>
    <w:basedOn w:val="43"/>
    <w:unhideWhenUsed/>
    <w:qFormat/>
    <w:uiPriority w:val="99"/>
    <w:rPr>
      <w:color w:val="0563C1" w:themeColor="hyperlink"/>
      <w:u w:val="single"/>
      <w14:textFill>
        <w14:solidFill>
          <w14:schemeClr w14:val="hlink"/>
        </w14:solidFill>
      </w14:textFill>
    </w:rPr>
  </w:style>
  <w:style w:type="character" w:styleId="47">
    <w:name w:val="annotation reference"/>
    <w:basedOn w:val="43"/>
    <w:unhideWhenUsed/>
    <w:qFormat/>
    <w:uiPriority w:val="0"/>
    <w:rPr>
      <w:sz w:val="21"/>
      <w:szCs w:val="21"/>
    </w:rPr>
  </w:style>
  <w:style w:type="character" w:styleId="48">
    <w:name w:val="footnote reference"/>
    <w:basedOn w:val="43"/>
    <w:semiHidden/>
    <w:unhideWhenUsed/>
    <w:qFormat/>
    <w:uiPriority w:val="99"/>
    <w:rPr>
      <w:vertAlign w:val="superscript"/>
    </w:rPr>
  </w:style>
  <w:style w:type="character" w:customStyle="1" w:styleId="49">
    <w:name w:val="标题 1 字符"/>
    <w:basedOn w:val="43"/>
    <w:link w:val="2"/>
    <w:uiPriority w:val="0"/>
    <w:rPr>
      <w:rFonts w:ascii="Times New Roman" w:hAnsi="Times New Roman" w:eastAsia="宋体"/>
      <w:b/>
      <w:bCs/>
      <w:kern w:val="44"/>
      <w:sz w:val="32"/>
      <w:szCs w:val="44"/>
    </w:rPr>
  </w:style>
  <w:style w:type="character" w:customStyle="1" w:styleId="50">
    <w:name w:val="标题 2 字符"/>
    <w:basedOn w:val="43"/>
    <w:link w:val="3"/>
    <w:qFormat/>
    <w:uiPriority w:val="0"/>
    <w:rPr>
      <w:rFonts w:ascii="Times New Roman" w:hAnsi="Times New Roman" w:eastAsia="宋体" w:cstheme="majorBidi"/>
      <w:b/>
      <w:bCs/>
      <w:sz w:val="24"/>
      <w:szCs w:val="32"/>
    </w:rPr>
  </w:style>
  <w:style w:type="character" w:customStyle="1" w:styleId="51">
    <w:name w:val="标题 3 字符"/>
    <w:basedOn w:val="43"/>
    <w:link w:val="4"/>
    <w:qFormat/>
    <w:uiPriority w:val="0"/>
    <w:rPr>
      <w:rFonts w:ascii="Times New Roman" w:hAnsi="Times New Roman" w:eastAsia="宋体"/>
      <w:b/>
      <w:bCs/>
      <w:sz w:val="24"/>
      <w:szCs w:val="32"/>
    </w:rPr>
  </w:style>
  <w:style w:type="character" w:customStyle="1" w:styleId="52">
    <w:name w:val="标题 4 字符"/>
    <w:basedOn w:val="43"/>
    <w:link w:val="5"/>
    <w:qFormat/>
    <w:uiPriority w:val="0"/>
    <w:rPr>
      <w:rFonts w:ascii="Times New Roman" w:hAnsi="Times New Roman" w:eastAsia="宋体" w:cstheme="majorBidi"/>
      <w:b/>
      <w:bCs/>
      <w:sz w:val="24"/>
      <w:szCs w:val="28"/>
    </w:rPr>
  </w:style>
  <w:style w:type="character" w:customStyle="1" w:styleId="53">
    <w:name w:val="标题 5 字符"/>
    <w:basedOn w:val="43"/>
    <w:link w:val="6"/>
    <w:uiPriority w:val="0"/>
    <w:rPr>
      <w:rFonts w:ascii="Times New Roman" w:hAnsi="Times New Roman" w:eastAsia="宋体"/>
      <w:b/>
      <w:bCs/>
      <w:szCs w:val="28"/>
    </w:rPr>
  </w:style>
  <w:style w:type="character" w:customStyle="1" w:styleId="54">
    <w:name w:val="标题 6 字符"/>
    <w:basedOn w:val="43"/>
    <w:link w:val="7"/>
    <w:uiPriority w:val="0"/>
    <w:rPr>
      <w:rFonts w:asciiTheme="majorHAnsi" w:hAnsiTheme="majorHAnsi" w:eastAsiaTheme="majorEastAsia" w:cstheme="majorBidi"/>
      <w:b/>
      <w:bCs/>
      <w:sz w:val="24"/>
      <w:szCs w:val="24"/>
    </w:rPr>
  </w:style>
  <w:style w:type="character" w:customStyle="1" w:styleId="55">
    <w:name w:val="标题 7 字符"/>
    <w:basedOn w:val="43"/>
    <w:link w:val="8"/>
    <w:semiHidden/>
    <w:uiPriority w:val="0"/>
    <w:rPr>
      <w:rFonts w:ascii="Times New Roman" w:hAnsi="Times New Roman" w:eastAsia="宋体"/>
      <w:b/>
      <w:bCs/>
      <w:sz w:val="24"/>
      <w:szCs w:val="24"/>
    </w:rPr>
  </w:style>
  <w:style w:type="character" w:customStyle="1" w:styleId="56">
    <w:name w:val="标题 8 字符"/>
    <w:basedOn w:val="43"/>
    <w:link w:val="9"/>
    <w:semiHidden/>
    <w:uiPriority w:val="0"/>
    <w:rPr>
      <w:rFonts w:asciiTheme="majorHAnsi" w:hAnsiTheme="majorHAnsi" w:eastAsiaTheme="majorEastAsia" w:cstheme="majorBidi"/>
      <w:sz w:val="24"/>
      <w:szCs w:val="24"/>
    </w:rPr>
  </w:style>
  <w:style w:type="character" w:customStyle="1" w:styleId="57">
    <w:name w:val="标题 9 字符"/>
    <w:basedOn w:val="43"/>
    <w:link w:val="10"/>
    <w:semiHidden/>
    <w:uiPriority w:val="0"/>
    <w:rPr>
      <w:rFonts w:asciiTheme="majorHAnsi" w:hAnsiTheme="majorHAnsi" w:eastAsiaTheme="majorEastAsia" w:cstheme="majorBidi"/>
      <w:szCs w:val="21"/>
    </w:rPr>
  </w:style>
  <w:style w:type="character" w:customStyle="1" w:styleId="58">
    <w:name w:val="页眉 字符"/>
    <w:basedOn w:val="43"/>
    <w:link w:val="26"/>
    <w:qFormat/>
    <w:uiPriority w:val="0"/>
    <w:rPr>
      <w:sz w:val="18"/>
      <w:szCs w:val="18"/>
    </w:rPr>
  </w:style>
  <w:style w:type="character" w:customStyle="1" w:styleId="59">
    <w:name w:val="页脚 字符"/>
    <w:basedOn w:val="43"/>
    <w:link w:val="25"/>
    <w:qFormat/>
    <w:uiPriority w:val="99"/>
    <w:rPr>
      <w:sz w:val="18"/>
      <w:szCs w:val="18"/>
    </w:rPr>
  </w:style>
  <w:style w:type="character" w:customStyle="1" w:styleId="60">
    <w:name w:val="标题 字符"/>
    <w:basedOn w:val="43"/>
    <w:link w:val="37"/>
    <w:uiPriority w:val="10"/>
    <w:rPr>
      <w:rFonts w:ascii="Times New Roman" w:hAnsi="Times New Roman" w:eastAsia="宋体" w:cstheme="majorBidi"/>
      <w:b/>
      <w:bCs/>
      <w:sz w:val="28"/>
      <w:szCs w:val="32"/>
    </w:rPr>
  </w:style>
  <w:style w:type="paragraph" w:customStyle="1" w:styleId="61">
    <w:name w:val="标题4"/>
    <w:basedOn w:val="1"/>
    <w:next w:val="1"/>
    <w:link w:val="62"/>
    <w:qFormat/>
    <w:uiPriority w:val="0"/>
    <w:pPr>
      <w:jc w:val="left"/>
      <w:outlineLvl w:val="3"/>
    </w:pPr>
    <w:rPr>
      <w:b/>
    </w:rPr>
  </w:style>
  <w:style w:type="character" w:customStyle="1" w:styleId="62">
    <w:name w:val="标题4 字符"/>
    <w:basedOn w:val="43"/>
    <w:link w:val="61"/>
    <w:uiPriority w:val="0"/>
    <w:rPr>
      <w:rFonts w:ascii="Times New Roman" w:hAnsi="Times New Roman" w:eastAsia="宋体"/>
      <w:b/>
      <w:sz w:val="24"/>
    </w:rPr>
  </w:style>
  <w:style w:type="paragraph" w:customStyle="1" w:styleId="63">
    <w:name w:val="图表标题"/>
    <w:basedOn w:val="1"/>
    <w:link w:val="64"/>
    <w:qFormat/>
    <w:uiPriority w:val="0"/>
    <w:pPr>
      <w:spacing w:line="240" w:lineRule="auto"/>
      <w:ind w:firstLine="0" w:firstLineChars="0"/>
      <w:jc w:val="center"/>
    </w:pPr>
    <w:rPr>
      <w:b/>
    </w:rPr>
  </w:style>
  <w:style w:type="character" w:customStyle="1" w:styleId="64">
    <w:name w:val="图表标题 字符"/>
    <w:basedOn w:val="43"/>
    <w:link w:val="63"/>
    <w:qFormat/>
    <w:uiPriority w:val="0"/>
    <w:rPr>
      <w:rFonts w:ascii="Times New Roman" w:hAnsi="Times New Roman" w:eastAsia="宋体"/>
      <w:b/>
      <w:sz w:val="24"/>
    </w:rPr>
  </w:style>
  <w:style w:type="paragraph" w:customStyle="1" w:styleId="65">
    <w:name w:val="表格样式"/>
    <w:basedOn w:val="63"/>
    <w:link w:val="66"/>
    <w:qFormat/>
    <w:uiPriority w:val="0"/>
    <w:rPr>
      <w:b w:val="0"/>
      <w:sz w:val="21"/>
    </w:rPr>
  </w:style>
  <w:style w:type="character" w:customStyle="1" w:styleId="66">
    <w:name w:val="表格样式 字符"/>
    <w:basedOn w:val="64"/>
    <w:link w:val="65"/>
    <w:qFormat/>
    <w:uiPriority w:val="0"/>
    <w:rPr>
      <w:rFonts w:ascii="Times New Roman" w:hAnsi="Times New Roman" w:eastAsia="宋体"/>
      <w:b w:val="0"/>
      <w:sz w:val="24"/>
    </w:rPr>
  </w:style>
  <w:style w:type="paragraph" w:customStyle="1" w:styleId="67">
    <w:name w:val="图片格式"/>
    <w:basedOn w:val="65"/>
    <w:link w:val="68"/>
    <w:qFormat/>
    <w:uiPriority w:val="0"/>
    <w:pPr>
      <w:framePr w:wrap="around" w:vAnchor="text" w:hAnchor="text" w:y="1"/>
    </w:pPr>
  </w:style>
  <w:style w:type="character" w:customStyle="1" w:styleId="68">
    <w:name w:val="图片格式 字符"/>
    <w:basedOn w:val="66"/>
    <w:link w:val="67"/>
    <w:qFormat/>
    <w:uiPriority w:val="0"/>
    <w:rPr>
      <w:rFonts w:ascii="Times New Roman" w:hAnsi="Times New Roman" w:eastAsia="宋体"/>
      <w:sz w:val="24"/>
    </w:rPr>
  </w:style>
  <w:style w:type="character" w:customStyle="1" w:styleId="69">
    <w:name w:val="日期 字符"/>
    <w:basedOn w:val="43"/>
    <w:link w:val="22"/>
    <w:qFormat/>
    <w:uiPriority w:val="0"/>
    <w:rPr>
      <w:rFonts w:ascii="Times New Roman" w:hAnsi="Times New Roman" w:eastAsia="宋体"/>
      <w:sz w:val="24"/>
    </w:rPr>
  </w:style>
  <w:style w:type="character" w:customStyle="1" w:styleId="70">
    <w:name w:val="font11"/>
    <w:basedOn w:val="43"/>
    <w:qFormat/>
    <w:uiPriority w:val="0"/>
    <w:rPr>
      <w:rFonts w:hint="eastAsia" w:ascii="宋体" w:hAnsi="宋体" w:eastAsia="宋体"/>
      <w:color w:val="000000"/>
      <w:sz w:val="24"/>
      <w:szCs w:val="24"/>
      <w:u w:val="none"/>
    </w:rPr>
  </w:style>
  <w:style w:type="character" w:customStyle="1" w:styleId="71">
    <w:name w:val="font21"/>
    <w:basedOn w:val="43"/>
    <w:qFormat/>
    <w:uiPriority w:val="0"/>
    <w:rPr>
      <w:rFonts w:hint="default" w:ascii="Times New Roman" w:hAnsi="Times New Roman" w:cs="Times New Roman"/>
      <w:color w:val="000000"/>
      <w:sz w:val="24"/>
      <w:szCs w:val="24"/>
      <w:u w:val="none"/>
    </w:rPr>
  </w:style>
  <w:style w:type="character" w:customStyle="1" w:styleId="72">
    <w:name w:val="font31"/>
    <w:basedOn w:val="43"/>
    <w:qFormat/>
    <w:uiPriority w:val="0"/>
    <w:rPr>
      <w:rFonts w:hint="eastAsia" w:ascii="宋体" w:hAnsi="宋体" w:eastAsia="宋体"/>
      <w:color w:val="000000"/>
      <w:sz w:val="20"/>
      <w:szCs w:val="20"/>
      <w:u w:val="none"/>
      <w:vertAlign w:val="subscript"/>
    </w:rPr>
  </w:style>
  <w:style w:type="character" w:customStyle="1" w:styleId="73">
    <w:name w:val="font41"/>
    <w:basedOn w:val="43"/>
    <w:qFormat/>
    <w:uiPriority w:val="0"/>
    <w:rPr>
      <w:rFonts w:hint="eastAsia" w:ascii="宋体" w:hAnsi="宋体" w:eastAsia="宋体"/>
      <w:color w:val="000000"/>
      <w:sz w:val="20"/>
      <w:szCs w:val="20"/>
      <w:u w:val="none"/>
      <w:vertAlign w:val="subscript"/>
    </w:rPr>
  </w:style>
  <w:style w:type="character" w:customStyle="1" w:styleId="74">
    <w:name w:val="font51"/>
    <w:basedOn w:val="43"/>
    <w:qFormat/>
    <w:uiPriority w:val="0"/>
    <w:rPr>
      <w:rFonts w:hint="eastAsia" w:ascii="宋体" w:hAnsi="宋体" w:eastAsia="宋体"/>
      <w:color w:val="000000"/>
      <w:sz w:val="20"/>
      <w:szCs w:val="20"/>
      <w:u w:val="none"/>
    </w:rPr>
  </w:style>
  <w:style w:type="paragraph" w:customStyle="1" w:styleId="75">
    <w:name w:val="正文1"/>
    <w:qFormat/>
    <w:uiPriority w:val="0"/>
    <w:pPr>
      <w:jc w:val="both"/>
    </w:pPr>
    <w:rPr>
      <w:rFonts w:ascii="Calibri" w:hAnsi="Calibri" w:eastAsia="宋体" w:cs="宋体"/>
      <w:kern w:val="2"/>
      <w:sz w:val="21"/>
      <w:szCs w:val="21"/>
      <w:lang w:val="en-US" w:eastAsia="zh-CN" w:bidi="ar-SA"/>
    </w:rPr>
  </w:style>
  <w:style w:type="character" w:customStyle="1" w:styleId="76">
    <w:name w:val="font01"/>
    <w:basedOn w:val="43"/>
    <w:qFormat/>
    <w:uiPriority w:val="0"/>
    <w:rPr>
      <w:rFonts w:hint="eastAsia" w:ascii="宋体" w:hAnsi="宋体" w:eastAsia="宋体"/>
      <w:color w:val="000000"/>
      <w:sz w:val="24"/>
      <w:szCs w:val="24"/>
      <w:u w:val="none"/>
    </w:rPr>
  </w:style>
  <w:style w:type="paragraph" w:customStyle="1" w:styleId="77">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78">
    <w:name w:val="正文3"/>
    <w:qFormat/>
    <w:uiPriority w:val="0"/>
    <w:pPr>
      <w:jc w:val="both"/>
    </w:pPr>
    <w:rPr>
      <w:rFonts w:ascii="Calibri" w:hAnsi="Calibri" w:eastAsia="宋体" w:cs="宋体"/>
      <w:kern w:val="2"/>
      <w:sz w:val="21"/>
      <w:szCs w:val="21"/>
      <w:lang w:val="en-US" w:eastAsia="zh-CN" w:bidi="ar-SA"/>
    </w:rPr>
  </w:style>
  <w:style w:type="character" w:customStyle="1" w:styleId="79">
    <w:name w:val="15"/>
    <w:basedOn w:val="43"/>
    <w:qFormat/>
    <w:uiPriority w:val="0"/>
    <w:rPr>
      <w:rFonts w:hint="default" w:ascii="Calibri" w:hAnsi="Calibri" w:cs="方正兰亭纤黑"/>
      <w:color w:val="000000"/>
      <w:sz w:val="20"/>
      <w:szCs w:val="20"/>
    </w:rPr>
  </w:style>
  <w:style w:type="character" w:customStyle="1" w:styleId="80">
    <w:name w:val="批注框文本 字符"/>
    <w:basedOn w:val="43"/>
    <w:link w:val="24"/>
    <w:semiHidden/>
    <w:qFormat/>
    <w:uiPriority w:val="0"/>
    <w:rPr>
      <w:rFonts w:ascii="Times New Roman" w:hAnsi="Times New Roman" w:eastAsia="宋体"/>
      <w:sz w:val="18"/>
      <w:szCs w:val="18"/>
    </w:rPr>
  </w:style>
  <w:style w:type="paragraph" w:customStyle="1" w:styleId="81">
    <w:name w:val="正文4"/>
    <w:qFormat/>
    <w:uiPriority w:val="0"/>
    <w:pPr>
      <w:jc w:val="both"/>
    </w:pPr>
    <w:rPr>
      <w:rFonts w:ascii="Calibri" w:hAnsi="Calibri" w:eastAsia="宋体" w:cs="宋体"/>
      <w:kern w:val="2"/>
      <w:sz w:val="21"/>
      <w:szCs w:val="21"/>
      <w:lang w:val="en-US" w:eastAsia="zh-CN" w:bidi="ar-SA"/>
    </w:rPr>
  </w:style>
  <w:style w:type="character" w:customStyle="1" w:styleId="82">
    <w:name w:val="脚注文本 字符"/>
    <w:basedOn w:val="43"/>
    <w:link w:val="29"/>
    <w:semiHidden/>
    <w:qFormat/>
    <w:uiPriority w:val="99"/>
    <w:rPr>
      <w:rFonts w:ascii="Times New Roman" w:hAnsi="Times New Roman" w:eastAsia="宋体"/>
      <w:sz w:val="18"/>
      <w:szCs w:val="18"/>
    </w:rPr>
  </w:style>
  <w:style w:type="paragraph" w:customStyle="1" w:styleId="83">
    <w:name w:val="正文5"/>
    <w:qFormat/>
    <w:uiPriority w:val="0"/>
    <w:pPr>
      <w:jc w:val="both"/>
    </w:pPr>
    <w:rPr>
      <w:rFonts w:ascii="Calibri" w:hAnsi="Calibri" w:eastAsia="宋体" w:cs="宋体"/>
      <w:kern w:val="2"/>
      <w:sz w:val="21"/>
      <w:szCs w:val="21"/>
      <w:lang w:val="en-US" w:eastAsia="zh-CN" w:bidi="ar-SA"/>
    </w:rPr>
  </w:style>
  <w:style w:type="paragraph" w:customStyle="1" w:styleId="84">
    <w:name w:val="正文6"/>
    <w:qFormat/>
    <w:uiPriority w:val="0"/>
    <w:pPr>
      <w:jc w:val="both"/>
    </w:pPr>
    <w:rPr>
      <w:rFonts w:ascii="Calibri" w:hAnsi="Calibri" w:eastAsia="宋体" w:cs="宋体"/>
      <w:kern w:val="2"/>
      <w:sz w:val="21"/>
      <w:szCs w:val="21"/>
      <w:lang w:val="en-US" w:eastAsia="zh-CN" w:bidi="ar-SA"/>
    </w:rPr>
  </w:style>
  <w:style w:type="paragraph" w:customStyle="1" w:styleId="85">
    <w:name w:val="正文7"/>
    <w:qFormat/>
    <w:uiPriority w:val="0"/>
    <w:pPr>
      <w:jc w:val="both"/>
    </w:pPr>
    <w:rPr>
      <w:rFonts w:ascii="Calibri" w:hAnsi="Calibri" w:eastAsia="宋体" w:cs="宋体"/>
      <w:kern w:val="2"/>
      <w:sz w:val="21"/>
      <w:szCs w:val="21"/>
      <w:lang w:val="en-US" w:eastAsia="zh-CN" w:bidi="ar-SA"/>
    </w:rPr>
  </w:style>
  <w:style w:type="character" w:customStyle="1" w:styleId="86">
    <w:name w:val="批注文字 字符"/>
    <w:basedOn w:val="43"/>
    <w:link w:val="14"/>
    <w:qFormat/>
    <w:uiPriority w:val="0"/>
    <w:rPr>
      <w:rFonts w:ascii="Times New Roman" w:hAnsi="Times New Roman" w:eastAsia="宋体"/>
      <w:sz w:val="24"/>
    </w:rPr>
  </w:style>
  <w:style w:type="character" w:customStyle="1" w:styleId="87">
    <w:name w:val="批注主题 字符"/>
    <w:basedOn w:val="86"/>
    <w:link w:val="38"/>
    <w:semiHidden/>
    <w:qFormat/>
    <w:uiPriority w:val="0"/>
    <w:rPr>
      <w:rFonts w:ascii="Times New Roman" w:hAnsi="Times New Roman" w:eastAsia="宋体"/>
      <w:b/>
      <w:bCs/>
      <w:sz w:val="24"/>
    </w:rPr>
  </w:style>
  <w:style w:type="character" w:customStyle="1" w:styleId="88">
    <w:name w:val="font81"/>
    <w:basedOn w:val="43"/>
    <w:qFormat/>
    <w:uiPriority w:val="0"/>
    <w:rPr>
      <w:rFonts w:hint="eastAsia" w:ascii="仿宋" w:hAnsi="仿宋" w:eastAsia="仿宋"/>
      <w:color w:val="000000"/>
      <w:sz w:val="18"/>
      <w:szCs w:val="18"/>
      <w:u w:val="none"/>
    </w:rPr>
  </w:style>
  <w:style w:type="paragraph" w:customStyle="1" w:styleId="89">
    <w:name w:val="Table Paragraph"/>
    <w:basedOn w:val="1"/>
    <w:qFormat/>
    <w:uiPriority w:val="1"/>
    <w:pPr>
      <w:autoSpaceDE w:val="0"/>
      <w:autoSpaceDN w:val="0"/>
      <w:spacing w:line="240" w:lineRule="auto"/>
      <w:ind w:firstLine="0" w:firstLineChars="0"/>
      <w:jc w:val="left"/>
    </w:pPr>
    <w:rPr>
      <w:rFonts w:ascii="宋体" w:hAnsi="宋体" w:cs="宋体"/>
      <w:kern w:val="0"/>
      <w:sz w:val="22"/>
    </w:rPr>
  </w:style>
  <w:style w:type="paragraph" w:customStyle="1" w:styleId="90">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91">
    <w:name w:val="font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Cs w:val="24"/>
    </w:rPr>
  </w:style>
  <w:style w:type="paragraph" w:customStyle="1" w:styleId="92">
    <w:name w:val="font1"/>
    <w:basedOn w:val="1"/>
    <w:uiPriority w:val="0"/>
    <w:pPr>
      <w:widowControl/>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93">
    <w:name w:val="font2"/>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94">
    <w:name w:val="font3"/>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95">
    <w:name w:val="font4"/>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Cs w:val="24"/>
    </w:rPr>
  </w:style>
  <w:style w:type="paragraph" w:customStyle="1" w:styleId="96">
    <w:name w:val="font5"/>
    <w:basedOn w:val="1"/>
    <w:qFormat/>
    <w:uiPriority w:val="0"/>
    <w:pPr>
      <w:widowControl/>
      <w:spacing w:before="100" w:beforeAutospacing="1" w:after="100" w:afterAutospacing="1" w:line="240" w:lineRule="auto"/>
      <w:ind w:firstLine="0" w:firstLineChars="0"/>
      <w:jc w:val="left"/>
    </w:pPr>
    <w:rPr>
      <w:rFonts w:ascii="等线 Light" w:hAnsi="等线 Light" w:eastAsia="等线 Light" w:cs="宋体"/>
      <w:color w:val="000000"/>
      <w:kern w:val="0"/>
      <w:sz w:val="20"/>
      <w:szCs w:val="20"/>
    </w:rPr>
  </w:style>
  <w:style w:type="paragraph" w:customStyle="1" w:styleId="97">
    <w:name w:val="font6"/>
    <w:basedOn w:val="1"/>
    <w:qFormat/>
    <w:uiPriority w:val="0"/>
    <w:pPr>
      <w:widowControl/>
      <w:spacing w:before="100" w:beforeAutospacing="1" w:after="100" w:afterAutospacing="1" w:line="240" w:lineRule="auto"/>
      <w:ind w:firstLine="0" w:firstLineChars="0"/>
      <w:jc w:val="left"/>
    </w:pPr>
    <w:rPr>
      <w:rFonts w:ascii="等线 Light" w:hAnsi="等线 Light" w:eastAsia="等线 Light" w:cs="宋体"/>
      <w:b/>
      <w:bCs/>
      <w:color w:val="000000"/>
      <w:kern w:val="0"/>
      <w:sz w:val="20"/>
      <w:szCs w:val="20"/>
    </w:rPr>
  </w:style>
  <w:style w:type="paragraph" w:customStyle="1" w:styleId="98">
    <w:name w:val="font7"/>
    <w:basedOn w:val="1"/>
    <w:uiPriority w:val="0"/>
    <w:pPr>
      <w:widowControl/>
      <w:spacing w:before="100" w:beforeAutospacing="1" w:after="100" w:afterAutospacing="1" w:line="240" w:lineRule="auto"/>
      <w:ind w:firstLine="0" w:firstLineChars="0"/>
      <w:jc w:val="left"/>
    </w:pPr>
    <w:rPr>
      <w:rFonts w:ascii="等线 Light" w:hAnsi="等线 Light" w:eastAsia="等线 Light" w:cs="宋体"/>
      <w:b/>
      <w:bCs/>
      <w:color w:val="000000"/>
      <w:kern w:val="0"/>
      <w:szCs w:val="24"/>
    </w:rPr>
  </w:style>
  <w:style w:type="paragraph" w:customStyle="1" w:styleId="99">
    <w:name w:val="et5"/>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left"/>
      <w:textAlignment w:val="center"/>
    </w:pPr>
    <w:rPr>
      <w:rFonts w:ascii="等线 Light" w:hAnsi="等线 Light" w:eastAsia="等线 Light" w:cs="宋体"/>
      <w:b/>
      <w:bCs/>
      <w:kern w:val="0"/>
      <w:szCs w:val="24"/>
    </w:rPr>
  </w:style>
  <w:style w:type="paragraph" w:customStyle="1" w:styleId="100">
    <w:name w:val="et6"/>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b/>
      <w:bCs/>
      <w:kern w:val="0"/>
      <w:szCs w:val="24"/>
    </w:rPr>
  </w:style>
  <w:style w:type="paragraph" w:customStyle="1" w:styleId="101">
    <w:name w:val="et7"/>
    <w:basedOn w:val="1"/>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b/>
      <w:bCs/>
      <w:kern w:val="0"/>
      <w:szCs w:val="24"/>
    </w:rPr>
  </w:style>
  <w:style w:type="paragraph" w:customStyle="1" w:styleId="102">
    <w:name w:val="et8"/>
    <w:basedOn w:val="1"/>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b/>
      <w:bCs/>
      <w:kern w:val="0"/>
      <w:szCs w:val="24"/>
    </w:rPr>
  </w:style>
  <w:style w:type="paragraph" w:customStyle="1" w:styleId="103">
    <w:name w:val="et9"/>
    <w:basedOn w:val="1"/>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b/>
      <w:bCs/>
      <w:kern w:val="0"/>
      <w:szCs w:val="24"/>
    </w:rPr>
  </w:style>
  <w:style w:type="paragraph" w:customStyle="1" w:styleId="104">
    <w:name w:val="et10"/>
    <w:basedOn w:val="1"/>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b/>
      <w:bCs/>
      <w:kern w:val="0"/>
      <w:szCs w:val="24"/>
    </w:rPr>
  </w:style>
  <w:style w:type="paragraph" w:customStyle="1" w:styleId="105">
    <w:name w:val="et11"/>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b/>
      <w:bCs/>
      <w:kern w:val="0"/>
      <w:sz w:val="20"/>
      <w:szCs w:val="20"/>
    </w:rPr>
  </w:style>
  <w:style w:type="paragraph" w:customStyle="1" w:styleId="106">
    <w:name w:val="et12"/>
    <w:basedOn w:val="1"/>
    <w:uiPriority w:val="0"/>
    <w:pPr>
      <w:widowControl/>
      <w:pBdr>
        <w:top w:val="single" w:color="000000" w:sz="4" w:space="0"/>
        <w:left w:val="single" w:color="000000" w:sz="4" w:space="0"/>
        <w:bottom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b/>
      <w:bCs/>
      <w:kern w:val="0"/>
      <w:sz w:val="20"/>
      <w:szCs w:val="20"/>
    </w:rPr>
  </w:style>
  <w:style w:type="paragraph" w:customStyle="1" w:styleId="107">
    <w:name w:val="et13"/>
    <w:basedOn w:val="1"/>
    <w:uiPriority w:val="0"/>
    <w:pPr>
      <w:widowControl/>
      <w:pBdr>
        <w:top w:val="single" w:color="000000" w:sz="4" w:space="0"/>
        <w:bottom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b/>
      <w:bCs/>
      <w:kern w:val="0"/>
      <w:sz w:val="20"/>
      <w:szCs w:val="20"/>
    </w:rPr>
  </w:style>
  <w:style w:type="paragraph" w:customStyle="1" w:styleId="108">
    <w:name w:val="et14"/>
    <w:basedOn w:val="1"/>
    <w:uiPriority w:val="0"/>
    <w:pPr>
      <w:widowControl/>
      <w:pBdr>
        <w:top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b/>
      <w:bCs/>
      <w:kern w:val="0"/>
      <w:sz w:val="20"/>
      <w:szCs w:val="20"/>
    </w:rPr>
  </w:style>
  <w:style w:type="paragraph" w:customStyle="1" w:styleId="109">
    <w:name w:val="et15"/>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10">
    <w:name w:val="et16"/>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11">
    <w:name w:val="et18"/>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12">
    <w:name w:val="et19"/>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13">
    <w:name w:val="et20"/>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14">
    <w:name w:val="et21"/>
    <w:basedOn w:val="1"/>
    <w:uiPriority w:val="0"/>
    <w:pPr>
      <w:widowControl/>
      <w:shd w:val="clear" w:color="auto" w:fill="E4DFEC"/>
      <w:spacing w:before="100" w:beforeAutospacing="1" w:after="100" w:afterAutospacing="1" w:line="240" w:lineRule="auto"/>
      <w:ind w:firstLine="0" w:firstLineChars="0"/>
      <w:jc w:val="left"/>
    </w:pPr>
    <w:rPr>
      <w:rFonts w:ascii="宋体" w:hAnsi="宋体" w:cs="宋体"/>
      <w:kern w:val="0"/>
      <w:szCs w:val="24"/>
    </w:rPr>
  </w:style>
  <w:style w:type="paragraph" w:customStyle="1" w:styleId="115">
    <w:name w:val="et22"/>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16">
    <w:name w:val="et23"/>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17">
    <w:name w:val="et25"/>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18">
    <w:name w:val="et26"/>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19">
    <w:name w:val="et27"/>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20">
    <w:name w:val="et28"/>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21">
    <w:name w:val="et29"/>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22">
    <w:name w:val="et30"/>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23">
    <w:name w:val="et31"/>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left"/>
      <w:textAlignment w:val="center"/>
    </w:pPr>
    <w:rPr>
      <w:rFonts w:ascii="等线 Light" w:hAnsi="等线 Light" w:eastAsia="等线 Light" w:cs="宋体"/>
      <w:b/>
      <w:bCs/>
      <w:kern w:val="0"/>
      <w:sz w:val="20"/>
      <w:szCs w:val="20"/>
    </w:rPr>
  </w:style>
  <w:style w:type="paragraph" w:customStyle="1" w:styleId="124">
    <w:name w:val="et32"/>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25">
    <w:name w:val="et33"/>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left"/>
      <w:textAlignment w:val="center"/>
    </w:pPr>
    <w:rPr>
      <w:rFonts w:ascii="等线 Light" w:hAnsi="等线 Light" w:eastAsia="等线 Light" w:cs="宋体"/>
      <w:b/>
      <w:bCs/>
      <w:kern w:val="0"/>
      <w:sz w:val="20"/>
      <w:szCs w:val="20"/>
    </w:rPr>
  </w:style>
  <w:style w:type="paragraph" w:customStyle="1" w:styleId="126">
    <w:name w:val="et34"/>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27">
    <w:name w:val="et35"/>
    <w:basedOn w:val="1"/>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28">
    <w:name w:val="et36"/>
    <w:basedOn w:val="1"/>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29">
    <w:name w:val="et37"/>
    <w:basedOn w:val="1"/>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30">
    <w:name w:val="et38"/>
    <w:basedOn w:val="1"/>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31">
    <w:name w:val="et39"/>
    <w:basedOn w:val="1"/>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32">
    <w:name w:val="et40"/>
    <w:basedOn w:val="1"/>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33">
    <w:name w:val="et41"/>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34">
    <w:name w:val="et42"/>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35">
    <w:name w:val="et43"/>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ascii="宋体" w:hAnsi="宋体" w:cs="宋体"/>
      <w:kern w:val="0"/>
      <w:sz w:val="22"/>
    </w:rPr>
  </w:style>
  <w:style w:type="paragraph" w:customStyle="1" w:styleId="136">
    <w:name w:val="et44"/>
    <w:basedOn w:val="1"/>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37">
    <w:name w:val="et45"/>
    <w:basedOn w:val="1"/>
    <w:uiPriority w:val="0"/>
    <w:pPr>
      <w:widowControl/>
      <w:pBdr>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ascii="宋体" w:hAnsi="宋体" w:cs="宋体"/>
      <w:kern w:val="0"/>
      <w:sz w:val="22"/>
    </w:rPr>
  </w:style>
  <w:style w:type="paragraph" w:customStyle="1" w:styleId="138">
    <w:name w:val="et46"/>
    <w:basedOn w:val="1"/>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b/>
      <w:bCs/>
      <w:kern w:val="0"/>
      <w:sz w:val="20"/>
      <w:szCs w:val="20"/>
    </w:rPr>
  </w:style>
  <w:style w:type="paragraph" w:customStyle="1" w:styleId="139">
    <w:name w:val="et47"/>
    <w:basedOn w:val="1"/>
    <w:uiPriority w:val="0"/>
    <w:pPr>
      <w:widowControl/>
      <w:shd w:val="clear" w:color="auto" w:fill="EBF1DE"/>
      <w:spacing w:before="100" w:beforeAutospacing="1" w:after="100" w:afterAutospacing="1" w:line="240" w:lineRule="auto"/>
      <w:ind w:firstLine="0" w:firstLineChars="0"/>
      <w:jc w:val="left"/>
    </w:pPr>
    <w:rPr>
      <w:rFonts w:ascii="宋体" w:hAnsi="宋体" w:cs="宋体"/>
      <w:kern w:val="0"/>
      <w:szCs w:val="24"/>
    </w:rPr>
  </w:style>
  <w:style w:type="paragraph" w:customStyle="1" w:styleId="140">
    <w:name w:val="et48"/>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41">
    <w:name w:val="et49"/>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42">
    <w:name w:val="et50"/>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ascii="等线 Light" w:hAnsi="等线 Light" w:eastAsia="等线 Light" w:cs="宋体"/>
      <w:b/>
      <w:bCs/>
      <w:kern w:val="0"/>
      <w:sz w:val="20"/>
      <w:szCs w:val="20"/>
    </w:rPr>
  </w:style>
  <w:style w:type="paragraph" w:customStyle="1" w:styleId="143">
    <w:name w:val="et51"/>
    <w:basedOn w:val="1"/>
    <w:uiPriority w:val="0"/>
    <w:pPr>
      <w:widowControl/>
      <w:spacing w:before="100" w:beforeAutospacing="1" w:after="100" w:afterAutospacing="1" w:line="240" w:lineRule="auto"/>
      <w:ind w:firstLine="0" w:firstLineChars="0"/>
      <w:jc w:val="center"/>
      <w:textAlignment w:val="center"/>
    </w:pPr>
    <w:rPr>
      <w:rFonts w:ascii="宋体" w:hAnsi="宋体" w:cs="宋体"/>
      <w:kern w:val="0"/>
      <w:sz w:val="22"/>
    </w:rPr>
  </w:style>
  <w:style w:type="paragraph" w:customStyle="1" w:styleId="144">
    <w:name w:val="et52"/>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等线 Light" w:hAnsi="等线 Light" w:eastAsia="等线 Light" w:cs="宋体"/>
      <w:b/>
      <w:bCs/>
      <w:kern w:val="0"/>
      <w:sz w:val="20"/>
      <w:szCs w:val="20"/>
    </w:rPr>
  </w:style>
  <w:style w:type="paragraph" w:customStyle="1" w:styleId="145">
    <w:name w:val="et53"/>
    <w:basedOn w:val="1"/>
    <w:uiPriority w:val="0"/>
    <w:pPr>
      <w:widowControl/>
      <w:pBdr>
        <w:top w:val="single" w:color="000000" w:sz="4" w:space="0"/>
        <w:left w:val="single" w:color="000000" w:sz="4" w:space="0"/>
        <w:bottom w:val="single" w:color="000000" w:sz="4" w:space="0"/>
      </w:pBdr>
      <w:spacing w:before="100" w:beforeAutospacing="1" w:after="100" w:afterAutospacing="1" w:line="240" w:lineRule="auto"/>
      <w:ind w:firstLine="0" w:firstLineChars="0"/>
      <w:jc w:val="center"/>
      <w:textAlignment w:val="center"/>
    </w:pPr>
    <w:rPr>
      <w:rFonts w:ascii="等线 Light" w:hAnsi="等线 Light" w:eastAsia="等线 Light" w:cs="宋体"/>
      <w:b/>
      <w:bCs/>
      <w:kern w:val="0"/>
      <w:sz w:val="20"/>
      <w:szCs w:val="20"/>
    </w:rPr>
  </w:style>
  <w:style w:type="paragraph" w:customStyle="1" w:styleId="146">
    <w:name w:val="et54"/>
    <w:basedOn w:val="1"/>
    <w:uiPriority w:val="0"/>
    <w:pPr>
      <w:widowControl/>
      <w:pBdr>
        <w:top w:val="single" w:color="000000" w:sz="4" w:space="0"/>
        <w:bottom w:val="single" w:color="000000" w:sz="4" w:space="0"/>
      </w:pBdr>
      <w:spacing w:before="100" w:beforeAutospacing="1" w:after="100" w:afterAutospacing="1" w:line="240" w:lineRule="auto"/>
      <w:ind w:firstLine="0" w:firstLineChars="0"/>
      <w:jc w:val="center"/>
      <w:textAlignment w:val="center"/>
    </w:pPr>
    <w:rPr>
      <w:rFonts w:ascii="等线 Light" w:hAnsi="等线 Light" w:eastAsia="等线 Light" w:cs="宋体"/>
      <w:b/>
      <w:bCs/>
      <w:kern w:val="0"/>
      <w:sz w:val="20"/>
      <w:szCs w:val="20"/>
    </w:rPr>
  </w:style>
  <w:style w:type="paragraph" w:customStyle="1" w:styleId="147">
    <w:name w:val="et55"/>
    <w:basedOn w:val="1"/>
    <w:uiPriority w:val="0"/>
    <w:pPr>
      <w:widowControl/>
      <w:pBdr>
        <w:top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等线 Light" w:hAnsi="等线 Light" w:eastAsia="等线 Light" w:cs="宋体"/>
      <w:b/>
      <w:bCs/>
      <w:kern w:val="0"/>
      <w:sz w:val="20"/>
      <w:szCs w:val="20"/>
    </w:rPr>
  </w:style>
  <w:style w:type="paragraph" w:customStyle="1" w:styleId="148">
    <w:name w:val="et56"/>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49">
    <w:name w:val="et57"/>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textAlignment w:val="center"/>
    </w:pPr>
    <w:rPr>
      <w:rFonts w:ascii="等线 Light" w:hAnsi="等线 Light" w:eastAsia="等线 Light" w:cs="宋体"/>
      <w:kern w:val="0"/>
      <w:sz w:val="20"/>
      <w:szCs w:val="20"/>
    </w:rPr>
  </w:style>
  <w:style w:type="paragraph" w:customStyle="1" w:styleId="150">
    <w:name w:val="et59"/>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pPr>
    <w:rPr>
      <w:rFonts w:ascii="等线 Light" w:hAnsi="等线 Light" w:eastAsia="等线 Light" w:cs="宋体"/>
      <w:kern w:val="0"/>
      <w:sz w:val="20"/>
      <w:szCs w:val="20"/>
    </w:rPr>
  </w:style>
  <w:style w:type="paragraph" w:customStyle="1" w:styleId="151">
    <w:name w:val="et60"/>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pPr>
    <w:rPr>
      <w:rFonts w:ascii="等线 Light" w:hAnsi="等线 Light" w:eastAsia="等线 Light" w:cs="宋体"/>
      <w:kern w:val="0"/>
      <w:sz w:val="20"/>
      <w:szCs w:val="20"/>
    </w:rPr>
  </w:style>
  <w:style w:type="paragraph" w:customStyle="1" w:styleId="152">
    <w:name w:val="et61"/>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left"/>
      <w:textAlignment w:val="center"/>
    </w:pPr>
    <w:rPr>
      <w:rFonts w:ascii="等线 Light" w:hAnsi="等线 Light" w:eastAsia="等线 Light" w:cs="宋体"/>
      <w:kern w:val="0"/>
      <w:sz w:val="20"/>
      <w:szCs w:val="20"/>
    </w:rPr>
  </w:style>
  <w:style w:type="paragraph" w:customStyle="1" w:styleId="153">
    <w:name w:val="et62"/>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left"/>
    </w:pPr>
    <w:rPr>
      <w:rFonts w:ascii="等线 Light" w:hAnsi="等线 Light" w:eastAsia="等线 Light" w:cs="宋体"/>
      <w:kern w:val="0"/>
      <w:sz w:val="20"/>
      <w:szCs w:val="20"/>
    </w:rPr>
  </w:style>
  <w:style w:type="paragraph" w:customStyle="1" w:styleId="154">
    <w:name w:val="et63"/>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ind w:firstLine="0" w:firstLineChars="0"/>
      <w:jc w:val="center"/>
    </w:pPr>
    <w:rPr>
      <w:rFonts w:ascii="等线 Light" w:hAnsi="等线 Light" w:eastAsia="等线 Light" w:cs="宋体"/>
      <w:kern w:val="0"/>
      <w:sz w:val="20"/>
      <w:szCs w:val="20"/>
    </w:rPr>
  </w:style>
  <w:style w:type="paragraph" w:customStyle="1" w:styleId="155">
    <w:name w:val="Default"/>
    <w:basedOn w:val="1"/>
    <w:link w:val="230"/>
    <w:uiPriority w:val="0"/>
    <w:pPr>
      <w:autoSpaceDE w:val="0"/>
      <w:autoSpaceDN w:val="0"/>
      <w:adjustRightInd w:val="0"/>
      <w:spacing w:line="240" w:lineRule="auto"/>
      <w:ind w:firstLine="0" w:firstLineChars="0"/>
      <w:jc w:val="left"/>
    </w:pPr>
    <w:rPr>
      <w:rFonts w:ascii="仿宋_GB2312" w:hAnsi="Calibri" w:cs="宋体"/>
      <w:color w:val="000000"/>
      <w:kern w:val="0"/>
      <w:szCs w:val="24"/>
    </w:rPr>
  </w:style>
  <w:style w:type="paragraph" w:customStyle="1" w:styleId="156">
    <w:name w:val="M图标题"/>
    <w:basedOn w:val="1"/>
    <w:next w:val="40"/>
    <w:uiPriority w:val="0"/>
    <w:pPr>
      <w:widowControl/>
      <w:adjustRightInd w:val="0"/>
      <w:snapToGrid w:val="0"/>
      <w:ind w:firstLine="0" w:firstLineChars="0"/>
      <w:jc w:val="center"/>
    </w:pPr>
    <w:rPr>
      <w:rFonts w:eastAsia="黑体" w:cs="Times New Roman"/>
      <w:b/>
      <w:bCs/>
      <w:szCs w:val="24"/>
    </w:rPr>
  </w:style>
  <w:style w:type="character" w:customStyle="1" w:styleId="157">
    <w:name w:val="正文文本缩进 字符"/>
    <w:basedOn w:val="43"/>
    <w:link w:val="17"/>
    <w:qFormat/>
    <w:uiPriority w:val="0"/>
    <w:rPr>
      <w:rFonts w:ascii="Times New Roman" w:hAnsi="Times New Roman" w:eastAsia="宋体"/>
      <w:sz w:val="24"/>
    </w:rPr>
  </w:style>
  <w:style w:type="character" w:customStyle="1" w:styleId="158">
    <w:name w:val="正文文本首行缩进 2 字符"/>
    <w:basedOn w:val="157"/>
    <w:link w:val="40"/>
    <w:semiHidden/>
    <w:qFormat/>
    <w:uiPriority w:val="0"/>
    <w:rPr>
      <w:rFonts w:ascii="Times New Roman" w:hAnsi="Times New Roman" w:eastAsia="宋体"/>
      <w:sz w:val="24"/>
    </w:rPr>
  </w:style>
  <w:style w:type="paragraph" w:customStyle="1" w:styleId="159">
    <w:name w:val="M表中字体"/>
    <w:basedOn w:val="1"/>
    <w:uiPriority w:val="0"/>
    <w:pPr>
      <w:widowControl/>
      <w:spacing w:line="240" w:lineRule="auto"/>
      <w:ind w:firstLine="0" w:firstLineChars="0"/>
      <w:jc w:val="left"/>
    </w:pPr>
    <w:rPr>
      <w:rFonts w:cs="Times New Roman"/>
      <w:sz w:val="21"/>
      <w:szCs w:val="21"/>
    </w:rPr>
  </w:style>
  <w:style w:type="paragraph" w:customStyle="1" w:styleId="160">
    <w:name w:val="M表标题"/>
    <w:basedOn w:val="1"/>
    <w:next w:val="40"/>
    <w:uiPriority w:val="0"/>
    <w:pPr>
      <w:keepNext/>
      <w:widowControl/>
      <w:ind w:firstLine="0" w:firstLineChars="0"/>
      <w:jc w:val="center"/>
    </w:pPr>
    <w:rPr>
      <w:rFonts w:eastAsia="黑体" w:cs="Times New Roman"/>
      <w:b/>
      <w:bCs/>
      <w:szCs w:val="24"/>
    </w:rPr>
  </w:style>
  <w:style w:type="character" w:customStyle="1" w:styleId="161">
    <w:name w:val="font61"/>
    <w:basedOn w:val="43"/>
    <w:uiPriority w:val="0"/>
    <w:rPr>
      <w:rFonts w:hint="eastAsia" w:ascii="宋体" w:hAnsi="宋体" w:eastAsia="宋体"/>
      <w:color w:val="000000"/>
      <w:sz w:val="24"/>
      <w:szCs w:val="24"/>
      <w:u w:val="none"/>
      <w:vertAlign w:val="superscript"/>
    </w:rPr>
  </w:style>
  <w:style w:type="paragraph" w:styleId="162">
    <w:name w:val="List Paragraph"/>
    <w:basedOn w:val="1"/>
    <w:qFormat/>
    <w:uiPriority w:val="99"/>
    <w:pPr>
      <w:ind w:firstLine="420"/>
    </w:pPr>
  </w:style>
  <w:style w:type="paragraph" w:customStyle="1" w:styleId="163">
    <w:name w:val="标题格式"/>
    <w:qFormat/>
    <w:uiPriority w:val="0"/>
    <w:pPr>
      <w:spacing w:line="360" w:lineRule="auto"/>
      <w:jc w:val="center"/>
    </w:pPr>
    <w:rPr>
      <w:rFonts w:ascii="Times New Roman" w:hAnsi="Times New Roman" w:eastAsia="宋体" w:cs="Times New Roman"/>
      <w:b/>
      <w:kern w:val="2"/>
      <w:sz w:val="21"/>
      <w:szCs w:val="21"/>
      <w:lang w:val="en-US" w:eastAsia="zh-CN" w:bidi="ar-SA"/>
    </w:rPr>
  </w:style>
  <w:style w:type="character" w:customStyle="1" w:styleId="164">
    <w:name w:val="正文文本缩进 2 字符"/>
    <w:basedOn w:val="43"/>
    <w:link w:val="23"/>
    <w:qFormat/>
    <w:uiPriority w:val="0"/>
    <w:rPr>
      <w:rFonts w:ascii="Times New Roman" w:hAnsi="Times New Roman" w:eastAsia="宋体"/>
      <w:sz w:val="24"/>
    </w:rPr>
  </w:style>
  <w:style w:type="paragraph" w:customStyle="1" w:styleId="165">
    <w:name w:val="标题2"/>
    <w:basedOn w:val="3"/>
    <w:link w:val="166"/>
    <w:qFormat/>
    <w:uiPriority w:val="0"/>
    <w:pPr>
      <w:numPr>
        <w:ilvl w:val="0"/>
        <w:numId w:val="0"/>
      </w:numPr>
      <w:spacing w:before="0" w:beforeLines="0" w:after="0" w:afterLines="0" w:line="415" w:lineRule="auto"/>
      <w:jc w:val="both"/>
    </w:pPr>
    <w:rPr>
      <w:rFonts w:cs="Times New Roman"/>
      <w:sz w:val="32"/>
    </w:rPr>
  </w:style>
  <w:style w:type="character" w:customStyle="1" w:styleId="166">
    <w:name w:val="标题2 Char"/>
    <w:link w:val="165"/>
    <w:qFormat/>
    <w:uiPriority w:val="0"/>
    <w:rPr>
      <w:rFonts w:ascii="Times New Roman" w:hAnsi="Times New Roman" w:eastAsia="宋体" w:cs="Times New Roman"/>
      <w:b/>
      <w:bCs/>
      <w:sz w:val="32"/>
      <w:szCs w:val="32"/>
    </w:rPr>
  </w:style>
  <w:style w:type="paragraph" w:customStyle="1" w:styleId="167">
    <w:name w:val="图表样式"/>
    <w:basedOn w:val="1"/>
    <w:link w:val="168"/>
    <w:qFormat/>
    <w:uiPriority w:val="0"/>
    <w:pPr>
      <w:widowControl/>
      <w:adjustRightInd w:val="0"/>
      <w:snapToGrid w:val="0"/>
      <w:spacing w:line="240" w:lineRule="auto"/>
      <w:ind w:firstLine="0" w:firstLineChars="0"/>
      <w:jc w:val="center"/>
    </w:pPr>
    <w:rPr>
      <w:rFonts w:hAnsi="宋体" w:cs="Times New Roman"/>
      <w:kern w:val="0"/>
      <w:szCs w:val="24"/>
    </w:rPr>
  </w:style>
  <w:style w:type="character" w:customStyle="1" w:styleId="168">
    <w:name w:val="图表样式 Char"/>
    <w:link w:val="167"/>
    <w:qFormat/>
    <w:uiPriority w:val="0"/>
    <w:rPr>
      <w:rFonts w:ascii="Times New Roman" w:hAnsi="宋体" w:eastAsia="宋体" w:cs="Times New Roman"/>
      <w:kern w:val="0"/>
      <w:sz w:val="24"/>
      <w:szCs w:val="24"/>
    </w:rPr>
  </w:style>
  <w:style w:type="paragraph" w:customStyle="1" w:styleId="169">
    <w:name w:val="表头"/>
    <w:basedOn w:val="1"/>
    <w:qFormat/>
    <w:uiPriority w:val="0"/>
    <w:pPr>
      <w:ind w:firstLine="0" w:firstLineChars="0"/>
      <w:jc w:val="center"/>
    </w:pPr>
    <w:rPr>
      <w:rFonts w:cs="Times New Roman"/>
      <w:b/>
      <w:bCs/>
      <w:szCs w:val="24"/>
    </w:rPr>
  </w:style>
  <w:style w:type="paragraph" w:customStyle="1" w:styleId="170">
    <w:name w:val="表格文字"/>
    <w:basedOn w:val="34"/>
    <w:link w:val="221"/>
    <w:qFormat/>
    <w:uiPriority w:val="0"/>
    <w:pPr>
      <w:adjustRightInd w:val="0"/>
      <w:spacing w:after="0" w:line="240" w:lineRule="auto"/>
      <w:ind w:firstLine="0" w:firstLineChars="0"/>
      <w:jc w:val="center"/>
      <w:textAlignment w:val="center"/>
    </w:pPr>
    <w:rPr>
      <w:rFonts w:cs="Times New Roman"/>
      <w:spacing w:val="-8"/>
      <w:szCs w:val="20"/>
    </w:rPr>
  </w:style>
  <w:style w:type="character" w:customStyle="1" w:styleId="171">
    <w:name w:val="正文文本 2 字符"/>
    <w:basedOn w:val="43"/>
    <w:link w:val="34"/>
    <w:uiPriority w:val="0"/>
    <w:rPr>
      <w:rFonts w:ascii="Times New Roman" w:hAnsi="Times New Roman" w:eastAsia="宋体"/>
      <w:sz w:val="24"/>
    </w:rPr>
  </w:style>
  <w:style w:type="paragraph" w:customStyle="1" w:styleId="172">
    <w:name w:val="文本正文"/>
    <w:basedOn w:val="1"/>
    <w:qFormat/>
    <w:uiPriority w:val="0"/>
    <w:pPr>
      <w:snapToGrid w:val="0"/>
      <w:ind w:firstLine="510" w:firstLineChars="0"/>
      <w:jc w:val="left"/>
    </w:pPr>
    <w:rPr>
      <w:rFonts w:cs="Times New Roman"/>
      <w:spacing w:val="4"/>
      <w:kern w:val="24"/>
      <w:szCs w:val="24"/>
      <w:lang w:val="zh-CN"/>
    </w:rPr>
  </w:style>
  <w:style w:type="paragraph" w:customStyle="1" w:styleId="173">
    <w:name w:val="图表目录1"/>
    <w:basedOn w:val="1"/>
    <w:next w:val="1"/>
    <w:uiPriority w:val="0"/>
    <w:pPr>
      <w:spacing w:line="300" w:lineRule="auto"/>
      <w:ind w:left="840" w:hanging="420" w:firstLineChars="0"/>
    </w:pPr>
    <w:rPr>
      <w:rFonts w:ascii="Arial" w:hAnsi="Arial" w:cs="Times New Roman"/>
      <w:szCs w:val="24"/>
    </w:rPr>
  </w:style>
  <w:style w:type="paragraph" w:customStyle="1" w:styleId="174">
    <w:name w:val="TOC Heading"/>
    <w:basedOn w:val="2"/>
    <w:next w:val="1"/>
    <w:unhideWhenUsed/>
    <w:qFormat/>
    <w:uiPriority w:val="39"/>
    <w:pPr>
      <w:pageBreakBefore w:val="0"/>
      <w:widowControl/>
      <w:numPr>
        <w:numId w:val="0"/>
      </w:numPr>
      <w:spacing w:before="240" w:beforeLines="0" w:after="0" w:afterLines="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175">
    <w:name w:val="Unresolved Mention"/>
    <w:basedOn w:val="43"/>
    <w:semiHidden/>
    <w:unhideWhenUsed/>
    <w:uiPriority w:val="99"/>
    <w:rPr>
      <w:color w:val="605E5C"/>
      <w:shd w:val="clear" w:color="auto" w:fill="E1DFDD"/>
    </w:rPr>
  </w:style>
  <w:style w:type="character" w:customStyle="1" w:styleId="176">
    <w:name w:val="正文文本 字符"/>
    <w:basedOn w:val="43"/>
    <w:link w:val="15"/>
    <w:qFormat/>
    <w:uiPriority w:val="0"/>
    <w:rPr>
      <w:rFonts w:ascii="Times New Roman" w:hAnsi="Times New Roman" w:eastAsia="宋体" w:cs="Times New Roman"/>
      <w:kern w:val="0"/>
      <w:sz w:val="18"/>
      <w:szCs w:val="18"/>
    </w:rPr>
  </w:style>
  <w:style w:type="character" w:customStyle="1" w:styleId="177">
    <w:name w:val="纯文本 字符"/>
    <w:basedOn w:val="43"/>
    <w:link w:val="20"/>
    <w:qFormat/>
    <w:uiPriority w:val="0"/>
    <w:rPr>
      <w:rFonts w:ascii="宋体" w:hAnsi="Courier New" w:eastAsia="宋体" w:cs="Times New Roman"/>
      <w:kern w:val="0"/>
      <w:sz w:val="24"/>
      <w:szCs w:val="20"/>
    </w:rPr>
  </w:style>
  <w:style w:type="character" w:customStyle="1" w:styleId="178">
    <w:name w:val="正文文本首行缩进 字符"/>
    <w:basedOn w:val="176"/>
    <w:link w:val="39"/>
    <w:uiPriority w:val="0"/>
    <w:rPr>
      <w:rFonts w:ascii="Times New Roman" w:hAnsi="Times New Roman" w:eastAsia="宋体" w:cs="Times New Roman"/>
      <w:b/>
      <w:kern w:val="0"/>
      <w:sz w:val="24"/>
      <w:szCs w:val="20"/>
    </w:rPr>
  </w:style>
  <w:style w:type="character" w:customStyle="1" w:styleId="179">
    <w:name w:val="日期 字符1"/>
    <w:qFormat/>
    <w:locked/>
    <w:uiPriority w:val="0"/>
    <w:rPr>
      <w:rFonts w:ascii="Times New Roman" w:hAnsi="Times New Roman" w:eastAsia="宋体"/>
      <w:sz w:val="24"/>
    </w:rPr>
  </w:style>
  <w:style w:type="character" w:customStyle="1" w:styleId="180">
    <w:name w:val="普通(网站) 字符"/>
    <w:link w:val="36"/>
    <w:qFormat/>
    <w:locked/>
    <w:uiPriority w:val="0"/>
    <w:rPr>
      <w:rFonts w:ascii="Times New Roman" w:hAnsi="Times New Roman" w:eastAsia="宋体" w:cs="Times New Roman"/>
      <w:sz w:val="24"/>
      <w:szCs w:val="24"/>
    </w:rPr>
  </w:style>
  <w:style w:type="character" w:customStyle="1" w:styleId="181">
    <w:name w:val="正文文本 字符1"/>
    <w:semiHidden/>
    <w:qFormat/>
    <w:uiPriority w:val="0"/>
    <w:rPr>
      <w:rFonts w:ascii="Times New Roman" w:hAnsi="Times New Roman" w:eastAsia="宋体" w:cs="Times New Roman"/>
      <w:sz w:val="24"/>
      <w:szCs w:val="24"/>
    </w:rPr>
  </w:style>
  <w:style w:type="paragraph" w:customStyle="1" w:styleId="182">
    <w:name w:val="普通(网站)2"/>
    <w:basedOn w:val="1"/>
    <w:qFormat/>
    <w:uiPriority w:val="0"/>
    <w:pPr>
      <w:widowControl/>
      <w:spacing w:before="100" w:beforeAutospacing="1" w:after="100" w:afterAutospacing="1"/>
      <w:jc w:val="left"/>
    </w:pPr>
    <w:rPr>
      <w:rFonts w:ascii="宋体" w:hAnsi="宋体" w:cs="Times New Roman"/>
      <w:szCs w:val="20"/>
    </w:rPr>
  </w:style>
  <w:style w:type="character" w:customStyle="1" w:styleId="183">
    <w:name w:val="表格 Char"/>
    <w:link w:val="184"/>
    <w:qFormat/>
    <w:locked/>
    <w:uiPriority w:val="0"/>
    <w:rPr>
      <w:rFonts w:ascii="宋体"/>
    </w:rPr>
  </w:style>
  <w:style w:type="paragraph" w:customStyle="1" w:styleId="184">
    <w:name w:val="表格"/>
    <w:basedOn w:val="1"/>
    <w:next w:val="1"/>
    <w:link w:val="183"/>
    <w:uiPriority w:val="0"/>
    <w:pPr>
      <w:adjustRightInd w:val="0"/>
      <w:snapToGrid w:val="0"/>
      <w:spacing w:beforeLines="10" w:afterLines="10" w:line="259" w:lineRule="auto"/>
      <w:jc w:val="center"/>
    </w:pPr>
    <w:rPr>
      <w:rFonts w:ascii="宋体" w:hAnsiTheme="minorHAnsi" w:eastAsiaTheme="minorEastAsia"/>
      <w:sz w:val="21"/>
    </w:rPr>
  </w:style>
  <w:style w:type="character" w:customStyle="1" w:styleId="185">
    <w:name w:val="批注文字 字符1"/>
    <w:semiHidden/>
    <w:qFormat/>
    <w:uiPriority w:val="0"/>
    <w:rPr>
      <w:rFonts w:ascii="Times New Roman" w:hAnsi="Times New Roman" w:eastAsia="宋体" w:cs="Times New Roman"/>
      <w:sz w:val="24"/>
      <w:szCs w:val="24"/>
    </w:rPr>
  </w:style>
  <w:style w:type="character" w:customStyle="1" w:styleId="186">
    <w:name w:val="普通(网站) Char"/>
    <w:qFormat/>
    <w:locked/>
    <w:uiPriority w:val="0"/>
    <w:rPr>
      <w:rFonts w:ascii="宋体" w:hAnsi="宋体" w:eastAsia="宋体"/>
      <w:sz w:val="24"/>
    </w:rPr>
  </w:style>
  <w:style w:type="character" w:customStyle="1" w:styleId="187">
    <w:name w:val="标题3 Char"/>
    <w:qFormat/>
    <w:uiPriority w:val="0"/>
  </w:style>
  <w:style w:type="character" w:customStyle="1" w:styleId="188">
    <w:name w:val="图表标题 Char"/>
    <w:qFormat/>
    <w:uiPriority w:val="0"/>
    <w:rPr>
      <w:b/>
      <w:kern w:val="2"/>
      <w:sz w:val="21"/>
      <w:szCs w:val="24"/>
    </w:rPr>
  </w:style>
  <w:style w:type="paragraph" w:customStyle="1" w:styleId="189">
    <w:name w:val="样式 标题 1 + 四号 段前: 0 磅 段后: 0 磅 行距: 1.5 倍行距"/>
    <w:basedOn w:val="190"/>
    <w:next w:val="172"/>
    <w:qFormat/>
    <w:uiPriority w:val="0"/>
    <w:pPr>
      <w:jc w:val="center"/>
    </w:pPr>
    <w:rPr>
      <w:color w:val="FF0000"/>
      <w:sz w:val="28"/>
    </w:rPr>
  </w:style>
  <w:style w:type="paragraph" w:customStyle="1" w:styleId="190">
    <w:name w:val="1正文"/>
    <w:basedOn w:val="1"/>
    <w:uiPriority w:val="0"/>
    <w:pPr>
      <w:spacing w:line="500" w:lineRule="exact"/>
      <w:ind w:firstLine="588" w:firstLineChars="196"/>
    </w:pPr>
    <w:rPr>
      <w:rFonts w:eastAsia="楷体_GB2312" w:cs="Times New Roman"/>
      <w:sz w:val="30"/>
      <w:szCs w:val="30"/>
    </w:rPr>
  </w:style>
  <w:style w:type="character" w:customStyle="1" w:styleId="191">
    <w:name w:val="无间隔 Char"/>
    <w:link w:val="192"/>
    <w:qFormat/>
    <w:locked/>
    <w:uiPriority w:val="1"/>
    <w:rPr>
      <w:szCs w:val="24"/>
    </w:rPr>
  </w:style>
  <w:style w:type="paragraph" w:customStyle="1" w:styleId="192">
    <w:name w:val="无间隔1"/>
    <w:link w:val="191"/>
    <w:qFormat/>
    <w:uiPriority w:val="1"/>
    <w:pPr>
      <w:widowControl w:val="0"/>
      <w:jc w:val="both"/>
    </w:pPr>
    <w:rPr>
      <w:rFonts w:asciiTheme="minorHAnsi" w:hAnsiTheme="minorHAnsi" w:eastAsiaTheme="minorEastAsia" w:cstheme="minorBidi"/>
      <w:kern w:val="2"/>
      <w:sz w:val="21"/>
      <w:szCs w:val="24"/>
      <w:lang w:val="en-US" w:eastAsia="zh-CN" w:bidi="ar-SA"/>
    </w:rPr>
  </w:style>
  <w:style w:type="character" w:customStyle="1" w:styleId="193">
    <w:name w:val="标题4 Char"/>
    <w:qFormat/>
    <w:uiPriority w:val="0"/>
    <w:rPr>
      <w:b/>
      <w:bCs/>
      <w:kern w:val="2"/>
      <w:sz w:val="21"/>
      <w:szCs w:val="28"/>
    </w:rPr>
  </w:style>
  <w:style w:type="character" w:customStyle="1" w:styleId="194">
    <w:name w:val="表内容 Char"/>
    <w:link w:val="195"/>
    <w:qFormat/>
    <w:locked/>
    <w:uiPriority w:val="0"/>
    <w:rPr>
      <w:rFonts w:ascii="仿宋" w:hAnsi="仿宋" w:eastAsia="仿宋"/>
    </w:rPr>
  </w:style>
  <w:style w:type="paragraph" w:customStyle="1" w:styleId="195">
    <w:name w:val="表内容"/>
    <w:basedOn w:val="1"/>
    <w:link w:val="194"/>
    <w:qFormat/>
    <w:uiPriority w:val="0"/>
    <w:pPr>
      <w:spacing w:line="240" w:lineRule="auto"/>
      <w:ind w:firstLine="0" w:firstLineChars="0"/>
      <w:jc w:val="center"/>
    </w:pPr>
    <w:rPr>
      <w:rFonts w:ascii="仿宋" w:hAnsi="仿宋" w:eastAsia="仿宋"/>
      <w:sz w:val="21"/>
    </w:rPr>
  </w:style>
  <w:style w:type="character" w:customStyle="1" w:styleId="196">
    <w:name w:val="表中文字 Char"/>
    <w:link w:val="197"/>
    <w:qFormat/>
    <w:locked/>
    <w:uiPriority w:val="0"/>
    <w:rPr>
      <w:rFonts w:cs="Arial"/>
      <w:szCs w:val="24"/>
    </w:rPr>
  </w:style>
  <w:style w:type="paragraph" w:customStyle="1" w:styleId="197">
    <w:name w:val="表中文字"/>
    <w:next w:val="1"/>
    <w:link w:val="196"/>
    <w:qFormat/>
    <w:uiPriority w:val="0"/>
    <w:pPr>
      <w:widowControl w:val="0"/>
      <w:spacing w:before="40" w:after="40"/>
      <w:jc w:val="center"/>
    </w:pPr>
    <w:rPr>
      <w:rFonts w:cs="Arial" w:asciiTheme="minorHAnsi" w:hAnsiTheme="minorHAnsi" w:eastAsiaTheme="minorEastAsia"/>
      <w:kern w:val="2"/>
      <w:sz w:val="21"/>
      <w:szCs w:val="24"/>
      <w:lang w:val="en-US" w:eastAsia="zh-CN" w:bidi="ar-SA"/>
    </w:rPr>
  </w:style>
  <w:style w:type="paragraph" w:customStyle="1" w:styleId="198">
    <w:name w:val="00+2"/>
    <w:basedOn w:val="199"/>
    <w:uiPriority w:val="0"/>
  </w:style>
  <w:style w:type="paragraph" w:customStyle="1" w:styleId="199">
    <w:name w:val="样式 首行缩进:  2 字符1"/>
    <w:basedOn w:val="1"/>
    <w:qFormat/>
    <w:uiPriority w:val="0"/>
    <w:rPr>
      <w:rFonts w:cs="宋体"/>
      <w:szCs w:val="20"/>
    </w:rPr>
  </w:style>
  <w:style w:type="paragraph" w:customStyle="1" w:styleId="200">
    <w:name w:val="0-表中文字"/>
    <w:next w:val="1"/>
    <w:uiPriority w:val="0"/>
    <w:pPr>
      <w:widowControl w:val="0"/>
      <w:jc w:val="center"/>
    </w:pPr>
    <w:rPr>
      <w:rFonts w:ascii="Times New Roman" w:hAnsi="Times New Roman" w:eastAsia="宋体" w:cs="Arial"/>
      <w:kern w:val="2"/>
      <w:sz w:val="21"/>
      <w:szCs w:val="24"/>
      <w:lang w:val="en-US" w:eastAsia="zh-CN" w:bidi="ar-SA"/>
    </w:rPr>
  </w:style>
  <w:style w:type="paragraph" w:customStyle="1" w:styleId="201">
    <w:name w:val="DY表格格式"/>
    <w:basedOn w:val="1"/>
    <w:next w:val="1"/>
    <w:uiPriority w:val="0"/>
    <w:pPr>
      <w:spacing w:line="240" w:lineRule="auto"/>
      <w:ind w:firstLine="0" w:firstLineChars="0"/>
      <w:jc w:val="center"/>
    </w:pPr>
    <w:rPr>
      <w:rFonts w:cs="Times New Roman"/>
      <w:szCs w:val="24"/>
    </w:rPr>
  </w:style>
  <w:style w:type="table" w:customStyle="1" w:styleId="202">
    <w:name w:val="数据表格"/>
    <w:basedOn w:val="41"/>
    <w:qFormat/>
    <w:uiPriority w:val="99"/>
    <w:pPr>
      <w:jc w:val="center"/>
      <w:textAlignment w:val="center"/>
    </w:pPr>
    <w:rPr>
      <w:rFonts w:ascii="Times New Roman" w:hAnsi="Times New Roman" w:eastAsia="宋体" w:cs="Times New Roman"/>
      <w:kern w:val="0"/>
      <w:sz w:val="20"/>
      <w:szCs w:val="20"/>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rPr>
      <w:jc w:val="center"/>
    </w:trPr>
    <w:tcPr>
      <w:vAlign w:val="center"/>
    </w:tcPr>
  </w:style>
  <w:style w:type="paragraph" w:customStyle="1" w:styleId="203">
    <w:name w:val="表格文字1"/>
    <w:basedOn w:val="1"/>
    <w:qFormat/>
    <w:uiPriority w:val="99"/>
    <w:pPr>
      <w:snapToGrid w:val="0"/>
      <w:spacing w:line="360" w:lineRule="atLeast"/>
      <w:jc w:val="center"/>
    </w:pPr>
    <w:rPr>
      <w:rFonts w:cs="Times New Roman"/>
      <w:szCs w:val="24"/>
    </w:rPr>
  </w:style>
  <w:style w:type="paragraph" w:customStyle="1" w:styleId="204">
    <w:name w:val="0-表格内LQH"/>
    <w:basedOn w:val="32"/>
    <w:link w:val="205"/>
    <w:uiPriority w:val="0"/>
    <w:pPr>
      <w:adjustRightInd w:val="0"/>
      <w:snapToGrid w:val="0"/>
      <w:spacing w:line="240" w:lineRule="auto"/>
      <w:ind w:firstLine="0" w:firstLineChars="0"/>
      <w:jc w:val="center"/>
    </w:pPr>
    <w:rPr>
      <w:rFonts w:cs="黑体"/>
      <w:szCs w:val="21"/>
    </w:rPr>
  </w:style>
  <w:style w:type="character" w:customStyle="1" w:styleId="205">
    <w:name w:val="0-表格内LQH Char"/>
    <w:link w:val="204"/>
    <w:qFormat/>
    <w:uiPriority w:val="0"/>
    <w:rPr>
      <w:rFonts w:ascii="Times New Roman" w:hAnsi="Times New Roman" w:eastAsia="宋体" w:cs="黑体"/>
      <w:sz w:val="24"/>
      <w:szCs w:val="21"/>
    </w:rPr>
  </w:style>
  <w:style w:type="character" w:customStyle="1" w:styleId="206">
    <w:name w:val="未处理的提及1"/>
    <w:basedOn w:val="43"/>
    <w:semiHidden/>
    <w:unhideWhenUsed/>
    <w:qFormat/>
    <w:uiPriority w:val="99"/>
    <w:rPr>
      <w:color w:val="605E5C"/>
      <w:shd w:val="clear" w:color="auto" w:fill="E1DFDD"/>
    </w:rPr>
  </w:style>
  <w:style w:type="paragraph" w:customStyle="1" w:styleId="207">
    <w:name w:val="表格内容"/>
    <w:basedOn w:val="1"/>
    <w:qFormat/>
    <w:uiPriority w:val="0"/>
    <w:pPr>
      <w:adjustRightInd w:val="0"/>
      <w:snapToGrid w:val="0"/>
      <w:spacing w:line="360" w:lineRule="exact"/>
      <w:ind w:firstLine="0" w:firstLineChars="0"/>
      <w:jc w:val="center"/>
    </w:pPr>
    <w:rPr>
      <w:rFonts w:cs="Times New Roman"/>
      <w:szCs w:val="21"/>
    </w:rPr>
  </w:style>
  <w:style w:type="paragraph" w:customStyle="1" w:styleId="208">
    <w:name w:val="Revision"/>
    <w:hidden/>
    <w:unhideWhenUsed/>
    <w:qFormat/>
    <w:uiPriority w:val="99"/>
    <w:rPr>
      <w:rFonts w:ascii="Times New Roman" w:hAnsi="Times New Roman" w:eastAsia="宋体" w:cs="Times New Roman"/>
      <w:kern w:val="2"/>
      <w:sz w:val="24"/>
      <w:szCs w:val="24"/>
      <w:lang w:val="en-US" w:eastAsia="zh-CN" w:bidi="ar-SA"/>
    </w:rPr>
  </w:style>
  <w:style w:type="paragraph" w:customStyle="1" w:styleId="209">
    <w:name w:val="wj-正文"/>
    <w:basedOn w:val="1"/>
    <w:uiPriority w:val="0"/>
    <w:pPr>
      <w:ind w:firstLine="480"/>
    </w:pPr>
    <w:rPr>
      <w:rFonts w:eastAsia="仿宋_GB2312" w:cs="Times New Roman"/>
      <w:szCs w:val="20"/>
    </w:rPr>
  </w:style>
  <w:style w:type="paragraph" w:customStyle="1" w:styleId="210">
    <w:name w:val="正文 首行缩进:  2 字符"/>
    <w:basedOn w:val="1"/>
    <w:semiHidden/>
    <w:qFormat/>
    <w:uiPriority w:val="0"/>
    <w:pPr>
      <w:ind w:firstLine="643"/>
    </w:pPr>
    <w:rPr>
      <w:rFonts w:eastAsia="仿宋_GB2312" w:cs="宋体"/>
      <w:szCs w:val="20"/>
    </w:rPr>
  </w:style>
  <w:style w:type="paragraph" w:customStyle="1" w:styleId="211">
    <w:name w:val="报告正文"/>
    <w:basedOn w:val="12"/>
    <w:uiPriority w:val="0"/>
    <w:pPr>
      <w:spacing w:before="60" w:line="360" w:lineRule="auto"/>
      <w:ind w:firstLine="200"/>
    </w:pPr>
    <w:rPr>
      <w:rFonts w:ascii="Times New Roman" w:cs="Times New Roman"/>
      <w:color w:val="000000"/>
      <w:sz w:val="24"/>
    </w:rPr>
  </w:style>
  <w:style w:type="character" w:customStyle="1" w:styleId="212">
    <w:name w:val="JJ表内 字符"/>
    <w:link w:val="213"/>
    <w:uiPriority w:val="0"/>
    <w:rPr>
      <w:rFonts w:ascii="Times New Roman" w:hAnsi="Times New Roman" w:eastAsia="仿宋_GB2312"/>
    </w:rPr>
  </w:style>
  <w:style w:type="paragraph" w:customStyle="1" w:styleId="213">
    <w:name w:val="JJ表内"/>
    <w:basedOn w:val="1"/>
    <w:link w:val="212"/>
    <w:uiPriority w:val="0"/>
    <w:pPr>
      <w:spacing w:line="0" w:lineRule="atLeast"/>
      <w:ind w:firstLine="0" w:firstLineChars="0"/>
      <w:jc w:val="center"/>
    </w:pPr>
    <w:rPr>
      <w:rFonts w:eastAsia="仿宋_GB2312"/>
      <w:sz w:val="21"/>
    </w:rPr>
  </w:style>
  <w:style w:type="paragraph" w:customStyle="1" w:styleId="214">
    <w:name w:val="JJ正文"/>
    <w:basedOn w:val="1"/>
    <w:link w:val="215"/>
    <w:uiPriority w:val="0"/>
    <w:pPr>
      <w:ind w:firstLine="480"/>
    </w:pPr>
    <w:rPr>
      <w:rFonts w:eastAsia="仿宋_GB2312" w:cs="Times New Roman"/>
      <w:szCs w:val="24"/>
    </w:rPr>
  </w:style>
  <w:style w:type="character" w:customStyle="1" w:styleId="215">
    <w:name w:val="JJ正文 字符"/>
    <w:link w:val="214"/>
    <w:uiPriority w:val="0"/>
    <w:rPr>
      <w:rFonts w:ascii="Times New Roman" w:hAnsi="Times New Roman" w:eastAsia="仿宋_GB2312" w:cs="Times New Roman"/>
      <w:sz w:val="24"/>
      <w:szCs w:val="24"/>
    </w:rPr>
  </w:style>
  <w:style w:type="character" w:customStyle="1" w:styleId="216">
    <w:name w:val="JJ图名 字符"/>
    <w:link w:val="217"/>
    <w:uiPriority w:val="0"/>
    <w:rPr>
      <w:rFonts w:ascii="Times New Roman" w:hAnsi="Times New Roman" w:eastAsia="仿宋_GB2312"/>
      <w:b/>
      <w:sz w:val="24"/>
      <w:szCs w:val="24"/>
    </w:rPr>
  </w:style>
  <w:style w:type="paragraph" w:customStyle="1" w:styleId="217">
    <w:name w:val="JJ图名"/>
    <w:basedOn w:val="1"/>
    <w:link w:val="216"/>
    <w:uiPriority w:val="0"/>
    <w:pPr>
      <w:spacing w:before="50" w:beforeLines="50" w:line="0" w:lineRule="atLeast"/>
      <w:ind w:firstLine="0" w:firstLineChars="0"/>
      <w:jc w:val="center"/>
      <w:outlineLvl w:val="7"/>
    </w:pPr>
    <w:rPr>
      <w:rFonts w:eastAsia="仿宋_GB2312"/>
      <w:b/>
      <w:szCs w:val="24"/>
    </w:rPr>
  </w:style>
  <w:style w:type="table" w:customStyle="1" w:styleId="218">
    <w:name w:val="Table Normal"/>
    <w:semiHidden/>
    <w:unhideWhenUsed/>
    <w:qFormat/>
    <w:uiPriority w:val="0"/>
    <w:rPr>
      <w:rFonts w:ascii="Arial" w:hAnsi="Arial" w:cs="Arial"/>
      <w:kern w:val="0"/>
      <w:sz w:val="20"/>
      <w:szCs w:val="20"/>
    </w:rPr>
    <w:tblPr>
      <w:tblCellMar>
        <w:top w:w="0" w:type="dxa"/>
        <w:left w:w="0" w:type="dxa"/>
        <w:bottom w:w="0" w:type="dxa"/>
        <w:right w:w="0" w:type="dxa"/>
      </w:tblCellMar>
    </w:tblPr>
  </w:style>
  <w:style w:type="character" w:customStyle="1" w:styleId="219">
    <w:name w:val="fontstyle01"/>
    <w:basedOn w:val="43"/>
    <w:uiPriority w:val="0"/>
    <w:rPr>
      <w:rFonts w:hint="default" w:ascii="Times New Roman" w:hAnsi="Times New Roman" w:cs="Times New Roman"/>
      <w:color w:val="000000"/>
      <w:sz w:val="22"/>
      <w:szCs w:val="22"/>
    </w:rPr>
  </w:style>
  <w:style w:type="character" w:customStyle="1" w:styleId="220">
    <w:name w:val="标题 字符1"/>
    <w:basedOn w:val="43"/>
    <w:uiPriority w:val="0"/>
    <w:rPr>
      <w:rFonts w:asciiTheme="majorHAnsi" w:hAnsiTheme="majorHAnsi" w:eastAsiaTheme="majorEastAsia" w:cstheme="majorBidi"/>
      <w:spacing w:val="-10"/>
      <w:kern w:val="28"/>
      <w:sz w:val="56"/>
      <w:szCs w:val="56"/>
    </w:rPr>
  </w:style>
  <w:style w:type="character" w:customStyle="1" w:styleId="221">
    <w:name w:val="表格文字 Char"/>
    <w:link w:val="170"/>
    <w:autoRedefine/>
    <w:qFormat/>
    <w:uiPriority w:val="0"/>
    <w:rPr>
      <w:rFonts w:ascii="Times New Roman" w:hAnsi="Times New Roman" w:eastAsia="宋体" w:cs="Times New Roman"/>
      <w:spacing w:val="-8"/>
      <w:sz w:val="24"/>
      <w:szCs w:val="20"/>
    </w:rPr>
  </w:style>
  <w:style w:type="paragraph" w:customStyle="1" w:styleId="222">
    <w:name w:val="表头y"/>
    <w:basedOn w:val="1"/>
    <w:link w:val="223"/>
    <w:autoRedefine/>
    <w:uiPriority w:val="0"/>
    <w:pPr>
      <w:keepNext/>
      <w:keepLines/>
      <w:spacing w:line="240" w:lineRule="auto"/>
      <w:ind w:firstLine="0" w:firstLineChars="0"/>
      <w:jc w:val="center"/>
    </w:pPr>
    <w:rPr>
      <w:rFonts w:cs="Times New Roman"/>
      <w:b/>
      <w:szCs w:val="24"/>
      <w:lang w:val="zh-CN"/>
    </w:rPr>
  </w:style>
  <w:style w:type="character" w:customStyle="1" w:styleId="223">
    <w:name w:val="表头y Char"/>
    <w:basedOn w:val="43"/>
    <w:link w:val="222"/>
    <w:autoRedefine/>
    <w:qFormat/>
    <w:uiPriority w:val="0"/>
    <w:rPr>
      <w:rFonts w:ascii="Times New Roman" w:hAnsi="Times New Roman" w:eastAsia="宋体" w:cs="Times New Roman"/>
      <w:b/>
      <w:sz w:val="24"/>
      <w:szCs w:val="24"/>
      <w:lang w:val="zh-CN"/>
    </w:rPr>
  </w:style>
  <w:style w:type="paragraph" w:customStyle="1" w:styleId="224">
    <w:name w:val="表格居中"/>
    <w:basedOn w:val="1"/>
    <w:next w:val="1"/>
    <w:autoRedefine/>
    <w:uiPriority w:val="0"/>
    <w:pPr>
      <w:tabs>
        <w:tab w:val="left" w:pos="4144"/>
      </w:tabs>
      <w:overflowPunct w:val="0"/>
      <w:spacing w:line="240" w:lineRule="auto"/>
      <w:ind w:left="-119" w:right="-115" w:rightChars="-48" w:firstLine="0" w:firstLineChars="0"/>
      <w:jc w:val="center"/>
    </w:pPr>
    <w:rPr>
      <w:rFonts w:ascii="宋体" w:hAnsi="宋体" w:eastAsiaTheme="minorEastAsia"/>
      <w:sz w:val="18"/>
      <w:szCs w:val="18"/>
    </w:rPr>
  </w:style>
  <w:style w:type="character" w:customStyle="1" w:styleId="225">
    <w:name w:val="fontstyle21"/>
    <w:basedOn w:val="43"/>
    <w:uiPriority w:val="0"/>
    <w:rPr>
      <w:rFonts w:hint="default" w:ascii="TimesNewRomanPSMT" w:hAnsi="TimesNewRomanPSMT"/>
      <w:color w:val="000000"/>
      <w:sz w:val="24"/>
      <w:szCs w:val="24"/>
    </w:rPr>
  </w:style>
  <w:style w:type="character" w:styleId="226">
    <w:name w:val="Placeholder Text"/>
    <w:basedOn w:val="43"/>
    <w:unhideWhenUsed/>
    <w:uiPriority w:val="99"/>
    <w:rPr>
      <w:color w:val="666666"/>
    </w:rPr>
  </w:style>
  <w:style w:type="paragraph" w:customStyle="1" w:styleId="227">
    <w:name w:val="Table Text"/>
    <w:basedOn w:val="1"/>
    <w:semiHidden/>
    <w:qFormat/>
    <w:uiPriority w:val="0"/>
    <w:pPr>
      <w:widowControl/>
      <w:kinsoku w:val="0"/>
      <w:autoSpaceDE w:val="0"/>
      <w:autoSpaceDN w:val="0"/>
      <w:adjustRightInd w:val="0"/>
      <w:snapToGrid w:val="0"/>
      <w:spacing w:line="240" w:lineRule="auto"/>
      <w:ind w:firstLine="0" w:firstLineChars="0"/>
      <w:jc w:val="left"/>
      <w:textAlignment w:val="baseline"/>
    </w:pPr>
    <w:rPr>
      <w:rFonts w:ascii="Arial" w:hAnsi="Arial" w:eastAsia="Arial" w:cs="Arial"/>
      <w:snapToGrid w:val="0"/>
      <w:color w:val="000000"/>
      <w:kern w:val="0"/>
      <w:sz w:val="21"/>
      <w:szCs w:val="21"/>
      <w:lang w:eastAsia="en-US"/>
    </w:rPr>
  </w:style>
  <w:style w:type="character" w:customStyle="1" w:styleId="228">
    <w:name w:val="HTML 预设格式 字符"/>
    <w:basedOn w:val="43"/>
    <w:link w:val="35"/>
    <w:semiHidden/>
    <w:uiPriority w:val="99"/>
    <w:rPr>
      <w:rFonts w:ascii="Courier New" w:hAnsi="Courier New" w:eastAsia="宋体" w:cs="Courier New"/>
      <w:sz w:val="20"/>
      <w:szCs w:val="20"/>
    </w:rPr>
  </w:style>
  <w:style w:type="paragraph" w:customStyle="1" w:styleId="229">
    <w:name w:val="文章正文"/>
    <w:basedOn w:val="1"/>
    <w:autoRedefine/>
    <w:uiPriority w:val="0"/>
    <w:pPr>
      <w:ind w:left="420" w:leftChars="200" w:firstLine="560"/>
    </w:pPr>
    <w:rPr>
      <w:rFonts w:ascii="宋体" w:hAnsi="宋体" w:cs="Times New Roman"/>
      <w:sz w:val="28"/>
      <w:szCs w:val="24"/>
    </w:rPr>
  </w:style>
  <w:style w:type="character" w:customStyle="1" w:styleId="230">
    <w:name w:val="Default Char Char"/>
    <w:link w:val="155"/>
    <w:qFormat/>
    <w:uiPriority w:val="0"/>
    <w:rPr>
      <w:rFonts w:ascii="仿宋_GB2312" w:hAnsi="Calibri" w:eastAsia="宋体" w:cs="宋体"/>
      <w:color w:val="000000"/>
      <w:kern w:val="0"/>
      <w:sz w:val="24"/>
      <w:szCs w:val="24"/>
    </w:rPr>
  </w:style>
  <w:style w:type="paragraph" w:customStyle="1" w:styleId="231">
    <w:name w:val="大风丫口正文"/>
    <w:basedOn w:val="1"/>
    <w:link w:val="232"/>
    <w:qFormat/>
    <w:uiPriority w:val="0"/>
    <w:pPr>
      <w:spacing w:after="160"/>
    </w:pPr>
    <w:rPr>
      <w:rFonts w:cs="Times New Roman"/>
      <w:spacing w:val="10"/>
      <w:szCs w:val="24"/>
    </w:rPr>
  </w:style>
  <w:style w:type="character" w:customStyle="1" w:styleId="232">
    <w:name w:val="大风丫口正文 Char"/>
    <w:link w:val="231"/>
    <w:qFormat/>
    <w:uiPriority w:val="0"/>
    <w:rPr>
      <w:rFonts w:ascii="Times New Roman" w:hAnsi="Times New Roman" w:eastAsia="宋体" w:cs="Times New Roman"/>
      <w:spacing w:val="10"/>
      <w:sz w:val="24"/>
      <w:szCs w:val="24"/>
    </w:rPr>
  </w:style>
  <w:style w:type="character" w:customStyle="1" w:styleId="233">
    <w:name w:val="正文格式 Char"/>
    <w:link w:val="234"/>
    <w:autoRedefine/>
    <w:qFormat/>
    <w:locked/>
    <w:uiPriority w:val="0"/>
    <w:rPr>
      <w:rFonts w:ascii="仿宋_GB2312" w:eastAsia="仿宋_GB2312"/>
      <w:sz w:val="24"/>
    </w:rPr>
  </w:style>
  <w:style w:type="paragraph" w:customStyle="1" w:styleId="234">
    <w:name w:val="正文格式"/>
    <w:basedOn w:val="1"/>
    <w:link w:val="233"/>
    <w:autoRedefine/>
    <w:qFormat/>
    <w:uiPriority w:val="0"/>
    <w:pPr>
      <w:ind w:firstLine="480"/>
      <w:jc w:val="left"/>
    </w:pPr>
    <w:rPr>
      <w:rFonts w:ascii="仿宋_GB2312" w:eastAsia="仿宋_GB2312" w:hAnsiTheme="minorHAnsi"/>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wmf"/><Relationship Id="rId53" Type="http://schemas.openxmlformats.org/officeDocument/2006/relationships/oleObject" Target="embeddings/oleObject2.bin"/><Relationship Id="rId52" Type="http://schemas.openxmlformats.org/officeDocument/2006/relationships/image" Target="media/image35.wmf"/><Relationship Id="rId51" Type="http://schemas.openxmlformats.org/officeDocument/2006/relationships/oleObject" Target="embeddings/oleObject1.bin"/><Relationship Id="rId50" Type="http://schemas.openxmlformats.org/officeDocument/2006/relationships/image" Target="media/image34.png"/><Relationship Id="rId5" Type="http://schemas.openxmlformats.org/officeDocument/2006/relationships/header" Target="header1.xml"/><Relationship Id="rId49" Type="http://schemas.openxmlformats.org/officeDocument/2006/relationships/image" Target="media/image33.jpe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jpe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2053"/>
    <customShpInfo spid="_x0000_s2055"/>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3C8587-D128-46B2-9B63-B54D1A352B8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198</Pages>
  <Words>32242</Words>
  <Characters>33662</Characters>
  <Lines>6684</Lines>
  <Paragraphs>5061</Paragraphs>
  <TotalTime>7</TotalTime>
  <ScaleCrop>false</ScaleCrop>
  <LinksUpToDate>false</LinksUpToDate>
  <CharactersWithSpaces>33901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2025-04-07T09:22:00Z</dcterms:created>
  <dc:creator>Administrator</dc:creator>
  <cp:lastModifiedBy>张雷</cp:lastModifiedBy>
  <cp:lastPrinted>2026-01-13T03:15:00Z</cp:lastPrinted>
  <dcterms:modified xsi:type="dcterms:W3CDTF">2026-01-26T08:16:33Z</dcterms:modified>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eyJoZGlkIjoiNThlYjNmZWE4YmY4OTljNTVhMjk4NjNhYzQ0NjEzZGMiLCJ1c2VySWQiOiIzMTgxNDU5NTIifQ==</vt:lpwstr>
  </property>
  <property fmtid="{D5CDD505-2E9C-101B-9397-08002B2CF9AE}" pid="3" name="KSOProductBuildVer">
    <vt:lpwstr>2052-12.1.0.24657</vt:lpwstr>
  </property>
  <property fmtid="{D5CDD505-2E9C-101B-9397-08002B2CF9AE}" pid="4" name="ICV">
    <vt:lpwstr>05F3561761C048BB8E03EBA66458AEDF_12</vt:lpwstr>
  </property>
</Properties>
</file>